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9870" w14:textId="3474C575" w:rsidR="0028514A" w:rsidRDefault="000F12AB" w:rsidP="0082698F">
      <w:pPr>
        <w:pStyle w:val="NoSpacing"/>
        <w:jc w:val="left"/>
        <w:rPr>
          <w:b/>
        </w:rPr>
      </w:pPr>
      <w:r w:rsidRPr="002A500D">
        <w:rPr>
          <w:b/>
        </w:rPr>
        <w:t>At SKAPE, we str</w:t>
      </w:r>
      <w:r w:rsidR="00B04268" w:rsidRPr="002A500D">
        <w:rPr>
          <w:b/>
        </w:rPr>
        <w:t>o</w:t>
      </w:r>
      <w:r w:rsidRPr="002A500D">
        <w:rPr>
          <w:b/>
        </w:rPr>
        <w:t>ngly belief that the use of</w:t>
      </w:r>
      <w:r w:rsidR="00276A24">
        <w:rPr>
          <w:b/>
        </w:rPr>
        <w:t xml:space="preserve"> an</w:t>
      </w:r>
      <w:r w:rsidRPr="002A500D">
        <w:rPr>
          <w:b/>
        </w:rPr>
        <w:t xml:space="preserve"> Alternative </w:t>
      </w:r>
      <w:r w:rsidR="00276A24">
        <w:rPr>
          <w:b/>
        </w:rPr>
        <w:t>Provision</w:t>
      </w:r>
      <w:r w:rsidR="002167A6">
        <w:rPr>
          <w:b/>
        </w:rPr>
        <w:t xml:space="preserve"> </w:t>
      </w:r>
      <w:r w:rsidR="00276A24">
        <w:rPr>
          <w:b/>
        </w:rPr>
        <w:t>(AP)</w:t>
      </w:r>
      <w:r w:rsidRPr="002A500D">
        <w:rPr>
          <w:b/>
        </w:rPr>
        <w:t xml:space="preserve"> for a child’s education and well-being is most successful when it is used as part of a continuum </w:t>
      </w:r>
      <w:r w:rsidR="00B04268" w:rsidRPr="002A500D">
        <w:rPr>
          <w:b/>
        </w:rPr>
        <w:t>of their journey through their education</w:t>
      </w:r>
      <w:r w:rsidR="007C0BA1" w:rsidRPr="002A500D">
        <w:rPr>
          <w:b/>
        </w:rPr>
        <w:t xml:space="preserve">. </w:t>
      </w:r>
      <w:r w:rsidR="002A500D">
        <w:rPr>
          <w:b/>
        </w:rPr>
        <w:t xml:space="preserve"> We see the use of APs</w:t>
      </w:r>
      <w:r w:rsidR="00381099">
        <w:rPr>
          <w:b/>
        </w:rPr>
        <w:t xml:space="preserve"> a little like a revolving door, with those students who can be successfully reintegrated</w:t>
      </w:r>
      <w:r w:rsidR="0091265A">
        <w:rPr>
          <w:b/>
        </w:rPr>
        <w:t>,</w:t>
      </w:r>
      <w:r w:rsidR="00381099">
        <w:rPr>
          <w:b/>
        </w:rPr>
        <w:t xml:space="preserve"> s</w:t>
      </w:r>
      <w:r w:rsidR="00297B7C">
        <w:rPr>
          <w:b/>
        </w:rPr>
        <w:t>u</w:t>
      </w:r>
      <w:r w:rsidR="00381099">
        <w:rPr>
          <w:b/>
        </w:rPr>
        <w:t>pported to do so in a timely fashion, allowing for continued capacity</w:t>
      </w:r>
      <w:r w:rsidR="00297B7C">
        <w:rPr>
          <w:b/>
        </w:rPr>
        <w:t xml:space="preserve"> at the AP </w:t>
      </w:r>
      <w:r w:rsidR="00381099">
        <w:rPr>
          <w:b/>
        </w:rPr>
        <w:t xml:space="preserve">to help others. </w:t>
      </w:r>
    </w:p>
    <w:p w14:paraId="4F1C96F3" w14:textId="77777777" w:rsidR="004C4CB0" w:rsidRPr="002A500D" w:rsidRDefault="004C4CB0" w:rsidP="0082698F">
      <w:pPr>
        <w:pStyle w:val="NoSpacing"/>
        <w:jc w:val="left"/>
        <w:rPr>
          <w:b/>
        </w:rPr>
      </w:pPr>
    </w:p>
    <w:p w14:paraId="184E5187" w14:textId="77777777" w:rsidR="00BF7340" w:rsidRDefault="00BF7340" w:rsidP="00BF7340">
      <w:pPr>
        <w:pStyle w:val="NoSpacing"/>
      </w:pPr>
    </w:p>
    <w:p w14:paraId="33564538" w14:textId="6B595329" w:rsidR="00BF7340" w:rsidRDefault="00BF7340" w:rsidP="00BF7340">
      <w:pPr>
        <w:pStyle w:val="NoSpacing"/>
        <w:rPr>
          <w:b/>
          <w:bCs/>
          <w:u w:val="single"/>
        </w:rPr>
      </w:pPr>
      <w:r w:rsidRPr="00146CFC">
        <w:rPr>
          <w:b/>
          <w:bCs/>
          <w:u w:val="single"/>
        </w:rPr>
        <w:t>Re-integration</w:t>
      </w:r>
      <w:r w:rsidR="00146CFC" w:rsidRPr="00146CFC">
        <w:rPr>
          <w:b/>
          <w:bCs/>
          <w:u w:val="single"/>
        </w:rPr>
        <w:t xml:space="preserve"> Process</w:t>
      </w:r>
    </w:p>
    <w:p w14:paraId="2020AF78" w14:textId="5FFAD6AF" w:rsidR="003A15BA" w:rsidRDefault="008F4DF7" w:rsidP="00BF7340">
      <w:pPr>
        <w:pStyle w:val="NoSpacing"/>
      </w:pPr>
      <w:r>
        <w:t xml:space="preserve">Some student placements at SKAPE may be for a temporary, short-term basis and re-integration is planned and expected to occur after </w:t>
      </w:r>
      <w:r w:rsidR="00DE02A8">
        <w:t>the time</w:t>
      </w:r>
      <w:r w:rsidR="00A703BF">
        <w:t xml:space="preserve"> </w:t>
      </w:r>
      <w:r w:rsidR="00DE02A8">
        <w:t xml:space="preserve">period requested by the commissioning school. </w:t>
      </w:r>
    </w:p>
    <w:p w14:paraId="7DAB832C" w14:textId="6A1BE189" w:rsidR="00A703BF" w:rsidRDefault="00A703BF" w:rsidP="00BF7340">
      <w:pPr>
        <w:pStyle w:val="NoSpacing"/>
      </w:pPr>
      <w:r>
        <w:t>However, in other cases, an end-date for the placement in not decided upon at th</w:t>
      </w:r>
      <w:r w:rsidR="005B2E34">
        <w:t xml:space="preserve">e outset </w:t>
      </w:r>
      <w:r w:rsidR="007949F9">
        <w:t>and so will be discussed after an appropriate duration</w:t>
      </w:r>
      <w:r w:rsidR="001C5305">
        <w:t>. It is for these cases that the procedure is explained below</w:t>
      </w:r>
      <w:r w:rsidR="00195DDD">
        <w:t xml:space="preserve">. </w:t>
      </w:r>
    </w:p>
    <w:p w14:paraId="27E19CE0" w14:textId="77777777" w:rsidR="006E062F" w:rsidRPr="00663596" w:rsidRDefault="006E062F" w:rsidP="00BF7340">
      <w:pPr>
        <w:pStyle w:val="NoSpacing"/>
      </w:pPr>
    </w:p>
    <w:p w14:paraId="750F7420" w14:textId="77777777" w:rsidR="006E062F" w:rsidRDefault="00146CFC" w:rsidP="00B61CB2">
      <w:pPr>
        <w:pStyle w:val="NoSpacing"/>
        <w:jc w:val="left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The re-integration process starts with communication between the commissioning school</w:t>
      </w:r>
      <w:r w:rsidR="003A15BA">
        <w:rPr>
          <w:rFonts w:asciiTheme="minorHAnsi" w:hAnsiTheme="minorHAnsi" w:cs="Times New Roman"/>
          <w:color w:val="auto"/>
        </w:rPr>
        <w:t>, the par</w:t>
      </w:r>
      <w:r w:rsidR="0046216B">
        <w:rPr>
          <w:rFonts w:asciiTheme="minorHAnsi" w:hAnsiTheme="minorHAnsi" w:cs="Times New Roman"/>
          <w:color w:val="auto"/>
        </w:rPr>
        <w:t>ent</w:t>
      </w:r>
      <w:r w:rsidR="003A15BA">
        <w:rPr>
          <w:rFonts w:asciiTheme="minorHAnsi" w:hAnsiTheme="minorHAnsi" w:cs="Times New Roman"/>
          <w:color w:val="auto"/>
        </w:rPr>
        <w:t>s/carers</w:t>
      </w:r>
      <w:r>
        <w:rPr>
          <w:rFonts w:asciiTheme="minorHAnsi" w:hAnsiTheme="minorHAnsi" w:cs="Times New Roman"/>
          <w:color w:val="auto"/>
        </w:rPr>
        <w:t xml:space="preserve"> and </w:t>
      </w:r>
      <w:r w:rsidR="003A15BA">
        <w:rPr>
          <w:rFonts w:asciiTheme="minorHAnsi" w:hAnsiTheme="minorHAnsi" w:cs="Times New Roman"/>
          <w:color w:val="auto"/>
        </w:rPr>
        <w:t xml:space="preserve">the SKAPE team. </w:t>
      </w:r>
    </w:p>
    <w:p w14:paraId="6031EADF" w14:textId="11543660" w:rsidR="006E062F" w:rsidRDefault="007C4156" w:rsidP="006E062F">
      <w:pPr>
        <w:pStyle w:val="NoSpacing"/>
        <w:jc w:val="left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A</w:t>
      </w:r>
      <w:r w:rsidR="006E062F">
        <w:rPr>
          <w:rFonts w:asciiTheme="minorHAnsi" w:hAnsiTheme="minorHAnsi" w:cs="Times New Roman"/>
          <w:color w:val="auto"/>
        </w:rPr>
        <w:t>t SKAPE, we consider a number of factors to be important for successful re-integration:</w:t>
      </w:r>
    </w:p>
    <w:p w14:paraId="760C4EF1" w14:textId="77777777" w:rsidR="006E062F" w:rsidRPr="008A142F" w:rsidRDefault="006E062F" w:rsidP="006E062F">
      <w:pPr>
        <w:pStyle w:val="NoSpacing"/>
      </w:pPr>
      <w:r w:rsidRPr="008A142F">
        <w:rPr>
          <w:i/>
          <w:iCs/>
        </w:rPr>
        <w:t>Child Factors:</w:t>
      </w:r>
    </w:p>
    <w:p w14:paraId="513D5CE6" w14:textId="77777777" w:rsidR="006E062F" w:rsidRPr="008A142F" w:rsidRDefault="006E062F" w:rsidP="006E062F">
      <w:pPr>
        <w:pStyle w:val="NoSpacing"/>
        <w:numPr>
          <w:ilvl w:val="0"/>
          <w:numId w:val="16"/>
        </w:numPr>
      </w:pPr>
      <w:r w:rsidRPr="008A142F">
        <w:t>Understands the re</w:t>
      </w:r>
      <w:r>
        <w:t>-</w:t>
      </w:r>
      <w:r w:rsidRPr="008A142F">
        <w:t>integration process</w:t>
      </w:r>
    </w:p>
    <w:p w14:paraId="3A21CC61" w14:textId="77777777" w:rsidR="006E062F" w:rsidRPr="008A142F" w:rsidRDefault="006E062F" w:rsidP="006E062F">
      <w:pPr>
        <w:pStyle w:val="NoSpacing"/>
        <w:numPr>
          <w:ilvl w:val="0"/>
          <w:numId w:val="16"/>
        </w:numPr>
      </w:pPr>
      <w:r w:rsidRPr="008A142F">
        <w:t>Positive self-esteem</w:t>
      </w:r>
    </w:p>
    <w:p w14:paraId="3DAA8380" w14:textId="77777777" w:rsidR="006E062F" w:rsidRPr="008A142F" w:rsidRDefault="006E062F" w:rsidP="006E062F">
      <w:pPr>
        <w:pStyle w:val="NoSpacing"/>
        <w:numPr>
          <w:ilvl w:val="0"/>
          <w:numId w:val="16"/>
        </w:numPr>
      </w:pPr>
      <w:r w:rsidRPr="008A142F">
        <w:t>Actively engaged in the process</w:t>
      </w:r>
    </w:p>
    <w:p w14:paraId="51838C4E" w14:textId="77777777" w:rsidR="006E062F" w:rsidRPr="008A142F" w:rsidRDefault="006E062F" w:rsidP="006E062F">
      <w:pPr>
        <w:pStyle w:val="NoSpacing"/>
        <w:numPr>
          <w:ilvl w:val="0"/>
          <w:numId w:val="16"/>
        </w:numPr>
      </w:pPr>
      <w:r w:rsidRPr="008A142F">
        <w:t>Wants to be successful</w:t>
      </w:r>
    </w:p>
    <w:p w14:paraId="3EAA7F20" w14:textId="77777777" w:rsidR="006E062F" w:rsidRPr="008A142F" w:rsidRDefault="006E062F" w:rsidP="006E062F">
      <w:pPr>
        <w:pStyle w:val="NoSpacing"/>
        <w:numPr>
          <w:ilvl w:val="0"/>
          <w:numId w:val="16"/>
        </w:numPr>
      </w:pPr>
      <w:r w:rsidRPr="008A142F">
        <w:t>Reflective</w:t>
      </w:r>
    </w:p>
    <w:p w14:paraId="2DDBD2F5" w14:textId="78757B5A" w:rsidR="006E062F" w:rsidRPr="008A142F" w:rsidRDefault="006E062F" w:rsidP="006E062F">
      <w:pPr>
        <w:pStyle w:val="NoSpacing"/>
      </w:pPr>
      <w:r w:rsidRPr="008A142F">
        <w:rPr>
          <w:i/>
          <w:iCs/>
        </w:rPr>
        <w:t>Parent</w:t>
      </w:r>
      <w:r w:rsidR="008A2730">
        <w:rPr>
          <w:i/>
          <w:iCs/>
        </w:rPr>
        <w:t>/Carer</w:t>
      </w:r>
      <w:r w:rsidRPr="008A142F">
        <w:rPr>
          <w:i/>
          <w:iCs/>
        </w:rPr>
        <w:t xml:space="preserve"> factors:</w:t>
      </w:r>
    </w:p>
    <w:p w14:paraId="6538BCCB" w14:textId="77777777" w:rsidR="006E062F" w:rsidRPr="008A142F" w:rsidRDefault="006E062F" w:rsidP="006E062F">
      <w:pPr>
        <w:pStyle w:val="NoSpacing"/>
        <w:numPr>
          <w:ilvl w:val="0"/>
          <w:numId w:val="17"/>
        </w:numPr>
      </w:pPr>
      <w:r w:rsidRPr="008A142F">
        <w:t>Understands the re</w:t>
      </w:r>
      <w:r>
        <w:t>-</w:t>
      </w:r>
      <w:r w:rsidRPr="008A142F">
        <w:t>integration process</w:t>
      </w:r>
    </w:p>
    <w:p w14:paraId="4CAFB600" w14:textId="77777777" w:rsidR="006E062F" w:rsidRPr="008A142F" w:rsidRDefault="006E062F" w:rsidP="006E062F">
      <w:pPr>
        <w:pStyle w:val="NoSpacing"/>
        <w:numPr>
          <w:ilvl w:val="0"/>
          <w:numId w:val="17"/>
        </w:numPr>
      </w:pPr>
      <w:r w:rsidRPr="008A142F">
        <w:t>Responsibility and ownership of the process</w:t>
      </w:r>
    </w:p>
    <w:p w14:paraId="0BE5FA51" w14:textId="77777777" w:rsidR="006E062F" w:rsidRPr="008A142F" w:rsidRDefault="006E062F" w:rsidP="006E062F">
      <w:pPr>
        <w:pStyle w:val="NoSpacing"/>
        <w:numPr>
          <w:ilvl w:val="0"/>
          <w:numId w:val="17"/>
        </w:numPr>
      </w:pPr>
      <w:r w:rsidRPr="008A142F">
        <w:t>Positive and supportive</w:t>
      </w:r>
    </w:p>
    <w:p w14:paraId="10C0A083" w14:textId="77777777" w:rsidR="006E062F" w:rsidRPr="008A142F" w:rsidRDefault="006E062F" w:rsidP="006E062F">
      <w:pPr>
        <w:pStyle w:val="NoSpacing"/>
        <w:numPr>
          <w:ilvl w:val="0"/>
          <w:numId w:val="17"/>
        </w:numPr>
      </w:pPr>
      <w:r w:rsidRPr="008A142F">
        <w:t>Realistic views and hopes</w:t>
      </w:r>
    </w:p>
    <w:p w14:paraId="48DA8613" w14:textId="77777777" w:rsidR="006E062F" w:rsidRPr="00B664B7" w:rsidRDefault="006E062F" w:rsidP="006E062F">
      <w:pPr>
        <w:pStyle w:val="NoSpacing"/>
        <w:jc w:val="left"/>
        <w:rPr>
          <w:rFonts w:asciiTheme="minorHAnsi" w:hAnsiTheme="minorHAnsi" w:cs="Times New Roman"/>
          <w:i/>
          <w:iCs/>
          <w:color w:val="auto"/>
        </w:rPr>
      </w:pPr>
      <w:r w:rsidRPr="00B664B7">
        <w:rPr>
          <w:rFonts w:asciiTheme="minorHAnsi" w:hAnsiTheme="minorHAnsi" w:cs="Times New Roman"/>
          <w:i/>
          <w:iCs/>
          <w:color w:val="auto"/>
        </w:rPr>
        <w:t>Systemic Factors:</w:t>
      </w:r>
    </w:p>
    <w:p w14:paraId="0256617F" w14:textId="77777777" w:rsidR="006E062F" w:rsidRPr="00663596" w:rsidRDefault="006E062F" w:rsidP="006E062F">
      <w:pPr>
        <w:pStyle w:val="NoSpacing"/>
        <w:numPr>
          <w:ilvl w:val="0"/>
          <w:numId w:val="15"/>
        </w:numPr>
      </w:pPr>
      <w:r w:rsidRPr="00663596">
        <w:t>Timely and individualised approach to re</w:t>
      </w:r>
      <w:r>
        <w:t>-</w:t>
      </w:r>
      <w:r w:rsidRPr="00663596">
        <w:t>integration</w:t>
      </w:r>
    </w:p>
    <w:p w14:paraId="46E6E967" w14:textId="77777777" w:rsidR="006E062F" w:rsidRPr="00663596" w:rsidRDefault="006E062F" w:rsidP="006E062F">
      <w:pPr>
        <w:pStyle w:val="NoSpacing"/>
        <w:numPr>
          <w:ilvl w:val="0"/>
          <w:numId w:val="15"/>
        </w:numPr>
      </w:pPr>
      <w:r w:rsidRPr="00663596">
        <w:t>Clear, regular, and honest communication</w:t>
      </w:r>
    </w:p>
    <w:p w14:paraId="2394EAF7" w14:textId="77777777" w:rsidR="006E062F" w:rsidRPr="00663596" w:rsidRDefault="006E062F" w:rsidP="006E062F">
      <w:pPr>
        <w:pStyle w:val="NoSpacing"/>
        <w:numPr>
          <w:ilvl w:val="0"/>
          <w:numId w:val="15"/>
        </w:numPr>
      </w:pPr>
      <w:r w:rsidRPr="00663596">
        <w:t xml:space="preserve">Continued support offered by </w:t>
      </w:r>
      <w:r>
        <w:t>SKAPE</w:t>
      </w:r>
      <w:r w:rsidRPr="00663596">
        <w:t xml:space="preserve"> to mainstream</w:t>
      </w:r>
      <w:r>
        <w:t xml:space="preserve"> school/setting</w:t>
      </w:r>
    </w:p>
    <w:p w14:paraId="2306C858" w14:textId="77777777" w:rsidR="006E062F" w:rsidRPr="00663596" w:rsidRDefault="006E062F" w:rsidP="006E062F">
      <w:pPr>
        <w:pStyle w:val="NoSpacing"/>
        <w:numPr>
          <w:ilvl w:val="0"/>
          <w:numId w:val="15"/>
        </w:numPr>
      </w:pPr>
      <w:r w:rsidRPr="00663596">
        <w:t>Child</w:t>
      </w:r>
      <w:r>
        <w:t>-</w:t>
      </w:r>
      <w:r w:rsidRPr="00663596">
        <w:t xml:space="preserve">centred approach with </w:t>
      </w:r>
      <w:r>
        <w:t xml:space="preserve">an </w:t>
      </w:r>
      <w:r w:rsidRPr="00663596">
        <w:t>individual support package</w:t>
      </w:r>
    </w:p>
    <w:p w14:paraId="56409DCD" w14:textId="77777777" w:rsidR="006E062F" w:rsidRDefault="006E062F" w:rsidP="006E062F">
      <w:pPr>
        <w:pStyle w:val="NoSpacing"/>
        <w:numPr>
          <w:ilvl w:val="0"/>
          <w:numId w:val="15"/>
        </w:numPr>
      </w:pPr>
      <w:r w:rsidRPr="00663596">
        <w:t>Clear and explained roles and boundaries</w:t>
      </w:r>
    </w:p>
    <w:p w14:paraId="0AC26F3B" w14:textId="77777777" w:rsidR="006E062F" w:rsidRDefault="006E062F" w:rsidP="00B61CB2">
      <w:pPr>
        <w:pStyle w:val="NoSpacing"/>
        <w:jc w:val="left"/>
        <w:rPr>
          <w:rFonts w:asciiTheme="minorHAnsi" w:hAnsiTheme="minorHAnsi" w:cs="Times New Roman"/>
          <w:color w:val="auto"/>
        </w:rPr>
      </w:pPr>
    </w:p>
    <w:p w14:paraId="151CA3CD" w14:textId="77777777" w:rsidR="00EA60E0" w:rsidRDefault="00B61CB2" w:rsidP="00B61CB2">
      <w:pPr>
        <w:pStyle w:val="NoSpacing"/>
        <w:jc w:val="left"/>
        <w:rPr>
          <w:bCs/>
        </w:rPr>
      </w:pPr>
      <w:r w:rsidRPr="00981531">
        <w:rPr>
          <w:rFonts w:asciiTheme="minorHAnsi" w:hAnsiTheme="minorHAnsi" w:cs="Times New Roman"/>
          <w:bCs/>
          <w:color w:val="auto"/>
        </w:rPr>
        <w:br/>
      </w:r>
      <w:r w:rsidR="00981531" w:rsidRPr="00981531">
        <w:rPr>
          <w:bCs/>
        </w:rPr>
        <w:t>Each child receives a k</w:t>
      </w:r>
      <w:r w:rsidR="00981531">
        <w:rPr>
          <w:bCs/>
        </w:rPr>
        <w:t>e</w:t>
      </w:r>
      <w:r w:rsidR="00981531" w:rsidRPr="00981531">
        <w:rPr>
          <w:bCs/>
        </w:rPr>
        <w:t xml:space="preserve">y worker at SKAPE who is an integral part of the re-integration process. </w:t>
      </w:r>
      <w:r w:rsidR="00981531">
        <w:rPr>
          <w:bCs/>
        </w:rPr>
        <w:t xml:space="preserve">The key </w:t>
      </w:r>
      <w:r w:rsidR="00981531">
        <w:rPr>
          <w:bCs/>
        </w:rPr>
        <w:lastRenderedPageBreak/>
        <w:t xml:space="preserve">worker will </w:t>
      </w:r>
      <w:r w:rsidR="001E0407">
        <w:rPr>
          <w:bCs/>
        </w:rPr>
        <w:t xml:space="preserve">liaise with the commissioning school as, at SKAPE, we understand that each child’s journey will look different. </w:t>
      </w:r>
      <w:r w:rsidR="006138C1">
        <w:rPr>
          <w:bCs/>
        </w:rPr>
        <w:t xml:space="preserve">The main role of the key worker in the re-integration process is to </w:t>
      </w:r>
      <w:r w:rsidR="00F30281">
        <w:rPr>
          <w:bCs/>
        </w:rPr>
        <w:t xml:space="preserve">implement a plan of transition back to mainstream </w:t>
      </w:r>
      <w:r w:rsidR="00246474">
        <w:rPr>
          <w:bCs/>
        </w:rPr>
        <w:t>setting</w:t>
      </w:r>
      <w:r w:rsidR="00EA60E0">
        <w:rPr>
          <w:bCs/>
        </w:rPr>
        <w:t xml:space="preserve"> </w:t>
      </w:r>
      <w:r w:rsidR="00F30281">
        <w:rPr>
          <w:bCs/>
        </w:rPr>
        <w:t>(or equivalent)</w:t>
      </w:r>
      <w:r w:rsidR="00E767B3">
        <w:rPr>
          <w:bCs/>
        </w:rPr>
        <w:t xml:space="preserve">. </w:t>
      </w:r>
      <w:r w:rsidR="00EA60E0">
        <w:rPr>
          <w:bCs/>
        </w:rPr>
        <w:t xml:space="preserve"> </w:t>
      </w:r>
    </w:p>
    <w:p w14:paraId="433B7877" w14:textId="3C385D5C" w:rsidR="00EA60E0" w:rsidRPr="00FC1BF9" w:rsidRDefault="00EA60E0" w:rsidP="00B61CB2">
      <w:pPr>
        <w:pStyle w:val="NoSpacing"/>
        <w:jc w:val="left"/>
        <w:rPr>
          <w:b/>
          <w:u w:val="single"/>
        </w:rPr>
      </w:pPr>
      <w:r w:rsidRPr="00FC1BF9">
        <w:rPr>
          <w:b/>
          <w:u w:val="single"/>
        </w:rPr>
        <w:t>After-care plan</w:t>
      </w:r>
    </w:p>
    <w:p w14:paraId="3314246C" w14:textId="3CE48532" w:rsidR="0028514A" w:rsidRPr="00981531" w:rsidRDefault="00E767B3" w:rsidP="00B61CB2">
      <w:pPr>
        <w:pStyle w:val="NoSpacing"/>
        <w:jc w:val="left"/>
        <w:rPr>
          <w:bCs/>
        </w:rPr>
      </w:pPr>
      <w:r>
        <w:rPr>
          <w:bCs/>
        </w:rPr>
        <w:t xml:space="preserve">In </w:t>
      </w:r>
      <w:r w:rsidR="00342BA7">
        <w:rPr>
          <w:bCs/>
        </w:rPr>
        <w:t>addition</w:t>
      </w:r>
      <w:r w:rsidR="00EA60E0">
        <w:rPr>
          <w:bCs/>
        </w:rPr>
        <w:t xml:space="preserve"> to implementing the initial transition back to school</w:t>
      </w:r>
      <w:r w:rsidR="00342BA7">
        <w:rPr>
          <w:bCs/>
        </w:rPr>
        <w:t>, the key worker will</w:t>
      </w:r>
      <w:r w:rsidR="000D3ED8">
        <w:rPr>
          <w:bCs/>
        </w:rPr>
        <w:t xml:space="preserve"> </w:t>
      </w:r>
      <w:r w:rsidR="00FC1BF9">
        <w:rPr>
          <w:bCs/>
        </w:rPr>
        <w:t xml:space="preserve">also </w:t>
      </w:r>
      <w:r w:rsidR="000D3ED8">
        <w:rPr>
          <w:bCs/>
        </w:rPr>
        <w:t xml:space="preserve">devise </w:t>
      </w:r>
      <w:r w:rsidR="00B661DE">
        <w:rPr>
          <w:bCs/>
        </w:rPr>
        <w:t xml:space="preserve">a timetable </w:t>
      </w:r>
      <w:r w:rsidR="005633F3">
        <w:rPr>
          <w:bCs/>
        </w:rPr>
        <w:t xml:space="preserve">for themselves to </w:t>
      </w:r>
      <w:r w:rsidR="00B661DE">
        <w:rPr>
          <w:bCs/>
        </w:rPr>
        <w:t>visit</w:t>
      </w:r>
      <w:r w:rsidR="00342BA7">
        <w:rPr>
          <w:bCs/>
        </w:rPr>
        <w:t xml:space="preserve"> the child at their mainstream setting</w:t>
      </w:r>
      <w:r w:rsidR="005633F3">
        <w:rPr>
          <w:bCs/>
        </w:rPr>
        <w:t>,</w:t>
      </w:r>
      <w:r w:rsidR="00B661DE">
        <w:rPr>
          <w:bCs/>
        </w:rPr>
        <w:t xml:space="preserve"> once the child has settled</w:t>
      </w:r>
      <w:r w:rsidR="00246474">
        <w:rPr>
          <w:bCs/>
        </w:rPr>
        <w:t xml:space="preserve"> there, in order</w:t>
      </w:r>
      <w:r w:rsidR="00B661DE">
        <w:rPr>
          <w:bCs/>
        </w:rPr>
        <w:t xml:space="preserve"> to aid </w:t>
      </w:r>
      <w:r w:rsidR="005B6E81">
        <w:rPr>
          <w:bCs/>
        </w:rPr>
        <w:t>incl</w:t>
      </w:r>
      <w:r w:rsidR="00246474">
        <w:rPr>
          <w:bCs/>
        </w:rPr>
        <w:t>usio</w:t>
      </w:r>
      <w:r w:rsidR="005B6E81">
        <w:rPr>
          <w:bCs/>
        </w:rPr>
        <w:t xml:space="preserve">n and progress. </w:t>
      </w:r>
      <w:r w:rsidR="00142CC2">
        <w:rPr>
          <w:bCs/>
        </w:rPr>
        <w:t xml:space="preserve">This process might look different for every child, and will be a be-spoke, child-centred approach that focuses on the individual child’s needs. SKAPE is committed to </w:t>
      </w:r>
      <w:r w:rsidR="0022738C">
        <w:rPr>
          <w:bCs/>
        </w:rPr>
        <w:t>clearly and honestly communicating with the commissioning school and parents to devise</w:t>
      </w:r>
      <w:r w:rsidR="00C17537">
        <w:rPr>
          <w:bCs/>
        </w:rPr>
        <w:t xml:space="preserve">/revise a plan of visitations and support that aims to </w:t>
      </w:r>
      <w:r w:rsidR="00214FD4">
        <w:rPr>
          <w:bCs/>
        </w:rPr>
        <w:t xml:space="preserve">result in successful reintegration. </w:t>
      </w:r>
    </w:p>
    <w:p w14:paraId="492A0D23" w14:textId="77777777" w:rsidR="007A5710" w:rsidRDefault="007A5710" w:rsidP="007A5710">
      <w:pPr>
        <w:pStyle w:val="NoSpacing"/>
      </w:pPr>
    </w:p>
    <w:p w14:paraId="2093C91D" w14:textId="7EEF7C08" w:rsidR="00F11B4F" w:rsidRDefault="00B61CB2" w:rsidP="00151C72">
      <w:pPr>
        <w:pStyle w:val="NoSpacing"/>
        <w:jc w:val="left"/>
      </w:pPr>
      <w:r>
        <w:rPr>
          <w:rFonts w:asciiTheme="minorHAnsi" w:hAnsiTheme="minorHAnsi" w:cs="Times New Roman"/>
          <w:color w:val="auto"/>
        </w:rPr>
        <w:br/>
      </w:r>
      <w:r w:rsidR="00F11B4F">
        <w:t xml:space="preserve">Signed: </w:t>
      </w:r>
      <w:r w:rsidR="00656AD5">
        <w:t xml:space="preserve"> </w:t>
      </w:r>
      <w:r w:rsidR="00151C72">
        <w:t>L. James</w:t>
      </w:r>
      <w:r w:rsidR="00F11B4F">
        <w:tab/>
      </w:r>
      <w:r w:rsidR="00F11B4F">
        <w:tab/>
      </w:r>
      <w:r w:rsidR="00F11B4F">
        <w:tab/>
      </w:r>
      <w:r w:rsidR="00F11B4F">
        <w:tab/>
        <w:t xml:space="preserve">Date: </w:t>
      </w:r>
      <w:r w:rsidR="00151C72">
        <w:t>02/07/2024</w:t>
      </w:r>
      <w:r w:rsidR="00656AD5">
        <w:br/>
      </w:r>
      <w:r w:rsidR="00F11B4F">
        <w:t xml:space="preserve">Print Name: </w:t>
      </w:r>
      <w:r w:rsidR="00B03F40">
        <w:t>L</w:t>
      </w:r>
      <w:r w:rsidR="00F11B4F">
        <w:t>. James</w:t>
      </w:r>
      <w:r w:rsidR="00656AD5">
        <w:br/>
      </w:r>
      <w:r w:rsidR="00F11B4F">
        <w:t xml:space="preserve">Reviewed: Annually                                                                         </w:t>
      </w:r>
      <w:r w:rsidR="00656AD5">
        <w:br/>
      </w:r>
      <w:r w:rsidR="00F11B4F">
        <w:t xml:space="preserve">Review Date: </w:t>
      </w:r>
      <w:r w:rsidR="00151C72">
        <w:t>07/2024</w:t>
      </w:r>
    </w:p>
    <w:p w14:paraId="609727DD" w14:textId="77777777" w:rsidR="00F11B4F" w:rsidRPr="00A0754D" w:rsidRDefault="00F11B4F" w:rsidP="00F11B4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-48"/>
        <w:tblW w:w="10172" w:type="dxa"/>
        <w:tblLook w:val="04A0" w:firstRow="1" w:lastRow="0" w:firstColumn="1" w:lastColumn="0" w:noHBand="0" w:noVBand="1"/>
      </w:tblPr>
      <w:tblGrid>
        <w:gridCol w:w="1278"/>
        <w:gridCol w:w="5923"/>
        <w:gridCol w:w="1839"/>
        <w:gridCol w:w="1132"/>
      </w:tblGrid>
      <w:tr w:rsidR="00F11B4F" w:rsidRPr="00491D31" w14:paraId="4E949F3F" w14:textId="77777777" w:rsidTr="00E9692F">
        <w:tc>
          <w:tcPr>
            <w:tcW w:w="1242" w:type="dxa"/>
          </w:tcPr>
          <w:p w14:paraId="21E12A52" w14:textId="4C1AB280" w:rsidR="00F11B4F" w:rsidRPr="00491D31" w:rsidRDefault="00F11B4F" w:rsidP="00E9692F">
            <w:pPr>
              <w:rPr>
                <w:b/>
              </w:rPr>
            </w:pPr>
            <w:r w:rsidRPr="00491D31">
              <w:rPr>
                <w:b/>
              </w:rPr>
              <w:t xml:space="preserve">Date </w:t>
            </w:r>
          </w:p>
        </w:tc>
        <w:tc>
          <w:tcPr>
            <w:tcW w:w="5954" w:type="dxa"/>
          </w:tcPr>
          <w:p w14:paraId="562147E1" w14:textId="77777777" w:rsidR="00F11B4F" w:rsidRPr="00491D31" w:rsidRDefault="00F11B4F" w:rsidP="00E9692F">
            <w:pPr>
              <w:rPr>
                <w:b/>
              </w:rPr>
            </w:pPr>
            <w:r w:rsidRPr="00491D31">
              <w:rPr>
                <w:b/>
              </w:rPr>
              <w:t>Reason for Change</w:t>
            </w:r>
          </w:p>
        </w:tc>
        <w:tc>
          <w:tcPr>
            <w:tcW w:w="1843" w:type="dxa"/>
          </w:tcPr>
          <w:p w14:paraId="55CF7680" w14:textId="77777777" w:rsidR="00F11B4F" w:rsidRPr="00491D31" w:rsidRDefault="00F11B4F" w:rsidP="00E9692F">
            <w:pPr>
              <w:rPr>
                <w:b/>
              </w:rPr>
            </w:pPr>
            <w:r w:rsidRPr="00491D31">
              <w:rPr>
                <w:b/>
              </w:rPr>
              <w:t>Approved By</w:t>
            </w:r>
          </w:p>
        </w:tc>
        <w:tc>
          <w:tcPr>
            <w:tcW w:w="1133" w:type="dxa"/>
          </w:tcPr>
          <w:p w14:paraId="1301FEB2" w14:textId="77777777" w:rsidR="00F11B4F" w:rsidRPr="00491D31" w:rsidRDefault="00F11B4F" w:rsidP="00E9692F">
            <w:pPr>
              <w:rPr>
                <w:b/>
              </w:rPr>
            </w:pPr>
            <w:r w:rsidRPr="00491D31">
              <w:rPr>
                <w:b/>
              </w:rPr>
              <w:t>Revision Number</w:t>
            </w:r>
          </w:p>
        </w:tc>
      </w:tr>
      <w:tr w:rsidR="00F11B4F" w:rsidRPr="00491D31" w14:paraId="52B42904" w14:textId="77777777" w:rsidTr="00E9692F">
        <w:tc>
          <w:tcPr>
            <w:tcW w:w="1242" w:type="dxa"/>
          </w:tcPr>
          <w:p w14:paraId="36AE10A6" w14:textId="078DFE39" w:rsidR="00F11B4F" w:rsidRPr="00491D31" w:rsidRDefault="00151C72" w:rsidP="00E9692F">
            <w:r>
              <w:t>02/07/2024</w:t>
            </w:r>
          </w:p>
        </w:tc>
        <w:tc>
          <w:tcPr>
            <w:tcW w:w="5954" w:type="dxa"/>
          </w:tcPr>
          <w:p w14:paraId="4EC18533" w14:textId="77777777" w:rsidR="00F11B4F" w:rsidRPr="00491D31" w:rsidRDefault="00F11B4F" w:rsidP="00E9692F">
            <w:r w:rsidRPr="00491D31">
              <w:t>Initial Policy Written</w:t>
            </w:r>
          </w:p>
        </w:tc>
        <w:tc>
          <w:tcPr>
            <w:tcW w:w="1843" w:type="dxa"/>
          </w:tcPr>
          <w:p w14:paraId="711FC7A5" w14:textId="77777777" w:rsidR="00F11B4F" w:rsidRPr="00491D31" w:rsidRDefault="00F11B4F" w:rsidP="00E9692F">
            <w:r w:rsidRPr="00491D31">
              <w:t>K Watson</w:t>
            </w:r>
          </w:p>
        </w:tc>
        <w:tc>
          <w:tcPr>
            <w:tcW w:w="1133" w:type="dxa"/>
          </w:tcPr>
          <w:p w14:paraId="6B3B0823" w14:textId="77777777" w:rsidR="00F11B4F" w:rsidRPr="00491D31" w:rsidRDefault="00F11B4F" w:rsidP="00E9692F">
            <w:r w:rsidRPr="00491D31">
              <w:t>Rev 1</w:t>
            </w:r>
          </w:p>
        </w:tc>
      </w:tr>
      <w:tr w:rsidR="00F11B4F" w:rsidRPr="00491D31" w14:paraId="4B45992F" w14:textId="77777777" w:rsidTr="00E9692F">
        <w:tc>
          <w:tcPr>
            <w:tcW w:w="1242" w:type="dxa"/>
          </w:tcPr>
          <w:p w14:paraId="6496537F" w14:textId="439C63BA" w:rsidR="00F11B4F" w:rsidRPr="00491D31" w:rsidRDefault="00F11B4F" w:rsidP="00E9692F"/>
        </w:tc>
        <w:tc>
          <w:tcPr>
            <w:tcW w:w="5954" w:type="dxa"/>
          </w:tcPr>
          <w:p w14:paraId="760E0F31" w14:textId="785A848F" w:rsidR="00F11B4F" w:rsidRPr="00491D31" w:rsidRDefault="00F11B4F" w:rsidP="00E9692F"/>
        </w:tc>
        <w:tc>
          <w:tcPr>
            <w:tcW w:w="1843" w:type="dxa"/>
          </w:tcPr>
          <w:p w14:paraId="1469C5C3" w14:textId="61AAA11F" w:rsidR="00F11B4F" w:rsidRPr="00491D31" w:rsidRDefault="00F11B4F" w:rsidP="00E9692F"/>
        </w:tc>
        <w:tc>
          <w:tcPr>
            <w:tcW w:w="1133" w:type="dxa"/>
          </w:tcPr>
          <w:p w14:paraId="38D4802A" w14:textId="77777777" w:rsidR="00F11B4F" w:rsidRPr="00491D31" w:rsidRDefault="00F11B4F" w:rsidP="00E9692F"/>
        </w:tc>
      </w:tr>
      <w:tr w:rsidR="00F11B4F" w:rsidRPr="00491D31" w14:paraId="4A8E9B06" w14:textId="77777777" w:rsidTr="00E9692F">
        <w:tc>
          <w:tcPr>
            <w:tcW w:w="1242" w:type="dxa"/>
          </w:tcPr>
          <w:p w14:paraId="48127651" w14:textId="77777777" w:rsidR="00F11B4F" w:rsidRPr="00491D31" w:rsidRDefault="00F11B4F" w:rsidP="00E9692F"/>
        </w:tc>
        <w:tc>
          <w:tcPr>
            <w:tcW w:w="5954" w:type="dxa"/>
          </w:tcPr>
          <w:p w14:paraId="0751DDE4" w14:textId="77777777" w:rsidR="00F11B4F" w:rsidRPr="00491D31" w:rsidRDefault="00F11B4F" w:rsidP="00E9692F"/>
        </w:tc>
        <w:tc>
          <w:tcPr>
            <w:tcW w:w="1843" w:type="dxa"/>
          </w:tcPr>
          <w:p w14:paraId="6ABA2CD9" w14:textId="77777777" w:rsidR="00F11B4F" w:rsidRPr="00491D31" w:rsidRDefault="00F11B4F" w:rsidP="00E9692F"/>
        </w:tc>
        <w:tc>
          <w:tcPr>
            <w:tcW w:w="1133" w:type="dxa"/>
          </w:tcPr>
          <w:p w14:paraId="03576371" w14:textId="77777777" w:rsidR="00F11B4F" w:rsidRPr="00491D31" w:rsidRDefault="00F11B4F" w:rsidP="00E9692F"/>
        </w:tc>
      </w:tr>
      <w:tr w:rsidR="00F11B4F" w:rsidRPr="00491D31" w14:paraId="64DE751D" w14:textId="77777777" w:rsidTr="00E9692F">
        <w:tc>
          <w:tcPr>
            <w:tcW w:w="1242" w:type="dxa"/>
          </w:tcPr>
          <w:p w14:paraId="5BDE1F20" w14:textId="77777777" w:rsidR="00F11B4F" w:rsidRPr="00491D31" w:rsidRDefault="00F11B4F" w:rsidP="00E9692F"/>
        </w:tc>
        <w:tc>
          <w:tcPr>
            <w:tcW w:w="5954" w:type="dxa"/>
          </w:tcPr>
          <w:p w14:paraId="735D08AE" w14:textId="77777777" w:rsidR="00F11B4F" w:rsidRPr="00491D31" w:rsidRDefault="00F11B4F" w:rsidP="00E9692F"/>
        </w:tc>
        <w:tc>
          <w:tcPr>
            <w:tcW w:w="1843" w:type="dxa"/>
          </w:tcPr>
          <w:p w14:paraId="5322F74B" w14:textId="77777777" w:rsidR="00F11B4F" w:rsidRPr="00491D31" w:rsidRDefault="00F11B4F" w:rsidP="00E9692F"/>
        </w:tc>
        <w:tc>
          <w:tcPr>
            <w:tcW w:w="1133" w:type="dxa"/>
          </w:tcPr>
          <w:p w14:paraId="7F75CA4A" w14:textId="77777777" w:rsidR="00F11B4F" w:rsidRPr="00491D31" w:rsidRDefault="00F11B4F" w:rsidP="00E9692F"/>
        </w:tc>
      </w:tr>
      <w:tr w:rsidR="00F11B4F" w:rsidRPr="00491D31" w14:paraId="13480B12" w14:textId="77777777" w:rsidTr="00E9692F">
        <w:tc>
          <w:tcPr>
            <w:tcW w:w="1242" w:type="dxa"/>
          </w:tcPr>
          <w:p w14:paraId="453FB9AB" w14:textId="77777777" w:rsidR="00F11B4F" w:rsidRPr="00491D31" w:rsidRDefault="00F11B4F" w:rsidP="00E9692F"/>
        </w:tc>
        <w:tc>
          <w:tcPr>
            <w:tcW w:w="5954" w:type="dxa"/>
          </w:tcPr>
          <w:p w14:paraId="38C2B0AF" w14:textId="77777777" w:rsidR="00F11B4F" w:rsidRPr="00491D31" w:rsidRDefault="00F11B4F" w:rsidP="00E9692F"/>
        </w:tc>
        <w:tc>
          <w:tcPr>
            <w:tcW w:w="1843" w:type="dxa"/>
          </w:tcPr>
          <w:p w14:paraId="20010211" w14:textId="77777777" w:rsidR="00F11B4F" w:rsidRPr="00491D31" w:rsidRDefault="00F11B4F" w:rsidP="00E9692F"/>
        </w:tc>
        <w:tc>
          <w:tcPr>
            <w:tcW w:w="1133" w:type="dxa"/>
          </w:tcPr>
          <w:p w14:paraId="61B90D81" w14:textId="77777777" w:rsidR="00F11B4F" w:rsidRPr="00491D31" w:rsidRDefault="00F11B4F" w:rsidP="00E9692F"/>
        </w:tc>
      </w:tr>
      <w:tr w:rsidR="00F11B4F" w:rsidRPr="00491D31" w14:paraId="31F9027D" w14:textId="77777777" w:rsidTr="00E9692F">
        <w:tc>
          <w:tcPr>
            <w:tcW w:w="1242" w:type="dxa"/>
          </w:tcPr>
          <w:p w14:paraId="4DDD7905" w14:textId="77777777" w:rsidR="00F11B4F" w:rsidRPr="00491D31" w:rsidRDefault="00F11B4F" w:rsidP="00E9692F"/>
        </w:tc>
        <w:tc>
          <w:tcPr>
            <w:tcW w:w="5954" w:type="dxa"/>
          </w:tcPr>
          <w:p w14:paraId="44789998" w14:textId="77777777" w:rsidR="00F11B4F" w:rsidRPr="00491D31" w:rsidRDefault="00F11B4F" w:rsidP="00E9692F"/>
        </w:tc>
        <w:tc>
          <w:tcPr>
            <w:tcW w:w="1843" w:type="dxa"/>
          </w:tcPr>
          <w:p w14:paraId="61A941D2" w14:textId="77777777" w:rsidR="00F11B4F" w:rsidRPr="00491D31" w:rsidRDefault="00F11B4F" w:rsidP="00E9692F"/>
        </w:tc>
        <w:tc>
          <w:tcPr>
            <w:tcW w:w="1133" w:type="dxa"/>
          </w:tcPr>
          <w:p w14:paraId="354EFAD1" w14:textId="77777777" w:rsidR="00F11B4F" w:rsidRPr="00491D31" w:rsidRDefault="00F11B4F" w:rsidP="00E9692F"/>
        </w:tc>
      </w:tr>
      <w:tr w:rsidR="00F11B4F" w:rsidRPr="00491D31" w14:paraId="0B9D4AB8" w14:textId="77777777" w:rsidTr="00E9692F">
        <w:tc>
          <w:tcPr>
            <w:tcW w:w="1242" w:type="dxa"/>
          </w:tcPr>
          <w:p w14:paraId="38E131BA" w14:textId="77777777" w:rsidR="00F11B4F" w:rsidRPr="00491D31" w:rsidRDefault="00F11B4F" w:rsidP="00E9692F"/>
        </w:tc>
        <w:tc>
          <w:tcPr>
            <w:tcW w:w="5954" w:type="dxa"/>
          </w:tcPr>
          <w:p w14:paraId="323D8EE1" w14:textId="77777777" w:rsidR="00F11B4F" w:rsidRPr="00491D31" w:rsidRDefault="00F11B4F" w:rsidP="00E9692F"/>
        </w:tc>
        <w:tc>
          <w:tcPr>
            <w:tcW w:w="1843" w:type="dxa"/>
          </w:tcPr>
          <w:p w14:paraId="7E9F0D33" w14:textId="77777777" w:rsidR="00F11B4F" w:rsidRPr="00491D31" w:rsidRDefault="00F11B4F" w:rsidP="00E9692F"/>
        </w:tc>
        <w:tc>
          <w:tcPr>
            <w:tcW w:w="1133" w:type="dxa"/>
          </w:tcPr>
          <w:p w14:paraId="36CA57F6" w14:textId="77777777" w:rsidR="00F11B4F" w:rsidRPr="00491D31" w:rsidRDefault="00F11B4F" w:rsidP="00E9692F"/>
        </w:tc>
      </w:tr>
      <w:tr w:rsidR="00F11B4F" w:rsidRPr="00491D31" w14:paraId="3373D981" w14:textId="77777777" w:rsidTr="00E9692F">
        <w:tc>
          <w:tcPr>
            <w:tcW w:w="1242" w:type="dxa"/>
          </w:tcPr>
          <w:p w14:paraId="2C4819DC" w14:textId="77777777" w:rsidR="00F11B4F" w:rsidRPr="00491D31" w:rsidRDefault="00F11B4F" w:rsidP="00E9692F"/>
        </w:tc>
        <w:tc>
          <w:tcPr>
            <w:tcW w:w="5954" w:type="dxa"/>
          </w:tcPr>
          <w:p w14:paraId="6514DC6B" w14:textId="77777777" w:rsidR="00F11B4F" w:rsidRPr="00491D31" w:rsidRDefault="00F11B4F" w:rsidP="00E9692F"/>
        </w:tc>
        <w:tc>
          <w:tcPr>
            <w:tcW w:w="1843" w:type="dxa"/>
          </w:tcPr>
          <w:p w14:paraId="6C58EA5B" w14:textId="77777777" w:rsidR="00F11B4F" w:rsidRPr="00491D31" w:rsidRDefault="00F11B4F" w:rsidP="00E9692F"/>
        </w:tc>
        <w:tc>
          <w:tcPr>
            <w:tcW w:w="1133" w:type="dxa"/>
          </w:tcPr>
          <w:p w14:paraId="2A239E12" w14:textId="77777777" w:rsidR="00F11B4F" w:rsidRPr="00491D31" w:rsidRDefault="00F11B4F" w:rsidP="00E9692F"/>
        </w:tc>
      </w:tr>
      <w:tr w:rsidR="00F11B4F" w:rsidRPr="00491D31" w14:paraId="0E4839C3" w14:textId="77777777" w:rsidTr="00E9692F">
        <w:tc>
          <w:tcPr>
            <w:tcW w:w="1242" w:type="dxa"/>
          </w:tcPr>
          <w:p w14:paraId="7E6BEFD8" w14:textId="77777777" w:rsidR="00F11B4F" w:rsidRPr="00491D31" w:rsidRDefault="00F11B4F" w:rsidP="00E9692F"/>
        </w:tc>
        <w:tc>
          <w:tcPr>
            <w:tcW w:w="5954" w:type="dxa"/>
          </w:tcPr>
          <w:p w14:paraId="0DDD2456" w14:textId="77777777" w:rsidR="00F11B4F" w:rsidRPr="00491D31" w:rsidRDefault="00F11B4F" w:rsidP="00E9692F"/>
        </w:tc>
        <w:tc>
          <w:tcPr>
            <w:tcW w:w="1843" w:type="dxa"/>
          </w:tcPr>
          <w:p w14:paraId="77C7BC40" w14:textId="77777777" w:rsidR="00F11B4F" w:rsidRPr="00491D31" w:rsidRDefault="00F11B4F" w:rsidP="00E9692F"/>
        </w:tc>
        <w:tc>
          <w:tcPr>
            <w:tcW w:w="1133" w:type="dxa"/>
          </w:tcPr>
          <w:p w14:paraId="448DC841" w14:textId="77777777" w:rsidR="00F11B4F" w:rsidRPr="00491D31" w:rsidRDefault="00F11B4F" w:rsidP="00E9692F"/>
        </w:tc>
      </w:tr>
    </w:tbl>
    <w:p w14:paraId="20021D19" w14:textId="77777777" w:rsidR="00AC2748" w:rsidRDefault="00AC2748" w:rsidP="00022015">
      <w:pPr>
        <w:tabs>
          <w:tab w:val="left" w:pos="5370"/>
        </w:tabs>
        <w:rPr>
          <w:rFonts w:ascii="Averta" w:hAnsi="Averta"/>
          <w:sz w:val="32"/>
          <w:szCs w:val="32"/>
        </w:rPr>
      </w:pPr>
    </w:p>
    <w:p w14:paraId="35784A5B" w14:textId="77777777" w:rsidR="00AC2748" w:rsidRDefault="00AC2748" w:rsidP="00022015">
      <w:pPr>
        <w:tabs>
          <w:tab w:val="left" w:pos="5370"/>
        </w:tabs>
        <w:rPr>
          <w:rFonts w:ascii="Averta" w:hAnsi="Averta"/>
          <w:sz w:val="32"/>
          <w:szCs w:val="32"/>
        </w:rPr>
      </w:pPr>
    </w:p>
    <w:p w14:paraId="5F173415" w14:textId="77777777" w:rsidR="00AC2748" w:rsidRDefault="00AC2748" w:rsidP="00022015">
      <w:pPr>
        <w:tabs>
          <w:tab w:val="left" w:pos="5370"/>
        </w:tabs>
        <w:rPr>
          <w:rFonts w:ascii="Averta" w:hAnsi="Averta"/>
          <w:sz w:val="32"/>
          <w:szCs w:val="32"/>
        </w:rPr>
      </w:pPr>
    </w:p>
    <w:p w14:paraId="69DC7C4D" w14:textId="77777777" w:rsidR="00AC2748" w:rsidRDefault="00AC2748" w:rsidP="00022015">
      <w:pPr>
        <w:tabs>
          <w:tab w:val="left" w:pos="5370"/>
        </w:tabs>
        <w:rPr>
          <w:rFonts w:ascii="Averta" w:hAnsi="Avert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" w:tblpY="1373"/>
        <w:tblW w:w="25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3848"/>
        <w:gridCol w:w="3848"/>
        <w:gridCol w:w="3848"/>
        <w:gridCol w:w="3848"/>
        <w:gridCol w:w="2322"/>
        <w:gridCol w:w="5817"/>
      </w:tblGrid>
      <w:tr w:rsidR="003E25B0" w14:paraId="1AF279E4" w14:textId="77777777" w:rsidTr="003E25B0">
        <w:trPr>
          <w:trHeight w:val="292"/>
        </w:trPr>
        <w:tc>
          <w:tcPr>
            <w:tcW w:w="2290" w:type="dxa"/>
          </w:tcPr>
          <w:p w14:paraId="123EE3D1" w14:textId="7FE712B9" w:rsidR="003E25B0" w:rsidRDefault="003E25B0" w:rsidP="001A5A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48" w:type="dxa"/>
          </w:tcPr>
          <w:p w14:paraId="42967D81" w14:textId="51F26009" w:rsidR="003E25B0" w:rsidRDefault="003E25B0" w:rsidP="001A5A31">
            <w:pPr>
              <w:rPr>
                <w:rFonts w:cstheme="minorHAnsi"/>
              </w:rPr>
            </w:pPr>
          </w:p>
        </w:tc>
        <w:tc>
          <w:tcPr>
            <w:tcW w:w="3848" w:type="dxa"/>
          </w:tcPr>
          <w:p w14:paraId="3907C1CF" w14:textId="20C8634E" w:rsidR="003E25B0" w:rsidRDefault="003E25B0" w:rsidP="001A5A31">
            <w:pPr>
              <w:rPr>
                <w:rFonts w:cstheme="minorHAnsi"/>
              </w:rPr>
            </w:pPr>
          </w:p>
        </w:tc>
        <w:tc>
          <w:tcPr>
            <w:tcW w:w="3848" w:type="dxa"/>
          </w:tcPr>
          <w:p w14:paraId="29F97817" w14:textId="063EF9F4" w:rsidR="003E25B0" w:rsidRDefault="003E25B0" w:rsidP="001A5A31">
            <w:pPr>
              <w:rPr>
                <w:rFonts w:cstheme="minorHAnsi"/>
              </w:rPr>
            </w:pPr>
          </w:p>
        </w:tc>
        <w:tc>
          <w:tcPr>
            <w:tcW w:w="3848" w:type="dxa"/>
          </w:tcPr>
          <w:p w14:paraId="11B673A3" w14:textId="21829777" w:rsidR="003E25B0" w:rsidRDefault="003E25B0" w:rsidP="001A5A31">
            <w:pPr>
              <w:rPr>
                <w:rFonts w:cstheme="minorHAnsi"/>
              </w:rPr>
            </w:pPr>
          </w:p>
        </w:tc>
        <w:tc>
          <w:tcPr>
            <w:tcW w:w="2322" w:type="dxa"/>
          </w:tcPr>
          <w:p w14:paraId="1F7EFC39" w14:textId="562CCC4C" w:rsidR="003E25B0" w:rsidRDefault="003E25B0" w:rsidP="001A5A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817" w:type="dxa"/>
          </w:tcPr>
          <w:p w14:paraId="659EDF89" w14:textId="5A06E930" w:rsidR="003E25B0" w:rsidRDefault="003E25B0" w:rsidP="001A5A31">
            <w:pPr>
              <w:rPr>
                <w:rFonts w:cstheme="minorHAnsi"/>
              </w:rPr>
            </w:pPr>
          </w:p>
        </w:tc>
      </w:tr>
    </w:tbl>
    <w:p w14:paraId="461BC818" w14:textId="33C81C25" w:rsidR="00490853" w:rsidRDefault="002F71D2">
      <w:pPr>
        <w:rPr>
          <w:rFonts w:ascii="Averta" w:hAnsi="Averta"/>
          <w:b/>
          <w:bCs/>
        </w:rPr>
      </w:pPr>
      <w:r>
        <w:rPr>
          <w:rFonts w:ascii="Averta" w:hAnsi="Averta"/>
          <w:b/>
          <w:bCs/>
        </w:rPr>
        <w:br/>
      </w:r>
      <w:r w:rsidR="00490853" w:rsidRPr="00B91CDF">
        <w:rPr>
          <w:rFonts w:ascii="Averta" w:hAnsi="Averta"/>
          <w:b/>
          <w:bCs/>
        </w:rPr>
        <w:br/>
      </w:r>
      <w:r w:rsidR="001A5A31">
        <w:rPr>
          <w:rFonts w:ascii="Averta" w:hAnsi="Averta"/>
          <w:b/>
          <w:bCs/>
        </w:rPr>
        <w:br/>
      </w:r>
    </w:p>
    <w:p w14:paraId="370ACBBD" w14:textId="77777777" w:rsidR="00451210" w:rsidRDefault="00451210">
      <w:pPr>
        <w:rPr>
          <w:rFonts w:ascii="Averta" w:hAnsi="Averta"/>
          <w:b/>
          <w:bCs/>
        </w:rPr>
      </w:pPr>
    </w:p>
    <w:p w14:paraId="3937A7B5" w14:textId="77777777" w:rsidR="00451210" w:rsidRDefault="00451210">
      <w:pPr>
        <w:rPr>
          <w:rFonts w:ascii="Averta" w:hAnsi="Averta"/>
          <w:b/>
          <w:bCs/>
        </w:rPr>
      </w:pPr>
    </w:p>
    <w:p w14:paraId="040F27B9" w14:textId="77777777" w:rsidR="00451210" w:rsidRDefault="00451210">
      <w:pPr>
        <w:rPr>
          <w:rFonts w:ascii="Averta" w:hAnsi="Averta"/>
          <w:b/>
          <w:bCs/>
        </w:rPr>
      </w:pPr>
    </w:p>
    <w:p w14:paraId="6FC8BAAD" w14:textId="77777777" w:rsidR="00451210" w:rsidRDefault="00451210">
      <w:pPr>
        <w:rPr>
          <w:rFonts w:ascii="Averta" w:hAnsi="Averta"/>
          <w:b/>
          <w:bCs/>
        </w:rPr>
      </w:pPr>
    </w:p>
    <w:p w14:paraId="7B136A0D" w14:textId="77777777" w:rsidR="00451210" w:rsidRDefault="00451210">
      <w:pPr>
        <w:rPr>
          <w:rFonts w:ascii="Averta" w:hAnsi="Averta"/>
          <w:b/>
          <w:bCs/>
        </w:rPr>
      </w:pPr>
    </w:p>
    <w:p w14:paraId="36DF1BC5" w14:textId="77777777" w:rsidR="00451210" w:rsidRDefault="00451210">
      <w:pPr>
        <w:rPr>
          <w:rFonts w:ascii="Averta" w:hAnsi="Averta"/>
          <w:b/>
          <w:bCs/>
        </w:rPr>
      </w:pPr>
    </w:p>
    <w:p w14:paraId="3166239B" w14:textId="77777777" w:rsidR="00451210" w:rsidRDefault="00451210">
      <w:pPr>
        <w:rPr>
          <w:rFonts w:ascii="Averta" w:hAnsi="Averta"/>
          <w:b/>
          <w:bCs/>
        </w:rPr>
      </w:pPr>
    </w:p>
    <w:p w14:paraId="1E53F7D1" w14:textId="77777777" w:rsidR="00451210" w:rsidRDefault="00451210">
      <w:pPr>
        <w:rPr>
          <w:rFonts w:ascii="Averta" w:hAnsi="Averta"/>
          <w:b/>
          <w:bCs/>
        </w:rPr>
      </w:pPr>
    </w:p>
    <w:p w14:paraId="1D3931E3" w14:textId="77777777" w:rsidR="00451210" w:rsidRDefault="00451210">
      <w:pPr>
        <w:rPr>
          <w:rFonts w:ascii="Averta" w:hAnsi="Averta"/>
          <w:b/>
          <w:bCs/>
        </w:rPr>
      </w:pPr>
    </w:p>
    <w:p w14:paraId="28E2CFA0" w14:textId="77777777" w:rsidR="00451210" w:rsidRDefault="00451210">
      <w:pPr>
        <w:rPr>
          <w:rFonts w:ascii="Averta" w:hAnsi="Averta"/>
          <w:b/>
          <w:bCs/>
        </w:rPr>
      </w:pP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988"/>
        <w:gridCol w:w="1984"/>
        <w:gridCol w:w="2977"/>
        <w:gridCol w:w="3807"/>
      </w:tblGrid>
      <w:tr w:rsidR="00451210" w14:paraId="72B3E18D" w14:textId="77777777" w:rsidTr="00DF52C0">
        <w:trPr>
          <w:trHeight w:val="573"/>
        </w:trPr>
        <w:tc>
          <w:tcPr>
            <w:tcW w:w="988" w:type="dxa"/>
          </w:tcPr>
          <w:p w14:paraId="4D17C6D3" w14:textId="36558085" w:rsidR="00451210" w:rsidRDefault="00A905C5">
            <w:pPr>
              <w:rPr>
                <w:rFonts w:ascii="Averta" w:hAnsi="Averta"/>
                <w:b/>
                <w:bCs/>
              </w:rPr>
            </w:pPr>
            <w:r>
              <w:rPr>
                <w:rFonts w:ascii="Averta" w:hAnsi="Averta"/>
                <w:b/>
                <w:bCs/>
              </w:rPr>
              <w:t>Date</w:t>
            </w:r>
          </w:p>
        </w:tc>
        <w:tc>
          <w:tcPr>
            <w:tcW w:w="1984" w:type="dxa"/>
          </w:tcPr>
          <w:p w14:paraId="24336E70" w14:textId="1F739E3B" w:rsidR="00451210" w:rsidRDefault="00A905C5">
            <w:pPr>
              <w:rPr>
                <w:rFonts w:ascii="Averta" w:hAnsi="Averta"/>
                <w:b/>
                <w:bCs/>
              </w:rPr>
            </w:pPr>
            <w:r>
              <w:rPr>
                <w:rFonts w:ascii="Averta" w:hAnsi="Averta"/>
                <w:b/>
                <w:bCs/>
              </w:rPr>
              <w:t>Person/s involved</w:t>
            </w:r>
          </w:p>
        </w:tc>
        <w:tc>
          <w:tcPr>
            <w:tcW w:w="2977" w:type="dxa"/>
          </w:tcPr>
          <w:p w14:paraId="642073BC" w14:textId="5681507E" w:rsidR="00451210" w:rsidRDefault="00A905C5">
            <w:pPr>
              <w:rPr>
                <w:rFonts w:ascii="Averta" w:hAnsi="Averta"/>
                <w:b/>
                <w:bCs/>
              </w:rPr>
            </w:pPr>
            <w:r>
              <w:rPr>
                <w:rFonts w:ascii="Averta" w:hAnsi="Averta"/>
                <w:b/>
                <w:bCs/>
              </w:rPr>
              <w:t>Description of Concern</w:t>
            </w:r>
          </w:p>
        </w:tc>
        <w:tc>
          <w:tcPr>
            <w:tcW w:w="3807" w:type="dxa"/>
          </w:tcPr>
          <w:p w14:paraId="4C04E437" w14:textId="53A04341" w:rsidR="00451210" w:rsidRDefault="00DF52C0">
            <w:pPr>
              <w:rPr>
                <w:rFonts w:ascii="Averta" w:hAnsi="Averta"/>
                <w:b/>
                <w:bCs/>
              </w:rPr>
            </w:pPr>
            <w:r>
              <w:rPr>
                <w:rFonts w:ascii="Averta" w:hAnsi="Averta"/>
                <w:b/>
                <w:bCs/>
              </w:rPr>
              <w:t>Actions Taken</w:t>
            </w:r>
          </w:p>
        </w:tc>
      </w:tr>
      <w:tr w:rsidR="00451210" w14:paraId="7CB06A54" w14:textId="77777777" w:rsidTr="00DF52C0">
        <w:trPr>
          <w:trHeight w:val="1772"/>
        </w:trPr>
        <w:tc>
          <w:tcPr>
            <w:tcW w:w="988" w:type="dxa"/>
          </w:tcPr>
          <w:p w14:paraId="79E0DAAD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423213D0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162EDADF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1E8F5B5B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</w:tr>
      <w:tr w:rsidR="00451210" w14:paraId="4387AAFF" w14:textId="77777777" w:rsidTr="00DF52C0">
        <w:trPr>
          <w:trHeight w:val="1772"/>
        </w:trPr>
        <w:tc>
          <w:tcPr>
            <w:tcW w:w="988" w:type="dxa"/>
          </w:tcPr>
          <w:p w14:paraId="16EC022B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771BE397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03F70C00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3793FE18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</w:tr>
      <w:tr w:rsidR="00DF52C0" w14:paraId="708539C0" w14:textId="77777777" w:rsidTr="00DF52C0">
        <w:trPr>
          <w:trHeight w:val="1704"/>
        </w:trPr>
        <w:tc>
          <w:tcPr>
            <w:tcW w:w="988" w:type="dxa"/>
          </w:tcPr>
          <w:p w14:paraId="2790A0A9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7270285E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53C98819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7576FAED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</w:tr>
      <w:tr w:rsidR="00DF52C0" w14:paraId="79DFD1E0" w14:textId="77777777" w:rsidTr="00DF52C0">
        <w:trPr>
          <w:trHeight w:val="1772"/>
        </w:trPr>
        <w:tc>
          <w:tcPr>
            <w:tcW w:w="988" w:type="dxa"/>
          </w:tcPr>
          <w:p w14:paraId="42056B11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64E94FCD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65A76980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62874145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</w:tr>
      <w:tr w:rsidR="00DF52C0" w14:paraId="3930A114" w14:textId="77777777" w:rsidTr="00DF52C0">
        <w:trPr>
          <w:trHeight w:val="1772"/>
        </w:trPr>
        <w:tc>
          <w:tcPr>
            <w:tcW w:w="988" w:type="dxa"/>
          </w:tcPr>
          <w:p w14:paraId="68EC1F07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456F4375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587BB944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1D7F56C6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</w:tr>
      <w:tr w:rsidR="00DF52C0" w14:paraId="4338DCB4" w14:textId="77777777" w:rsidTr="00DF52C0">
        <w:trPr>
          <w:trHeight w:val="1772"/>
        </w:trPr>
        <w:tc>
          <w:tcPr>
            <w:tcW w:w="988" w:type="dxa"/>
          </w:tcPr>
          <w:p w14:paraId="19A04A1E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3548302C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2D6CE892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4622E1AF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</w:tr>
    </w:tbl>
    <w:p w14:paraId="67C71D35" w14:textId="77777777" w:rsidR="00451210" w:rsidRPr="00B91CDF" w:rsidRDefault="00451210">
      <w:pPr>
        <w:rPr>
          <w:rFonts w:ascii="Averta" w:hAnsi="Averta"/>
          <w:b/>
          <w:bCs/>
        </w:rPr>
      </w:pPr>
    </w:p>
    <w:sectPr w:rsidR="00451210" w:rsidRPr="00B91CDF" w:rsidSect="00C07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5EF84" w14:textId="77777777" w:rsidR="00315A6A" w:rsidRDefault="00315A6A" w:rsidP="003058A2">
      <w:pPr>
        <w:spacing w:after="0" w:line="240" w:lineRule="auto"/>
      </w:pPr>
      <w:r>
        <w:separator/>
      </w:r>
    </w:p>
  </w:endnote>
  <w:endnote w:type="continuationSeparator" w:id="0">
    <w:p w14:paraId="5F614041" w14:textId="77777777" w:rsidR="00315A6A" w:rsidRDefault="00315A6A" w:rsidP="0030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rta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ta Semibold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8AC6D" w14:textId="77777777" w:rsidR="00151C72" w:rsidRDefault="00151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056B" w14:textId="6FEC441D" w:rsidR="001F1846" w:rsidRDefault="00F779EC" w:rsidP="00F779EC">
    <w:pPr>
      <w:pStyle w:val="Footer"/>
      <w:shd w:val="clear" w:color="auto" w:fill="FFFFFF" w:themeFill="background1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5FE01DF" wp14:editId="14B603F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747EA" w14:textId="1698AEFD" w:rsidR="00A17886" w:rsidRPr="00A17886" w:rsidRDefault="00A17886" w:rsidP="00A1788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7886">
                              <w:rPr>
                                <w:b/>
                                <w:sz w:val="20"/>
                                <w:szCs w:val="20"/>
                              </w:rPr>
                              <w:t>P25 Student Re-integration and After-Care</w:t>
                            </w:r>
                            <w:r w:rsidR="00151C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</w:t>
                            </w:r>
                            <w:r w:rsidR="00151C72">
                              <w:rPr>
                                <w:b/>
                                <w:sz w:val="20"/>
                                <w:szCs w:val="20"/>
                              </w:rPr>
                              <w:t>uly 2024</w:t>
                            </w:r>
                            <w:r w:rsidRPr="00A178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</w:p>
                          <w:p w14:paraId="6CE825E3" w14:textId="71FA0559" w:rsidR="00F779EC" w:rsidRPr="009C2E7F" w:rsidRDefault="00F779EC" w:rsidP="00B03F40">
                            <w:pPr>
                              <w:shd w:val="clear" w:color="auto" w:fill="FFFFFF" w:themeFill="background1"/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FE01DF" id="Group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F1747EA" w14:textId="1698AEFD" w:rsidR="00A17886" w:rsidRPr="00A17886" w:rsidRDefault="00A17886" w:rsidP="00A1788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A17886">
                        <w:rPr>
                          <w:b/>
                          <w:sz w:val="20"/>
                          <w:szCs w:val="20"/>
                        </w:rPr>
                        <w:t>P25 Student Re-integration and After-Care</w:t>
                      </w:r>
                      <w:r w:rsidR="00151C72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</w:t>
                      </w:r>
                      <w:r w:rsidR="00151C72">
                        <w:rPr>
                          <w:b/>
                          <w:sz w:val="20"/>
                          <w:szCs w:val="20"/>
                        </w:rPr>
                        <w:t>uly 2024</w:t>
                      </w:r>
                      <w:r w:rsidRPr="00A17886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</w:t>
                      </w:r>
                    </w:p>
                    <w:p w14:paraId="6CE825E3" w14:textId="71FA0559" w:rsidR="00F779EC" w:rsidRPr="009C2E7F" w:rsidRDefault="00F779EC" w:rsidP="00B03F40">
                      <w:pPr>
                        <w:shd w:val="clear" w:color="auto" w:fill="FFFFFF" w:themeFill="background1"/>
                        <w:jc w:val="right"/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DADBDE" wp14:editId="19C493E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524AEB" w14:textId="77777777" w:rsidR="00F779EC" w:rsidRDefault="00F779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ADBDE" id="Rectangle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4524AEB" w14:textId="77777777" w:rsidR="00F779EC" w:rsidRDefault="00F779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E2CC" w14:textId="77777777" w:rsidR="00151C72" w:rsidRDefault="00151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09E1" w14:textId="77777777" w:rsidR="00315A6A" w:rsidRDefault="00315A6A" w:rsidP="003058A2">
      <w:pPr>
        <w:spacing w:after="0" w:line="240" w:lineRule="auto"/>
      </w:pPr>
      <w:r>
        <w:separator/>
      </w:r>
    </w:p>
  </w:footnote>
  <w:footnote w:type="continuationSeparator" w:id="0">
    <w:p w14:paraId="7BCB7E53" w14:textId="77777777" w:rsidR="00315A6A" w:rsidRDefault="00315A6A" w:rsidP="0030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AF3F" w14:textId="77777777" w:rsidR="00151C72" w:rsidRDefault="00151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72F8" w14:textId="165AEDC2" w:rsidR="001F1846" w:rsidRPr="00FC13ED" w:rsidRDefault="0001424A" w:rsidP="00C919D3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7FDC038" wp14:editId="341589D9">
          <wp:simplePos x="0" y="0"/>
          <wp:positionH relativeFrom="column">
            <wp:posOffset>5954036</wp:posOffset>
          </wp:positionH>
          <wp:positionV relativeFrom="paragraph">
            <wp:posOffset>-124709</wp:posOffset>
          </wp:positionV>
          <wp:extent cx="748665" cy="810895"/>
          <wp:effectExtent l="19050" t="19050" r="13335" b="27305"/>
          <wp:wrapNone/>
          <wp:docPr id="7" name="Picture 6" descr="A screenshot of a computer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EC3F48-4C35-1FBE-A75E-599118D522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screenshot of a computer&#10;&#10;Description automatically generated">
                    <a:extLst>
                      <a:ext uri="{FF2B5EF4-FFF2-40B4-BE49-F238E27FC236}">
                        <a16:creationId xmlns:a16="http://schemas.microsoft.com/office/drawing/2014/main" id="{1DEC3F48-4C35-1FBE-A75E-599118D522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1946" t="17683" r="31655" b="14008"/>
                  <a:stretch/>
                </pic:blipFill>
                <pic:spPr>
                  <a:xfrm>
                    <a:off x="0" y="0"/>
                    <a:ext cx="748665" cy="810895"/>
                  </a:xfrm>
                  <a:prstGeom prst="rect">
                    <a:avLst/>
                  </a:prstGeom>
                  <a:ln>
                    <a:gradFill>
                      <a:gsLst>
                        <a:gs pos="36778">
                          <a:srgbClr val="D1DCF0"/>
                        </a:gs>
                        <a:gs pos="15000">
                          <a:srgbClr val="D1DCF0"/>
                        </a:gs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a:ln>
                  <a:effectLst>
                    <a:glow>
                      <a:schemeClr val="accent1"/>
                    </a:glow>
                    <a:softEdge rad="381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11A" w:rsidRPr="00FC13ED">
      <w:rPr>
        <w:noProof/>
        <w:sz w:val="24"/>
        <w:szCs w:val="24"/>
      </w:rPr>
      <w:t xml:space="preserve"> </w:t>
    </w:r>
    <w:r w:rsidR="00AA5B6D" w:rsidRPr="00FC13ED">
      <w:rPr>
        <w:sz w:val="24"/>
        <w:szCs w:val="24"/>
      </w:rPr>
      <w:t xml:space="preserve">             </w:t>
    </w:r>
  </w:p>
  <w:tbl>
    <w:tblPr>
      <w:tblStyle w:val="TableGrid"/>
      <w:tblW w:w="11125" w:type="dxa"/>
      <w:tblInd w:w="-741" w:type="dxa"/>
      <w:tblLook w:val="04A0" w:firstRow="1" w:lastRow="0" w:firstColumn="1" w:lastColumn="0" w:noHBand="0" w:noVBand="1"/>
    </w:tblPr>
    <w:tblGrid>
      <w:gridCol w:w="8213"/>
      <w:gridCol w:w="2912"/>
    </w:tblGrid>
    <w:tr w:rsidR="001F1846" w:rsidRPr="00FC13ED" w14:paraId="1B259239" w14:textId="77777777" w:rsidTr="002B0E2B">
      <w:trPr>
        <w:trHeight w:val="169"/>
      </w:trPr>
      <w:tc>
        <w:tcPr>
          <w:tcW w:w="82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0BDB18" w14:textId="1A111239" w:rsidR="001F1846" w:rsidRPr="002B0E2B" w:rsidRDefault="00022015" w:rsidP="005B218F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P2</w:t>
          </w:r>
          <w:r w:rsidR="00D73CB9">
            <w:rPr>
              <w:b/>
              <w:sz w:val="28"/>
              <w:szCs w:val="28"/>
            </w:rPr>
            <w:t>5</w:t>
          </w:r>
          <w:r w:rsidRPr="002B0E2B">
            <w:rPr>
              <w:b/>
              <w:sz w:val="28"/>
              <w:szCs w:val="28"/>
            </w:rPr>
            <w:t xml:space="preserve"> SKAPE </w:t>
          </w:r>
          <w:r w:rsidR="00D73CB9">
            <w:rPr>
              <w:b/>
              <w:sz w:val="28"/>
              <w:szCs w:val="28"/>
            </w:rPr>
            <w:t xml:space="preserve">Student </w:t>
          </w:r>
          <w:r w:rsidR="0091265A">
            <w:rPr>
              <w:b/>
              <w:sz w:val="28"/>
              <w:szCs w:val="28"/>
            </w:rPr>
            <w:t xml:space="preserve">Re-integration and </w:t>
          </w:r>
          <w:r w:rsidR="00D73CB9">
            <w:rPr>
              <w:b/>
              <w:sz w:val="28"/>
              <w:szCs w:val="28"/>
            </w:rPr>
            <w:t>After-Care</w:t>
          </w:r>
          <w:r w:rsidR="00456839">
            <w:rPr>
              <w:b/>
              <w:sz w:val="28"/>
              <w:szCs w:val="28"/>
            </w:rPr>
            <w:t xml:space="preserve"> </w:t>
          </w:r>
          <w:r w:rsidR="00C919D3">
            <w:rPr>
              <w:b/>
              <w:sz w:val="28"/>
              <w:szCs w:val="28"/>
            </w:rPr>
            <w:t>Policy</w:t>
          </w:r>
          <w:r w:rsidRPr="002B0E2B">
            <w:rPr>
              <w:b/>
              <w:sz w:val="28"/>
              <w:szCs w:val="28"/>
            </w:rPr>
            <w:t xml:space="preserve">                                        </w:t>
          </w:r>
        </w:p>
      </w:tc>
      <w:tc>
        <w:tcPr>
          <w:tcW w:w="2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2E0F50B" w14:textId="48A8FF67" w:rsidR="001F1846" w:rsidRPr="00FC13ED" w:rsidRDefault="001F1846" w:rsidP="00A825E3">
          <w:pPr>
            <w:spacing w:after="200" w:line="276" w:lineRule="auto"/>
            <w:rPr>
              <w:b/>
              <w:iCs/>
              <w:sz w:val="24"/>
              <w:szCs w:val="24"/>
            </w:rPr>
          </w:pPr>
        </w:p>
      </w:tc>
    </w:tr>
    <w:tr w:rsidR="005B218F" w:rsidRPr="00C071FF" w14:paraId="370491FF" w14:textId="77777777" w:rsidTr="002B0E2B">
      <w:trPr>
        <w:trHeight w:val="169"/>
      </w:trPr>
      <w:tc>
        <w:tcPr>
          <w:tcW w:w="8213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14:paraId="4DD7988E" w14:textId="113190AD" w:rsidR="005B218F" w:rsidRPr="0048011A" w:rsidRDefault="005B218F" w:rsidP="005B218F">
          <w:pPr>
            <w:rPr>
              <w:b/>
              <w:sz w:val="28"/>
              <w:szCs w:val="28"/>
            </w:rPr>
          </w:pPr>
        </w:p>
      </w:tc>
      <w:tc>
        <w:tcPr>
          <w:tcW w:w="2912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vAlign w:val="bottom"/>
        </w:tcPr>
        <w:p w14:paraId="63044CD6" w14:textId="77777777" w:rsidR="005B218F" w:rsidRPr="00BE7D4F" w:rsidRDefault="005B218F" w:rsidP="00A825E3">
          <w:pPr>
            <w:rPr>
              <w:b/>
              <w:iCs/>
            </w:rPr>
          </w:pPr>
        </w:p>
      </w:tc>
    </w:tr>
  </w:tbl>
  <w:p w14:paraId="0B67456A" w14:textId="002C43E9" w:rsidR="001F1846" w:rsidRPr="00DF52C0" w:rsidRDefault="001F1846" w:rsidP="00DF52C0">
    <w:pPr>
      <w:pStyle w:val="Header"/>
      <w:rPr>
        <w:b/>
        <w:bCs/>
      </w:rPr>
    </w:pPr>
  </w:p>
  <w:p w14:paraId="13DEA989" w14:textId="1E9664EB" w:rsidR="001F1846" w:rsidRDefault="001F1846" w:rsidP="003058A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5190" w14:textId="77777777" w:rsidR="00151C72" w:rsidRDefault="00151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1F95"/>
    <w:multiLevelType w:val="hybridMultilevel"/>
    <w:tmpl w:val="D79290AC"/>
    <w:lvl w:ilvl="0" w:tplc="AA7AB9DA">
      <w:start w:val="1"/>
      <w:numFmt w:val="decimal"/>
      <w:lvlText w:val="%1."/>
      <w:lvlJc w:val="left"/>
      <w:pPr>
        <w:ind w:left="720" w:hanging="360"/>
      </w:pPr>
      <w:rPr>
        <w:rFonts w:ascii="Averta" w:eastAsia="Times New Roman" w:hAnsi="Avert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493"/>
    <w:multiLevelType w:val="hybridMultilevel"/>
    <w:tmpl w:val="A192CB96"/>
    <w:lvl w:ilvl="0" w:tplc="CAFCAEA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21FC74FD"/>
    <w:multiLevelType w:val="multilevel"/>
    <w:tmpl w:val="DECA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42608"/>
    <w:multiLevelType w:val="hybridMultilevel"/>
    <w:tmpl w:val="3D7E8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75F5"/>
    <w:multiLevelType w:val="multilevel"/>
    <w:tmpl w:val="FF1E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702C4"/>
    <w:multiLevelType w:val="hybridMultilevel"/>
    <w:tmpl w:val="FBD6D8F0"/>
    <w:lvl w:ilvl="0" w:tplc="CD9C662E">
      <w:start w:val="1"/>
      <w:numFmt w:val="bullet"/>
      <w:pStyle w:val="Buli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9"/>
        <w:szCs w:val="19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B421A"/>
    <w:multiLevelType w:val="multilevel"/>
    <w:tmpl w:val="4860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968023">
    <w:abstractNumId w:val="5"/>
  </w:num>
  <w:num w:numId="2" w16cid:durableId="1834563578">
    <w:abstractNumId w:val="0"/>
  </w:num>
  <w:num w:numId="3" w16cid:durableId="1838958483">
    <w:abstractNumId w:val="3"/>
  </w:num>
  <w:num w:numId="4" w16cid:durableId="950749324">
    <w:abstractNumId w:val="1"/>
  </w:num>
  <w:num w:numId="5" w16cid:durableId="118844515">
    <w:abstractNumId w:val="5"/>
  </w:num>
  <w:num w:numId="6" w16cid:durableId="1623807331">
    <w:abstractNumId w:val="5"/>
  </w:num>
  <w:num w:numId="7" w16cid:durableId="407113101">
    <w:abstractNumId w:val="5"/>
  </w:num>
  <w:num w:numId="8" w16cid:durableId="1563834302">
    <w:abstractNumId w:val="5"/>
  </w:num>
  <w:num w:numId="9" w16cid:durableId="972443996">
    <w:abstractNumId w:val="5"/>
  </w:num>
  <w:num w:numId="10" w16cid:durableId="9643810">
    <w:abstractNumId w:val="5"/>
  </w:num>
  <w:num w:numId="11" w16cid:durableId="1485387900">
    <w:abstractNumId w:val="5"/>
  </w:num>
  <w:num w:numId="12" w16cid:durableId="2015570969">
    <w:abstractNumId w:val="5"/>
  </w:num>
  <w:num w:numId="13" w16cid:durableId="1257254522">
    <w:abstractNumId w:val="5"/>
  </w:num>
  <w:num w:numId="14" w16cid:durableId="1934388338">
    <w:abstractNumId w:val="5"/>
  </w:num>
  <w:num w:numId="15" w16cid:durableId="64228106">
    <w:abstractNumId w:val="6"/>
  </w:num>
  <w:num w:numId="16" w16cid:durableId="750394723">
    <w:abstractNumId w:val="4"/>
  </w:num>
  <w:num w:numId="17" w16cid:durableId="155084800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A2"/>
    <w:rsid w:val="00001138"/>
    <w:rsid w:val="0001424A"/>
    <w:rsid w:val="00022015"/>
    <w:rsid w:val="000235F6"/>
    <w:rsid w:val="00027325"/>
    <w:rsid w:val="00027CF7"/>
    <w:rsid w:val="00036278"/>
    <w:rsid w:val="00041C29"/>
    <w:rsid w:val="00042598"/>
    <w:rsid w:val="000460F3"/>
    <w:rsid w:val="00064D5B"/>
    <w:rsid w:val="0006766A"/>
    <w:rsid w:val="000771AE"/>
    <w:rsid w:val="000A1236"/>
    <w:rsid w:val="000A601E"/>
    <w:rsid w:val="000B6662"/>
    <w:rsid w:val="000C63B3"/>
    <w:rsid w:val="000D3ED8"/>
    <w:rsid w:val="000E0772"/>
    <w:rsid w:val="000F02F5"/>
    <w:rsid w:val="000F12AB"/>
    <w:rsid w:val="000F332B"/>
    <w:rsid w:val="000F3F35"/>
    <w:rsid w:val="001044C7"/>
    <w:rsid w:val="00113161"/>
    <w:rsid w:val="00116DBB"/>
    <w:rsid w:val="0012576D"/>
    <w:rsid w:val="00142CC2"/>
    <w:rsid w:val="001432A8"/>
    <w:rsid w:val="001432B8"/>
    <w:rsid w:val="001469F7"/>
    <w:rsid w:val="00146CFC"/>
    <w:rsid w:val="00146D72"/>
    <w:rsid w:val="00151C72"/>
    <w:rsid w:val="00157D47"/>
    <w:rsid w:val="0016376E"/>
    <w:rsid w:val="00173A8A"/>
    <w:rsid w:val="001800AF"/>
    <w:rsid w:val="001827E4"/>
    <w:rsid w:val="001928F8"/>
    <w:rsid w:val="00193E22"/>
    <w:rsid w:val="00195DDD"/>
    <w:rsid w:val="001979A3"/>
    <w:rsid w:val="001A5A31"/>
    <w:rsid w:val="001A66FA"/>
    <w:rsid w:val="001B062B"/>
    <w:rsid w:val="001B15D7"/>
    <w:rsid w:val="001B6B5A"/>
    <w:rsid w:val="001C5305"/>
    <w:rsid w:val="001D15B2"/>
    <w:rsid w:val="001E0407"/>
    <w:rsid w:val="001E0F59"/>
    <w:rsid w:val="001F1846"/>
    <w:rsid w:val="001F2628"/>
    <w:rsid w:val="00205D33"/>
    <w:rsid w:val="0020657E"/>
    <w:rsid w:val="00211E3D"/>
    <w:rsid w:val="00214FD4"/>
    <w:rsid w:val="002150BB"/>
    <w:rsid w:val="002167A6"/>
    <w:rsid w:val="00217D1E"/>
    <w:rsid w:val="00226C1D"/>
    <w:rsid w:val="0022738C"/>
    <w:rsid w:val="00230DC1"/>
    <w:rsid w:val="00240E4E"/>
    <w:rsid w:val="002411FA"/>
    <w:rsid w:val="00241CFF"/>
    <w:rsid w:val="00243F92"/>
    <w:rsid w:val="00246474"/>
    <w:rsid w:val="00264BD4"/>
    <w:rsid w:val="002661FB"/>
    <w:rsid w:val="002704CA"/>
    <w:rsid w:val="00276510"/>
    <w:rsid w:val="00276A24"/>
    <w:rsid w:val="00277268"/>
    <w:rsid w:val="00282354"/>
    <w:rsid w:val="0028514A"/>
    <w:rsid w:val="00290D93"/>
    <w:rsid w:val="00297B7C"/>
    <w:rsid w:val="002A500D"/>
    <w:rsid w:val="002B0E2B"/>
    <w:rsid w:val="002C1234"/>
    <w:rsid w:val="002E000A"/>
    <w:rsid w:val="002F5012"/>
    <w:rsid w:val="002F71D2"/>
    <w:rsid w:val="003058A2"/>
    <w:rsid w:val="00306971"/>
    <w:rsid w:val="00315A6A"/>
    <w:rsid w:val="003256B7"/>
    <w:rsid w:val="00327B9A"/>
    <w:rsid w:val="0033226B"/>
    <w:rsid w:val="00332F92"/>
    <w:rsid w:val="00342BA7"/>
    <w:rsid w:val="0034302B"/>
    <w:rsid w:val="0035679E"/>
    <w:rsid w:val="003603AB"/>
    <w:rsid w:val="00366E4E"/>
    <w:rsid w:val="00370CC2"/>
    <w:rsid w:val="00381099"/>
    <w:rsid w:val="00385E5A"/>
    <w:rsid w:val="00396B1A"/>
    <w:rsid w:val="0039787F"/>
    <w:rsid w:val="003A15BA"/>
    <w:rsid w:val="003A30D5"/>
    <w:rsid w:val="003B2D11"/>
    <w:rsid w:val="003B5D13"/>
    <w:rsid w:val="003B71A1"/>
    <w:rsid w:val="003B7E05"/>
    <w:rsid w:val="003C4B9E"/>
    <w:rsid w:val="003E0316"/>
    <w:rsid w:val="003E09F6"/>
    <w:rsid w:val="003E25B0"/>
    <w:rsid w:val="003F1A9F"/>
    <w:rsid w:val="003F2AD8"/>
    <w:rsid w:val="00401D25"/>
    <w:rsid w:val="00405EEA"/>
    <w:rsid w:val="00416816"/>
    <w:rsid w:val="00420729"/>
    <w:rsid w:val="00425F0F"/>
    <w:rsid w:val="00436A83"/>
    <w:rsid w:val="00442164"/>
    <w:rsid w:val="004428F3"/>
    <w:rsid w:val="004438A7"/>
    <w:rsid w:val="00447852"/>
    <w:rsid w:val="00450099"/>
    <w:rsid w:val="00451210"/>
    <w:rsid w:val="00451903"/>
    <w:rsid w:val="00453DD6"/>
    <w:rsid w:val="00455C65"/>
    <w:rsid w:val="00456839"/>
    <w:rsid w:val="00457212"/>
    <w:rsid w:val="00460160"/>
    <w:rsid w:val="00461075"/>
    <w:rsid w:val="0046216B"/>
    <w:rsid w:val="0048011A"/>
    <w:rsid w:val="004901F5"/>
    <w:rsid w:val="00490853"/>
    <w:rsid w:val="004911B6"/>
    <w:rsid w:val="004C4CB0"/>
    <w:rsid w:val="004C6A66"/>
    <w:rsid w:val="004D1B89"/>
    <w:rsid w:val="004D592A"/>
    <w:rsid w:val="00506977"/>
    <w:rsid w:val="00506AC9"/>
    <w:rsid w:val="00507C4B"/>
    <w:rsid w:val="0053044E"/>
    <w:rsid w:val="005410D5"/>
    <w:rsid w:val="00546BDF"/>
    <w:rsid w:val="00552816"/>
    <w:rsid w:val="00553AC0"/>
    <w:rsid w:val="00554F82"/>
    <w:rsid w:val="005633F3"/>
    <w:rsid w:val="0056407E"/>
    <w:rsid w:val="0056646B"/>
    <w:rsid w:val="005770F0"/>
    <w:rsid w:val="00577B4E"/>
    <w:rsid w:val="005816A3"/>
    <w:rsid w:val="00581E6B"/>
    <w:rsid w:val="00585376"/>
    <w:rsid w:val="005940AA"/>
    <w:rsid w:val="00594EA8"/>
    <w:rsid w:val="00595C57"/>
    <w:rsid w:val="005A191D"/>
    <w:rsid w:val="005A3D4C"/>
    <w:rsid w:val="005B218F"/>
    <w:rsid w:val="005B2E34"/>
    <w:rsid w:val="005B56AC"/>
    <w:rsid w:val="005B69EA"/>
    <w:rsid w:val="005B6A05"/>
    <w:rsid w:val="005B6E81"/>
    <w:rsid w:val="005B758A"/>
    <w:rsid w:val="005B770B"/>
    <w:rsid w:val="005C061D"/>
    <w:rsid w:val="005C123A"/>
    <w:rsid w:val="005C5D5B"/>
    <w:rsid w:val="005D70C0"/>
    <w:rsid w:val="005E00D1"/>
    <w:rsid w:val="005E0119"/>
    <w:rsid w:val="005F27AD"/>
    <w:rsid w:val="00601607"/>
    <w:rsid w:val="00602494"/>
    <w:rsid w:val="006138C1"/>
    <w:rsid w:val="00615C47"/>
    <w:rsid w:val="00625651"/>
    <w:rsid w:val="00626D52"/>
    <w:rsid w:val="00632289"/>
    <w:rsid w:val="006464E0"/>
    <w:rsid w:val="006527D9"/>
    <w:rsid w:val="0065604E"/>
    <w:rsid w:val="00656AD5"/>
    <w:rsid w:val="006575F6"/>
    <w:rsid w:val="00663596"/>
    <w:rsid w:val="00675208"/>
    <w:rsid w:val="00680D10"/>
    <w:rsid w:val="00693C9E"/>
    <w:rsid w:val="00694702"/>
    <w:rsid w:val="00694E16"/>
    <w:rsid w:val="006A70D1"/>
    <w:rsid w:val="006B61FD"/>
    <w:rsid w:val="006E062F"/>
    <w:rsid w:val="006F5D2D"/>
    <w:rsid w:val="006F5D2E"/>
    <w:rsid w:val="007003B7"/>
    <w:rsid w:val="00707311"/>
    <w:rsid w:val="007109EE"/>
    <w:rsid w:val="00712CF7"/>
    <w:rsid w:val="00712F3B"/>
    <w:rsid w:val="00712FAE"/>
    <w:rsid w:val="007164AF"/>
    <w:rsid w:val="00723E45"/>
    <w:rsid w:val="00726DCE"/>
    <w:rsid w:val="007276BF"/>
    <w:rsid w:val="00736A16"/>
    <w:rsid w:val="00742E0D"/>
    <w:rsid w:val="00745444"/>
    <w:rsid w:val="00745950"/>
    <w:rsid w:val="00747834"/>
    <w:rsid w:val="0075661E"/>
    <w:rsid w:val="00756AB9"/>
    <w:rsid w:val="00764090"/>
    <w:rsid w:val="0078283D"/>
    <w:rsid w:val="00790DB6"/>
    <w:rsid w:val="007949F9"/>
    <w:rsid w:val="00796B62"/>
    <w:rsid w:val="00797580"/>
    <w:rsid w:val="007A5710"/>
    <w:rsid w:val="007B1953"/>
    <w:rsid w:val="007C0BA1"/>
    <w:rsid w:val="007C2547"/>
    <w:rsid w:val="007C4156"/>
    <w:rsid w:val="007C6402"/>
    <w:rsid w:val="007C6853"/>
    <w:rsid w:val="007C763A"/>
    <w:rsid w:val="007D03AB"/>
    <w:rsid w:val="007D44CB"/>
    <w:rsid w:val="007D6255"/>
    <w:rsid w:val="007F6932"/>
    <w:rsid w:val="00806430"/>
    <w:rsid w:val="008069AD"/>
    <w:rsid w:val="00806DD2"/>
    <w:rsid w:val="0082698F"/>
    <w:rsid w:val="00840AE2"/>
    <w:rsid w:val="00847476"/>
    <w:rsid w:val="00863A18"/>
    <w:rsid w:val="00872ED4"/>
    <w:rsid w:val="00885C4F"/>
    <w:rsid w:val="008A142F"/>
    <w:rsid w:val="008A2730"/>
    <w:rsid w:val="008B50A5"/>
    <w:rsid w:val="008B6203"/>
    <w:rsid w:val="008C024E"/>
    <w:rsid w:val="008C561F"/>
    <w:rsid w:val="008F4A9E"/>
    <w:rsid w:val="008F4DF7"/>
    <w:rsid w:val="00900E77"/>
    <w:rsid w:val="0091265A"/>
    <w:rsid w:val="00920B9C"/>
    <w:rsid w:val="009317E5"/>
    <w:rsid w:val="009318DB"/>
    <w:rsid w:val="00932C7E"/>
    <w:rsid w:val="0093587A"/>
    <w:rsid w:val="00946477"/>
    <w:rsid w:val="00946A6F"/>
    <w:rsid w:val="00976040"/>
    <w:rsid w:val="009772DB"/>
    <w:rsid w:val="00981531"/>
    <w:rsid w:val="0098688A"/>
    <w:rsid w:val="00992A09"/>
    <w:rsid w:val="009950B7"/>
    <w:rsid w:val="00995D9E"/>
    <w:rsid w:val="00996DC2"/>
    <w:rsid w:val="00997A8F"/>
    <w:rsid w:val="009B7D99"/>
    <w:rsid w:val="009C185A"/>
    <w:rsid w:val="009C2E7F"/>
    <w:rsid w:val="009D0387"/>
    <w:rsid w:val="009F6724"/>
    <w:rsid w:val="00A0395E"/>
    <w:rsid w:val="00A06622"/>
    <w:rsid w:val="00A143A6"/>
    <w:rsid w:val="00A156A8"/>
    <w:rsid w:val="00A17886"/>
    <w:rsid w:val="00A22511"/>
    <w:rsid w:val="00A23E8A"/>
    <w:rsid w:val="00A258A1"/>
    <w:rsid w:val="00A31A9A"/>
    <w:rsid w:val="00A32AEE"/>
    <w:rsid w:val="00A33773"/>
    <w:rsid w:val="00A33D31"/>
    <w:rsid w:val="00A3574E"/>
    <w:rsid w:val="00A35F72"/>
    <w:rsid w:val="00A41722"/>
    <w:rsid w:val="00A42A88"/>
    <w:rsid w:val="00A442FF"/>
    <w:rsid w:val="00A44CE5"/>
    <w:rsid w:val="00A50973"/>
    <w:rsid w:val="00A51DC2"/>
    <w:rsid w:val="00A703BF"/>
    <w:rsid w:val="00A70C15"/>
    <w:rsid w:val="00A72382"/>
    <w:rsid w:val="00A743C4"/>
    <w:rsid w:val="00A747C2"/>
    <w:rsid w:val="00A751AE"/>
    <w:rsid w:val="00A77B7C"/>
    <w:rsid w:val="00A77FBA"/>
    <w:rsid w:val="00A8168C"/>
    <w:rsid w:val="00A825E3"/>
    <w:rsid w:val="00A83D75"/>
    <w:rsid w:val="00A905C5"/>
    <w:rsid w:val="00A90BD1"/>
    <w:rsid w:val="00A93630"/>
    <w:rsid w:val="00A936DF"/>
    <w:rsid w:val="00A94040"/>
    <w:rsid w:val="00AA158F"/>
    <w:rsid w:val="00AA5B6D"/>
    <w:rsid w:val="00AA642E"/>
    <w:rsid w:val="00AC2748"/>
    <w:rsid w:val="00AD0CF0"/>
    <w:rsid w:val="00AD1863"/>
    <w:rsid w:val="00AD3D89"/>
    <w:rsid w:val="00AD627B"/>
    <w:rsid w:val="00AD7FD2"/>
    <w:rsid w:val="00AE3D14"/>
    <w:rsid w:val="00AF7B11"/>
    <w:rsid w:val="00B03F40"/>
    <w:rsid w:val="00B04268"/>
    <w:rsid w:val="00B12C31"/>
    <w:rsid w:val="00B15693"/>
    <w:rsid w:val="00B1617C"/>
    <w:rsid w:val="00B27F1B"/>
    <w:rsid w:val="00B61CB2"/>
    <w:rsid w:val="00B64932"/>
    <w:rsid w:val="00B661DE"/>
    <w:rsid w:val="00B664B7"/>
    <w:rsid w:val="00B77C6B"/>
    <w:rsid w:val="00B823F3"/>
    <w:rsid w:val="00B8291B"/>
    <w:rsid w:val="00B8611B"/>
    <w:rsid w:val="00B8669A"/>
    <w:rsid w:val="00B87525"/>
    <w:rsid w:val="00B91CDF"/>
    <w:rsid w:val="00BA2C28"/>
    <w:rsid w:val="00BC55B1"/>
    <w:rsid w:val="00BC65D9"/>
    <w:rsid w:val="00BD20B0"/>
    <w:rsid w:val="00BD326F"/>
    <w:rsid w:val="00BD54EA"/>
    <w:rsid w:val="00BD6920"/>
    <w:rsid w:val="00BE2D6C"/>
    <w:rsid w:val="00BE4896"/>
    <w:rsid w:val="00BE69BB"/>
    <w:rsid w:val="00BE7D4F"/>
    <w:rsid w:val="00BF7340"/>
    <w:rsid w:val="00C02D87"/>
    <w:rsid w:val="00C0604B"/>
    <w:rsid w:val="00C071FF"/>
    <w:rsid w:val="00C11E37"/>
    <w:rsid w:val="00C1538B"/>
    <w:rsid w:val="00C17537"/>
    <w:rsid w:val="00C3369E"/>
    <w:rsid w:val="00C433B4"/>
    <w:rsid w:val="00C51B0C"/>
    <w:rsid w:val="00C56F91"/>
    <w:rsid w:val="00C612ED"/>
    <w:rsid w:val="00C62490"/>
    <w:rsid w:val="00C711AF"/>
    <w:rsid w:val="00C7649F"/>
    <w:rsid w:val="00C82F7C"/>
    <w:rsid w:val="00C919D3"/>
    <w:rsid w:val="00C93BF7"/>
    <w:rsid w:val="00CB53D7"/>
    <w:rsid w:val="00CB651E"/>
    <w:rsid w:val="00CD3FB7"/>
    <w:rsid w:val="00CF4463"/>
    <w:rsid w:val="00D14DB5"/>
    <w:rsid w:val="00D14F58"/>
    <w:rsid w:val="00D16E3C"/>
    <w:rsid w:val="00D23021"/>
    <w:rsid w:val="00D2538A"/>
    <w:rsid w:val="00D323E3"/>
    <w:rsid w:val="00D33602"/>
    <w:rsid w:val="00D4007D"/>
    <w:rsid w:val="00D47F12"/>
    <w:rsid w:val="00D562B9"/>
    <w:rsid w:val="00D61D2F"/>
    <w:rsid w:val="00D61F4F"/>
    <w:rsid w:val="00D70530"/>
    <w:rsid w:val="00D70E26"/>
    <w:rsid w:val="00D73CB9"/>
    <w:rsid w:val="00D7610A"/>
    <w:rsid w:val="00D7615E"/>
    <w:rsid w:val="00D77AB8"/>
    <w:rsid w:val="00D81986"/>
    <w:rsid w:val="00D83868"/>
    <w:rsid w:val="00D925B6"/>
    <w:rsid w:val="00DB29B0"/>
    <w:rsid w:val="00DD16C5"/>
    <w:rsid w:val="00DD44BB"/>
    <w:rsid w:val="00DD6708"/>
    <w:rsid w:val="00DD7237"/>
    <w:rsid w:val="00DE02A8"/>
    <w:rsid w:val="00DE2E7E"/>
    <w:rsid w:val="00DE6512"/>
    <w:rsid w:val="00DE752A"/>
    <w:rsid w:val="00DF52C0"/>
    <w:rsid w:val="00DF6625"/>
    <w:rsid w:val="00E009D9"/>
    <w:rsid w:val="00E0363C"/>
    <w:rsid w:val="00E1479D"/>
    <w:rsid w:val="00E20490"/>
    <w:rsid w:val="00E35B9B"/>
    <w:rsid w:val="00E40F03"/>
    <w:rsid w:val="00E46DFB"/>
    <w:rsid w:val="00E47A8F"/>
    <w:rsid w:val="00E61041"/>
    <w:rsid w:val="00E64800"/>
    <w:rsid w:val="00E65A8F"/>
    <w:rsid w:val="00E67495"/>
    <w:rsid w:val="00E7445E"/>
    <w:rsid w:val="00E74839"/>
    <w:rsid w:val="00E767B3"/>
    <w:rsid w:val="00E90297"/>
    <w:rsid w:val="00E92127"/>
    <w:rsid w:val="00E92280"/>
    <w:rsid w:val="00EA5B18"/>
    <w:rsid w:val="00EA60E0"/>
    <w:rsid w:val="00EB0E0D"/>
    <w:rsid w:val="00EB386E"/>
    <w:rsid w:val="00EB6DE1"/>
    <w:rsid w:val="00EB7529"/>
    <w:rsid w:val="00ED0C60"/>
    <w:rsid w:val="00ED1213"/>
    <w:rsid w:val="00ED21DE"/>
    <w:rsid w:val="00ED29C6"/>
    <w:rsid w:val="00EE2C0B"/>
    <w:rsid w:val="00EF0308"/>
    <w:rsid w:val="00EF0DD1"/>
    <w:rsid w:val="00EF4A37"/>
    <w:rsid w:val="00EF549A"/>
    <w:rsid w:val="00EF71DD"/>
    <w:rsid w:val="00F01A70"/>
    <w:rsid w:val="00F0217B"/>
    <w:rsid w:val="00F11B4F"/>
    <w:rsid w:val="00F13914"/>
    <w:rsid w:val="00F15291"/>
    <w:rsid w:val="00F205E7"/>
    <w:rsid w:val="00F23FAC"/>
    <w:rsid w:val="00F30281"/>
    <w:rsid w:val="00F32739"/>
    <w:rsid w:val="00F44A8A"/>
    <w:rsid w:val="00F45D9B"/>
    <w:rsid w:val="00F56373"/>
    <w:rsid w:val="00F57280"/>
    <w:rsid w:val="00F65B35"/>
    <w:rsid w:val="00F779EC"/>
    <w:rsid w:val="00F85C82"/>
    <w:rsid w:val="00F86B86"/>
    <w:rsid w:val="00F90C24"/>
    <w:rsid w:val="00F91076"/>
    <w:rsid w:val="00F93230"/>
    <w:rsid w:val="00F97067"/>
    <w:rsid w:val="00F97748"/>
    <w:rsid w:val="00FC13ED"/>
    <w:rsid w:val="00FC1BF9"/>
    <w:rsid w:val="00FC55A1"/>
    <w:rsid w:val="00FD0932"/>
    <w:rsid w:val="00FE2D93"/>
    <w:rsid w:val="00FE4D36"/>
    <w:rsid w:val="00FE5DB8"/>
    <w:rsid w:val="00FF1A3F"/>
    <w:rsid w:val="00FF1BB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62907B"/>
  <w15:docId w15:val="{92796668-473E-43E5-87BC-02A0A01D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AD"/>
    <w:rPr>
      <w:rFonts w:cs="Times New Roman"/>
    </w:rPr>
  </w:style>
  <w:style w:type="paragraph" w:styleId="Heading1">
    <w:name w:val="heading 1"/>
    <w:next w:val="Normal"/>
    <w:link w:val="Heading1Char"/>
    <w:qFormat/>
    <w:rsid w:val="00A90BD1"/>
    <w:pPr>
      <w:spacing w:after="0" w:line="264" w:lineRule="auto"/>
      <w:jc w:val="both"/>
      <w:outlineLvl w:val="0"/>
    </w:pPr>
    <w:rPr>
      <w:rFonts w:ascii="Averta Semibold" w:hAnsi="Averta Semibold" w:cs="Arial"/>
      <w:b/>
      <w:color w:val="00B0F0"/>
      <w:sz w:val="28"/>
      <w:szCs w:val="26"/>
    </w:rPr>
  </w:style>
  <w:style w:type="paragraph" w:styleId="Heading2">
    <w:name w:val="heading 2"/>
    <w:next w:val="Normal"/>
    <w:link w:val="Heading2Char"/>
    <w:qFormat/>
    <w:rsid w:val="00A90BD1"/>
    <w:pPr>
      <w:keepNext/>
      <w:spacing w:before="240" w:after="0" w:line="240" w:lineRule="auto"/>
      <w:outlineLvl w:val="1"/>
    </w:pPr>
    <w:rPr>
      <w:rFonts w:ascii="Averta" w:hAnsi="Averta" w:cs="Arial"/>
      <w:b/>
      <w:bCs/>
      <w:iCs/>
      <w:color w:val="00B0F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58A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0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58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1F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C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40A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4F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4F8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90BD1"/>
    <w:rPr>
      <w:rFonts w:ascii="Averta Semibold" w:hAnsi="Averta Semibold" w:cs="Arial"/>
      <w:b/>
      <w:color w:val="00B0F0"/>
      <w:sz w:val="28"/>
      <w:szCs w:val="26"/>
    </w:rPr>
  </w:style>
  <w:style w:type="character" w:customStyle="1" w:styleId="Heading2Char">
    <w:name w:val="Heading 2 Char"/>
    <w:basedOn w:val="DefaultParagraphFont"/>
    <w:link w:val="Heading2"/>
    <w:rsid w:val="00A90BD1"/>
    <w:rPr>
      <w:rFonts w:ascii="Averta" w:hAnsi="Averta" w:cs="Arial"/>
      <w:b/>
      <w:bCs/>
      <w:iCs/>
      <w:color w:val="00B0F0"/>
      <w:sz w:val="24"/>
      <w:szCs w:val="24"/>
    </w:rPr>
  </w:style>
  <w:style w:type="character" w:styleId="Strong">
    <w:name w:val="Strong"/>
    <w:uiPriority w:val="22"/>
    <w:qFormat/>
    <w:rsid w:val="00A90BD1"/>
    <w:rPr>
      <w:b/>
      <w:bCs/>
    </w:rPr>
  </w:style>
  <w:style w:type="paragraph" w:customStyle="1" w:styleId="Bulit">
    <w:name w:val="Bulit"/>
    <w:basedOn w:val="Normal"/>
    <w:next w:val="Normal"/>
    <w:link w:val="BulitChar"/>
    <w:qFormat/>
    <w:rsid w:val="00A90BD1"/>
    <w:pPr>
      <w:numPr>
        <w:numId w:val="1"/>
      </w:numPr>
      <w:spacing w:after="80" w:line="264" w:lineRule="auto"/>
      <w:jc w:val="both"/>
    </w:pPr>
    <w:rPr>
      <w:rFonts w:ascii="Averta" w:hAnsi="Averta" w:cs="Arial"/>
    </w:rPr>
  </w:style>
  <w:style w:type="character" w:customStyle="1" w:styleId="BulitChar">
    <w:name w:val="Bulit Char"/>
    <w:link w:val="Bulit"/>
    <w:rsid w:val="00A90BD1"/>
    <w:rPr>
      <w:rFonts w:ascii="Averta" w:hAnsi="Averta" w:cs="Arial"/>
    </w:rPr>
  </w:style>
  <w:style w:type="paragraph" w:customStyle="1" w:styleId="Bwisebox">
    <w:name w:val="Bwise box"/>
    <w:basedOn w:val="Normal"/>
    <w:link w:val="BwiseboxChar"/>
    <w:qFormat/>
    <w:rsid w:val="00A90BD1"/>
    <w:pPr>
      <w:pBdr>
        <w:top w:val="double" w:sz="2" w:space="5" w:color="00B0F0"/>
        <w:left w:val="double" w:sz="2" w:space="5" w:color="00B0F0"/>
        <w:bottom w:val="double" w:sz="2" w:space="5" w:color="00B0F0"/>
        <w:right w:val="double" w:sz="2" w:space="5" w:color="00B0F0"/>
      </w:pBdr>
      <w:spacing w:after="120" w:line="240" w:lineRule="auto"/>
      <w:ind w:left="142" w:right="113"/>
      <w:jc w:val="both"/>
    </w:pPr>
    <w:rPr>
      <w:rFonts w:ascii="Averta" w:hAnsi="Averta" w:cs="Arial"/>
      <w:color w:val="00B0F0"/>
      <w:sz w:val="18"/>
      <w:szCs w:val="18"/>
      <w:lang w:val="en-US"/>
    </w:rPr>
  </w:style>
  <w:style w:type="character" w:customStyle="1" w:styleId="BwiseboxChar">
    <w:name w:val="Bwise box Char"/>
    <w:link w:val="Bwisebox"/>
    <w:rsid w:val="00A90BD1"/>
    <w:rPr>
      <w:rFonts w:ascii="Averta" w:hAnsi="Averta" w:cs="Arial"/>
      <w:color w:val="00B0F0"/>
      <w:sz w:val="18"/>
      <w:szCs w:val="18"/>
      <w:lang w:val="en-US"/>
    </w:rPr>
  </w:style>
  <w:style w:type="paragraph" w:styleId="NoSpacing">
    <w:name w:val="No Spacing"/>
    <w:aliases w:val="Table"/>
    <w:basedOn w:val="Normal"/>
    <w:uiPriority w:val="1"/>
    <w:qFormat/>
    <w:rsid w:val="00A90BD1"/>
    <w:pPr>
      <w:spacing w:after="80" w:line="258" w:lineRule="auto"/>
      <w:jc w:val="both"/>
    </w:pPr>
    <w:rPr>
      <w:rFonts w:ascii="Averta" w:hAnsi="Averta" w:cs="Arial"/>
      <w:color w:val="000000"/>
    </w:rPr>
  </w:style>
  <w:style w:type="character" w:styleId="SubtleEmphasis">
    <w:name w:val="Subtle Emphasis"/>
    <w:uiPriority w:val="19"/>
    <w:qFormat/>
    <w:rsid w:val="00A90BD1"/>
    <w:rPr>
      <w:i/>
      <w:iCs/>
      <w:color w:val="808080"/>
      <w:sz w:val="6"/>
      <w:lang w:val="en-GB"/>
    </w:rPr>
  </w:style>
  <w:style w:type="paragraph" w:customStyle="1" w:styleId="tabletxt">
    <w:name w:val="table txt"/>
    <w:basedOn w:val="Normal"/>
    <w:link w:val="tabletxtChar"/>
    <w:qFormat/>
    <w:rsid w:val="00A90BD1"/>
    <w:pPr>
      <w:spacing w:after="0" w:line="240" w:lineRule="auto"/>
      <w:jc w:val="both"/>
    </w:pPr>
    <w:rPr>
      <w:rFonts w:ascii="Averta" w:hAnsi="Averta" w:cs="Arial"/>
      <w:color w:val="000000"/>
    </w:rPr>
  </w:style>
  <w:style w:type="character" w:customStyle="1" w:styleId="tabletxtChar">
    <w:name w:val="table txt Char"/>
    <w:basedOn w:val="DefaultParagraphFont"/>
    <w:link w:val="tabletxt"/>
    <w:rsid w:val="00A90BD1"/>
    <w:rPr>
      <w:rFonts w:ascii="Averta" w:hAnsi="Averta" w:cs="Arial"/>
      <w:color w:val="000000"/>
    </w:rPr>
  </w:style>
  <w:style w:type="table" w:styleId="TableGridLight">
    <w:name w:val="Grid Table Light"/>
    <w:basedOn w:val="TableNormal"/>
    <w:uiPriority w:val="40"/>
    <w:rsid w:val="00EF03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868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437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Davidson</dc:creator>
  <cp:keywords/>
  <dc:description/>
  <cp:lastModifiedBy>SKAPE Admin</cp:lastModifiedBy>
  <cp:revision>77</cp:revision>
  <cp:lastPrinted>2015-10-01T12:15:00Z</cp:lastPrinted>
  <dcterms:created xsi:type="dcterms:W3CDTF">2024-01-04T22:35:00Z</dcterms:created>
  <dcterms:modified xsi:type="dcterms:W3CDTF">2024-09-25T22:45:00Z</dcterms:modified>
</cp:coreProperties>
</file>