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12418" w14:textId="77777777" w:rsidR="00FD066C" w:rsidRPr="00FD066C" w:rsidRDefault="00FD066C" w:rsidP="00FD066C">
      <w:pPr>
        <w:rPr>
          <w:b/>
          <w:bCs/>
        </w:rPr>
      </w:pPr>
      <w:r w:rsidRPr="00FD066C">
        <w:rPr>
          <w:b/>
          <w:bCs/>
        </w:rPr>
        <w:t>The following guidance and introduction is taken from the government document:</w:t>
      </w:r>
    </w:p>
    <w:p w14:paraId="06A26CB6" w14:textId="77777777" w:rsidR="00FD066C" w:rsidRPr="00FD066C" w:rsidRDefault="00FD066C" w:rsidP="00FD066C">
      <w:pPr>
        <w:rPr>
          <w:b/>
          <w:bCs/>
          <w:i/>
          <w:iCs/>
        </w:rPr>
      </w:pPr>
      <w:r w:rsidRPr="00FD066C">
        <w:rPr>
          <w:b/>
          <w:bCs/>
          <w:i/>
          <w:iCs/>
        </w:rPr>
        <w:t>Use of reasonable force Advice for headteachers, staff and governing bodies July 2013</w:t>
      </w:r>
    </w:p>
    <w:p w14:paraId="20313A3E" w14:textId="77777777" w:rsidR="00FD066C" w:rsidRPr="00FD066C" w:rsidRDefault="00FD066C" w:rsidP="00FD066C">
      <w:pPr>
        <w:rPr>
          <w:b/>
          <w:bCs/>
          <w:i/>
          <w:iCs/>
        </w:rPr>
      </w:pPr>
      <w:hyperlink r:id="rId8" w:history="1">
        <w:r w:rsidRPr="00FD066C">
          <w:rPr>
            <w:rStyle w:val="Hyperlink"/>
            <w:b/>
            <w:bCs/>
            <w:i/>
            <w:iCs/>
          </w:rPr>
          <w:t>Use of reasonable force Advice for headteachers, staff and governing bodies July 2013?subject=Use of Reasonable Force in Schools</w:t>
        </w:r>
      </w:hyperlink>
    </w:p>
    <w:p w14:paraId="1B9411E0" w14:textId="77777777" w:rsidR="00FD066C" w:rsidRPr="00FD066C" w:rsidRDefault="00FD066C" w:rsidP="00FD066C">
      <w:r w:rsidRPr="00FD066C">
        <w:t>It states that:</w:t>
      </w:r>
    </w:p>
    <w:p w14:paraId="1A7E7E71" w14:textId="77777777" w:rsidR="00FD066C" w:rsidRPr="00FD066C" w:rsidRDefault="00FD066C" w:rsidP="00FD066C">
      <w:r w:rsidRPr="00FD066C">
        <w:t xml:space="preserve">• School staff have a power to use force and lawful use of the power will provide a defence to any related criminal prosecution or other legal action. </w:t>
      </w:r>
    </w:p>
    <w:p w14:paraId="01C57425" w14:textId="77777777" w:rsidR="00FD066C" w:rsidRPr="00FD066C" w:rsidRDefault="00FD066C" w:rsidP="00FD066C">
      <w:r w:rsidRPr="00FD066C">
        <w:t xml:space="preserve">• Suspension should not be an automatic response when a member of staff has been accused of using excessive force. </w:t>
      </w:r>
    </w:p>
    <w:p w14:paraId="0F0560AC" w14:textId="77777777" w:rsidR="00FD066C" w:rsidRPr="00FD066C" w:rsidRDefault="00FD066C" w:rsidP="00FD066C">
      <w:r w:rsidRPr="00FD066C">
        <w:t>• Senior school leaders should support their staff when they use this power.</w:t>
      </w:r>
    </w:p>
    <w:p w14:paraId="5C5A66EC" w14:textId="77777777" w:rsidR="00FD066C" w:rsidRPr="00FD066C" w:rsidRDefault="00FD066C" w:rsidP="00FD066C">
      <w:r w:rsidRPr="00FD066C">
        <w:t>It also gives the following definitions:</w:t>
      </w:r>
    </w:p>
    <w:p w14:paraId="132B64AC" w14:textId="77777777" w:rsidR="00FD066C" w:rsidRPr="00FD066C" w:rsidRDefault="00FD066C" w:rsidP="00FD066C">
      <w:r w:rsidRPr="00FD066C">
        <w:rPr>
          <w:b/>
          <w:bCs/>
        </w:rPr>
        <w:t>What is reasonable force?</w:t>
      </w:r>
      <w:r w:rsidRPr="00FD066C">
        <w:t xml:space="preserve"> </w:t>
      </w:r>
    </w:p>
    <w:p w14:paraId="02C1D468" w14:textId="77777777" w:rsidR="00FD066C" w:rsidRPr="00FD066C" w:rsidRDefault="00FD066C" w:rsidP="00FD066C">
      <w:r w:rsidRPr="00FD066C">
        <w:t xml:space="preserve">1. The term ‘reasonable force’ covers the broad range of actions used by most teachers at some point in their career that involve a degree of physical contact with pupils. </w:t>
      </w:r>
    </w:p>
    <w:p w14:paraId="60FE5CEA" w14:textId="77777777" w:rsidR="00FD066C" w:rsidRPr="00FD066C" w:rsidRDefault="00FD066C" w:rsidP="00FD066C">
      <w:r w:rsidRPr="00FD066C">
        <w:t xml:space="preserve">2. Force is usually used either to control or restrain. This can range from guiding a pupil to safety by the arm through to more extreme circumstances such as breaking up a fight or where a student needs to be restrained to prevent violence or injury. </w:t>
      </w:r>
    </w:p>
    <w:p w14:paraId="193F73A0" w14:textId="77777777" w:rsidR="00FD066C" w:rsidRPr="00FD066C" w:rsidRDefault="00FD066C" w:rsidP="00FD066C">
      <w:r w:rsidRPr="00FD066C">
        <w:t xml:space="preserve">3. ‘Reasonable in the circumstances’ means using no more force than is needed. </w:t>
      </w:r>
    </w:p>
    <w:p w14:paraId="324379D9" w14:textId="77777777" w:rsidR="00FD066C" w:rsidRPr="00FD066C" w:rsidRDefault="00FD066C" w:rsidP="00FD066C">
      <w:r w:rsidRPr="00FD066C">
        <w:t>4. As mentioned above, schools generally use force to control pupils and to restrain them.</w:t>
      </w:r>
    </w:p>
    <w:p w14:paraId="61A64090" w14:textId="77777777" w:rsidR="00FD066C" w:rsidRPr="00FD066C" w:rsidRDefault="00FD066C" w:rsidP="00FD066C">
      <w:r w:rsidRPr="00FD066C">
        <w:t xml:space="preserve"> Control means either passive physical contact, such as standing between pupils or blocking a pupil's path, or active physical contact such as leading a pupil by the arm out of a classroom. </w:t>
      </w:r>
    </w:p>
    <w:p w14:paraId="4207C022" w14:textId="77777777" w:rsidR="00FD066C" w:rsidRPr="00FD066C" w:rsidRDefault="00FD066C" w:rsidP="00FD066C">
      <w:r w:rsidRPr="00FD066C">
        <w:t xml:space="preserve">5. Restraint means to hold back physically or to bring a pupil under control. </w:t>
      </w:r>
    </w:p>
    <w:p w14:paraId="3E62C0CD" w14:textId="77777777" w:rsidR="00FD066C" w:rsidRPr="00FD066C" w:rsidRDefault="00FD066C" w:rsidP="00FD066C">
      <w:r w:rsidRPr="00FD066C">
        <w:t xml:space="preserve">It is typically used in more extreme circumstances, for example when two pupils are fighting and refuse to separate without physical intervention. </w:t>
      </w:r>
    </w:p>
    <w:p w14:paraId="6D8B5A40" w14:textId="77777777" w:rsidR="00FD066C" w:rsidRPr="00FD066C" w:rsidRDefault="00FD066C" w:rsidP="00FD066C">
      <w:r w:rsidRPr="00FD066C">
        <w:t xml:space="preserve">6. School staff should always try to avoid acting in a way that might cause injury, but in extreme cases it may not always be possible to avoid injuring the pupil. </w:t>
      </w:r>
    </w:p>
    <w:p w14:paraId="16124B07" w14:textId="77777777" w:rsidR="00FD066C" w:rsidRPr="00FD066C" w:rsidRDefault="00FD066C" w:rsidP="00FD066C">
      <w:pPr>
        <w:rPr>
          <w:b/>
          <w:bCs/>
        </w:rPr>
      </w:pPr>
      <w:r w:rsidRPr="00FD066C">
        <w:rPr>
          <w:b/>
          <w:bCs/>
        </w:rPr>
        <w:t xml:space="preserve">Who can use reasonable force? </w:t>
      </w:r>
    </w:p>
    <w:p w14:paraId="56D51618" w14:textId="77777777" w:rsidR="00FD066C" w:rsidRPr="00FD066C" w:rsidRDefault="00FD066C" w:rsidP="00FD066C">
      <w:r w:rsidRPr="00FD066C">
        <w:t xml:space="preserve">• All members of school staff have a legal power to use reasonable force. </w:t>
      </w:r>
    </w:p>
    <w:p w14:paraId="47BD8CA8" w14:textId="77777777" w:rsidR="00FD066C" w:rsidRPr="00FD066C" w:rsidRDefault="00FD066C" w:rsidP="00FD066C">
      <w:r w:rsidRPr="00FD066C">
        <w:t xml:space="preserve">• This power applies to any member of staff at the school. </w:t>
      </w:r>
    </w:p>
    <w:p w14:paraId="4DC9DF20" w14:textId="77777777" w:rsidR="00FD066C" w:rsidRPr="00FD066C" w:rsidRDefault="00FD066C" w:rsidP="00FD066C">
      <w:r w:rsidRPr="00FD066C">
        <w:t xml:space="preserve">It can also apply to people whom the headteacher has temporarily put in charge of pupils such as unpaid volunteers or parents accompanying students on a school organised visit. </w:t>
      </w:r>
    </w:p>
    <w:p w14:paraId="54819D26" w14:textId="77777777" w:rsidR="00FD066C" w:rsidRPr="00FD066C" w:rsidRDefault="00FD066C" w:rsidP="00FD066C">
      <w:pPr>
        <w:rPr>
          <w:b/>
          <w:bCs/>
        </w:rPr>
      </w:pPr>
      <w:r w:rsidRPr="00FD066C">
        <w:rPr>
          <w:b/>
          <w:bCs/>
        </w:rPr>
        <w:t xml:space="preserve">When can reasonable force be used? </w:t>
      </w:r>
    </w:p>
    <w:p w14:paraId="0B76A26F" w14:textId="77777777" w:rsidR="00FD066C" w:rsidRPr="00FD066C" w:rsidRDefault="00FD066C" w:rsidP="00FD066C">
      <w:r w:rsidRPr="00FD066C">
        <w:t xml:space="preserve">• Reasonable force can be used to prevent pupils from hurting themselves or others, from damaging property, or from causing disorder. </w:t>
      </w:r>
    </w:p>
    <w:p w14:paraId="614237D1" w14:textId="77777777" w:rsidR="00FD066C" w:rsidRPr="00FD066C" w:rsidRDefault="00FD066C" w:rsidP="00FD066C">
      <w:r w:rsidRPr="00FD066C">
        <w:lastRenderedPageBreak/>
        <w:t xml:space="preserve">• In a school, force is used for two main purposes – to control pupils or to restrain them. </w:t>
      </w:r>
    </w:p>
    <w:p w14:paraId="44642F4F" w14:textId="77777777" w:rsidR="00FD066C" w:rsidRPr="00FD066C" w:rsidRDefault="00FD066C" w:rsidP="00FD066C">
      <w:r w:rsidRPr="00FD066C">
        <w:t xml:space="preserve">• The decision on whether or not to physically intervene is down to the professional judgement of the staff member concerned and should always depend on the individual circumstances. </w:t>
      </w:r>
    </w:p>
    <w:p w14:paraId="5277B022" w14:textId="77777777" w:rsidR="00FD066C" w:rsidRPr="00FD066C" w:rsidRDefault="00FD066C" w:rsidP="00FD066C">
      <w:r w:rsidRPr="00FD066C">
        <w:t>• The following list is not exhaustive but provides some examples of situations where reasonable force can and cannot be used.</w:t>
      </w:r>
    </w:p>
    <w:p w14:paraId="54ACD84D" w14:textId="77777777" w:rsidR="00FD066C" w:rsidRPr="00FD066C" w:rsidRDefault="00FD066C" w:rsidP="00FD066C">
      <w:r w:rsidRPr="00FD066C">
        <w:rPr>
          <w:b/>
          <w:bCs/>
        </w:rPr>
        <w:t>Schools can use reasonable force to:</w:t>
      </w:r>
      <w:r w:rsidRPr="00FD066C">
        <w:t xml:space="preserve"> </w:t>
      </w:r>
    </w:p>
    <w:p w14:paraId="05F2D48C" w14:textId="77777777" w:rsidR="00FD066C" w:rsidRPr="00FD066C" w:rsidRDefault="00FD066C" w:rsidP="00FD066C">
      <w:r w:rsidRPr="00FD066C">
        <w:t xml:space="preserve">• remove disruptive children from the classroom where they have refused to follow an instruction to do so; </w:t>
      </w:r>
    </w:p>
    <w:p w14:paraId="4FD0B8C7" w14:textId="77777777" w:rsidR="00FD066C" w:rsidRPr="00FD066C" w:rsidRDefault="00FD066C" w:rsidP="00FD066C">
      <w:r w:rsidRPr="00FD066C">
        <w:t xml:space="preserve">• prevent a pupil behaving in a way that disrupts a school event or a school trip or visit; </w:t>
      </w:r>
    </w:p>
    <w:p w14:paraId="154D93CC" w14:textId="77777777" w:rsidR="00FD066C" w:rsidRPr="00FD066C" w:rsidRDefault="00FD066C" w:rsidP="00FD066C">
      <w:r w:rsidRPr="00FD066C">
        <w:t xml:space="preserve">• prevent a pupil leaving the classroom where allowing the pupil to leave would risk their safety or lead to behaviour that disrupts the behaviour of others; </w:t>
      </w:r>
    </w:p>
    <w:p w14:paraId="5C2BA2FE" w14:textId="77777777" w:rsidR="00FD066C" w:rsidRPr="00FD066C" w:rsidRDefault="00FD066C" w:rsidP="00FD066C">
      <w:r w:rsidRPr="00FD066C">
        <w:t xml:space="preserve">• prevent a pupil from attacking a member of staff or another pupil, or to stop a fight in the playground; and </w:t>
      </w:r>
    </w:p>
    <w:p w14:paraId="1118D8B9" w14:textId="77777777" w:rsidR="00FD066C" w:rsidRPr="00FD066C" w:rsidRDefault="00FD066C" w:rsidP="00FD066C">
      <w:r w:rsidRPr="00FD066C">
        <w:t>• restrain a pupil at risk of harming themselves through physical outbursts.</w:t>
      </w:r>
    </w:p>
    <w:p w14:paraId="013EDAA6" w14:textId="77777777" w:rsidR="00FD066C" w:rsidRPr="00FD066C" w:rsidRDefault="00FD066C" w:rsidP="00FD066C">
      <w:pPr>
        <w:rPr>
          <w:b/>
          <w:bCs/>
        </w:rPr>
      </w:pPr>
      <w:r w:rsidRPr="00FD066C">
        <w:rPr>
          <w:b/>
          <w:bCs/>
        </w:rPr>
        <w:t xml:space="preserve">Schools cannot: </w:t>
      </w:r>
    </w:p>
    <w:p w14:paraId="6356B093" w14:textId="77777777" w:rsidR="00FD066C" w:rsidRPr="00FD066C" w:rsidRDefault="00FD066C" w:rsidP="00FD066C">
      <w:r w:rsidRPr="00FD066C">
        <w:t xml:space="preserve">• use force as a punishment – it is always unlawful to use force as a punishment. </w:t>
      </w:r>
    </w:p>
    <w:p w14:paraId="0FC0DFEF" w14:textId="77777777" w:rsidR="00FD066C" w:rsidRPr="00FD066C" w:rsidRDefault="00FD066C" w:rsidP="00FD066C">
      <w:pPr>
        <w:rPr>
          <w:b/>
          <w:bCs/>
        </w:rPr>
      </w:pPr>
      <w:r w:rsidRPr="00FD066C">
        <w:rPr>
          <w:b/>
          <w:bCs/>
        </w:rPr>
        <w:t xml:space="preserve">Power to search pupils without consent </w:t>
      </w:r>
    </w:p>
    <w:p w14:paraId="755B7B4F" w14:textId="77777777" w:rsidR="00FD066C" w:rsidRPr="00FD066C" w:rsidRDefault="00FD066C" w:rsidP="00FD066C">
      <w:r w:rsidRPr="00FD066C">
        <w:t xml:space="preserve">In addition to the general power to use reasonable force described above, headteachers and authorised staff can use such force as is reasonable given the circumstances to conduct a search for the following “prohibited items”: </w:t>
      </w:r>
    </w:p>
    <w:p w14:paraId="51967B56" w14:textId="77777777" w:rsidR="00FD066C" w:rsidRPr="00FD066C" w:rsidRDefault="00FD066C" w:rsidP="00FD066C">
      <w:r w:rsidRPr="00FD066C">
        <w:t xml:space="preserve">• knives and weapons </w:t>
      </w:r>
    </w:p>
    <w:p w14:paraId="150672FA" w14:textId="77777777" w:rsidR="00FD066C" w:rsidRPr="00FD066C" w:rsidRDefault="00FD066C" w:rsidP="00FD066C">
      <w:r w:rsidRPr="00FD066C">
        <w:t xml:space="preserve">• alcohol </w:t>
      </w:r>
    </w:p>
    <w:p w14:paraId="3375A767" w14:textId="77777777" w:rsidR="00FD066C" w:rsidRPr="00FD066C" w:rsidRDefault="00FD066C" w:rsidP="00FD066C">
      <w:r w:rsidRPr="00FD066C">
        <w:t xml:space="preserve">• illegal drugs </w:t>
      </w:r>
    </w:p>
    <w:p w14:paraId="43A3F84E" w14:textId="77777777" w:rsidR="00FD066C" w:rsidRPr="00FD066C" w:rsidRDefault="00FD066C" w:rsidP="00FD066C">
      <w:r w:rsidRPr="00FD066C">
        <w:t xml:space="preserve">• stolen items </w:t>
      </w:r>
    </w:p>
    <w:p w14:paraId="047992AB" w14:textId="77777777" w:rsidR="00FD066C" w:rsidRPr="00FD066C" w:rsidRDefault="00FD066C" w:rsidP="00FD066C">
      <w:r w:rsidRPr="00FD066C">
        <w:t xml:space="preserve">• tobacco and cigarette papers </w:t>
      </w:r>
    </w:p>
    <w:p w14:paraId="46FC64CA" w14:textId="77777777" w:rsidR="00FD066C" w:rsidRPr="00FD066C" w:rsidRDefault="00FD066C" w:rsidP="00FD066C">
      <w:r w:rsidRPr="00FD066C">
        <w:t xml:space="preserve">• fireworks </w:t>
      </w:r>
    </w:p>
    <w:p w14:paraId="5BB37BD6" w14:textId="77777777" w:rsidR="00FD066C" w:rsidRPr="00FD066C" w:rsidRDefault="00FD066C" w:rsidP="00FD066C">
      <w:r w:rsidRPr="00FD066C">
        <w:t xml:space="preserve">• pornographic images </w:t>
      </w:r>
    </w:p>
    <w:p w14:paraId="0FA2B482" w14:textId="77777777" w:rsidR="00FD066C" w:rsidRPr="00FD066C" w:rsidRDefault="00FD066C" w:rsidP="00FD066C">
      <w:r w:rsidRPr="00FD066C">
        <w:t xml:space="preserve">• any article that has been or is likely to be used to commit an offence, cause personal injury or damage to property. </w:t>
      </w:r>
    </w:p>
    <w:p w14:paraId="6FF3AB0D" w14:textId="77777777" w:rsidR="00FD066C" w:rsidRPr="00FD066C" w:rsidRDefault="00FD066C" w:rsidP="00FD066C">
      <w:r w:rsidRPr="00FD066C">
        <w:t>Force cannot be used to search for items banned under the school rules.</w:t>
      </w:r>
    </w:p>
    <w:p w14:paraId="71F60B07" w14:textId="77777777" w:rsidR="00FD066C" w:rsidRPr="00FD066C" w:rsidRDefault="00FD066C" w:rsidP="00FD066C"/>
    <w:p w14:paraId="07120EBF" w14:textId="77777777" w:rsidR="00FD066C" w:rsidRPr="00FD066C" w:rsidRDefault="00FD066C" w:rsidP="00FD066C">
      <w:r w:rsidRPr="00FD066C">
        <w:t>(All the above from: Section 93, Education and Inspections Act 2006)</w:t>
      </w:r>
    </w:p>
    <w:p w14:paraId="6F33BD21" w14:textId="77777777" w:rsidR="00A5683B" w:rsidRDefault="00A5683B" w:rsidP="00FD066C">
      <w:pPr>
        <w:rPr>
          <w:b/>
          <w:bCs/>
        </w:rPr>
      </w:pPr>
    </w:p>
    <w:p w14:paraId="5ACC6AF6" w14:textId="7089BD65" w:rsidR="00FD066C" w:rsidRPr="00FD066C" w:rsidRDefault="00FD066C" w:rsidP="00FD066C">
      <w:pPr>
        <w:rPr>
          <w:b/>
          <w:bCs/>
        </w:rPr>
      </w:pPr>
      <w:r w:rsidRPr="00FD066C">
        <w:rPr>
          <w:b/>
          <w:bCs/>
        </w:rPr>
        <w:lastRenderedPageBreak/>
        <w:t>The use of reasonable force / positive handling at SKAPE</w:t>
      </w:r>
    </w:p>
    <w:p w14:paraId="6F303455" w14:textId="40D34BCE" w:rsidR="00FD066C" w:rsidRPr="00FD066C" w:rsidRDefault="00A5683B" w:rsidP="00A5683B">
      <w:r>
        <w:t>1)</w:t>
      </w:r>
      <w:r w:rsidR="00EC4ECE">
        <w:t xml:space="preserve"> S</w:t>
      </w:r>
      <w:r w:rsidR="00FD066C" w:rsidRPr="00FD066C">
        <w:t xml:space="preserve">KAPE is committed to ensuring that all staff and adults with responsibility for children’s safety and welfare deal professionally with all incidents involving aggressive or reckless behaviour. </w:t>
      </w:r>
    </w:p>
    <w:p w14:paraId="2754A055" w14:textId="77777777" w:rsidR="00FD066C" w:rsidRPr="00FD066C" w:rsidRDefault="00FD066C" w:rsidP="00FD066C">
      <w:r w:rsidRPr="00FD066C">
        <w:t xml:space="preserve">We will use physical intervention/positive handling only as a last resort, for the shortest time possible, and only when there is no other alternative to help children and staff to stay safe. </w:t>
      </w:r>
    </w:p>
    <w:p w14:paraId="7497B5AB" w14:textId="77777777" w:rsidR="00FD066C" w:rsidRPr="00FD066C" w:rsidRDefault="00FD066C" w:rsidP="00FD066C">
      <w:r w:rsidRPr="00FD066C">
        <w:t>2) At all times, staff will follow the guidance in this policy and any additional Department for Education guidance. Staff should refer to the DfE publication, ‘Use of reasonable force’ July 20131 for further information. (Extracts used in this policy)</w:t>
      </w:r>
    </w:p>
    <w:p w14:paraId="7B214453" w14:textId="77777777" w:rsidR="00FD066C" w:rsidRPr="00FD066C" w:rsidRDefault="00FD066C" w:rsidP="00FD066C">
      <w:r w:rsidRPr="00FD066C">
        <w:t xml:space="preserve">3) Members of staff have a legal power, under Section 93 of the Education and Inspections Act 2006, to use reasonable force to prevent pupils committing an offence, injuring themselves or others, or damaging property, and to maintain good order and discipline in the classroom. </w:t>
      </w:r>
    </w:p>
    <w:p w14:paraId="464710E0" w14:textId="77777777" w:rsidR="00FD066C" w:rsidRPr="00FD066C" w:rsidRDefault="00FD066C" w:rsidP="00FD066C">
      <w:r w:rsidRPr="00FD066C">
        <w:t xml:space="preserve">Lawful use of this power will provide a defence against any related criminal prosecution or other legal action. </w:t>
      </w:r>
    </w:p>
    <w:p w14:paraId="2F5F2A6E" w14:textId="77777777" w:rsidR="00FD066C" w:rsidRPr="00FD066C" w:rsidRDefault="00FD066C" w:rsidP="00FD066C">
      <w:r w:rsidRPr="00FD066C">
        <w:t xml:space="preserve">Suspension should not be an automatic response when a member of staff has been accused of using excessive force. </w:t>
      </w:r>
    </w:p>
    <w:p w14:paraId="70EB9B9E" w14:textId="77777777" w:rsidR="00FD066C" w:rsidRPr="00FD066C" w:rsidRDefault="00FD066C" w:rsidP="00FD066C">
      <w:r w:rsidRPr="00FD066C">
        <w:t>4) The power to use positive handling also extends to people whom the Centre Manager has temporarily put in charge of pupils, such as unpaid volunteers or parents accompanying pupils</w:t>
      </w:r>
    </w:p>
    <w:p w14:paraId="19BDFE8D" w14:textId="77777777" w:rsidR="00FD066C" w:rsidRPr="00FD066C" w:rsidRDefault="00FD066C" w:rsidP="00FD066C"/>
    <w:p w14:paraId="28DB2E55" w14:textId="77777777" w:rsidR="00FD066C" w:rsidRPr="00FD066C" w:rsidRDefault="00FD066C" w:rsidP="00FD066C">
      <w:r w:rsidRPr="00FD066C">
        <w:rPr>
          <w:b/>
          <w:bCs/>
        </w:rPr>
        <w:t>SKAPE will not</w:t>
      </w:r>
      <w:r w:rsidRPr="00FD066C">
        <w:t xml:space="preserve">: </w:t>
      </w:r>
    </w:p>
    <w:p w14:paraId="7B8D34D0" w14:textId="4EFCAC45" w:rsidR="00FD066C" w:rsidRPr="00FD066C" w:rsidRDefault="00FD066C" w:rsidP="00FD066C">
      <w:r w:rsidRPr="00FD066C">
        <w:t xml:space="preserve">• </w:t>
      </w:r>
      <w:r w:rsidR="00EC4ECE">
        <w:t>U</w:t>
      </w:r>
      <w:r w:rsidRPr="00FD066C">
        <w:t xml:space="preserve">se positive handling as a punishment – it is always unlawful to use force/positive handling as a punishment. </w:t>
      </w:r>
    </w:p>
    <w:p w14:paraId="733009C5" w14:textId="77777777" w:rsidR="00FD066C" w:rsidRPr="00FD066C" w:rsidRDefault="00FD066C" w:rsidP="00FD066C">
      <w:r w:rsidRPr="00FD066C">
        <w:rPr>
          <w:b/>
          <w:bCs/>
        </w:rPr>
        <w:t>Deciding whether to use positive handling</w:t>
      </w:r>
      <w:r w:rsidRPr="00FD066C">
        <w:t xml:space="preserve"> </w:t>
      </w:r>
    </w:p>
    <w:p w14:paraId="14F3AE4D" w14:textId="4E69C28F" w:rsidR="00FD066C" w:rsidRPr="00FD066C" w:rsidRDefault="00FD066C" w:rsidP="00FD066C">
      <w:r w:rsidRPr="00FD066C">
        <w:t>•</w:t>
      </w:r>
      <w:r w:rsidR="00EC4ECE">
        <w:t xml:space="preserve"> </w:t>
      </w:r>
      <w:r w:rsidRPr="00FD066C">
        <w:t xml:space="preserve">As a general rule, staff should only use positive handling when: </w:t>
      </w:r>
    </w:p>
    <w:p w14:paraId="63726A75" w14:textId="77777777" w:rsidR="00FD066C" w:rsidRPr="00FD066C" w:rsidRDefault="00FD066C" w:rsidP="00FD066C">
      <w:r w:rsidRPr="00FD066C">
        <w:t xml:space="preserve">- The potential consequences of not intervening are sufficiently serious to justify it </w:t>
      </w:r>
    </w:p>
    <w:p w14:paraId="376AE3F8" w14:textId="77777777" w:rsidR="00FD066C" w:rsidRPr="00FD066C" w:rsidRDefault="00FD066C" w:rsidP="00FD066C">
      <w:r w:rsidRPr="00FD066C">
        <w:t xml:space="preserve">- The chance of achieving the desired outcome by other non-physical means is low </w:t>
      </w:r>
    </w:p>
    <w:p w14:paraId="1AB8764A" w14:textId="4A59CC94" w:rsidR="00FD066C" w:rsidRPr="00FD066C" w:rsidRDefault="00FD066C" w:rsidP="00FD066C">
      <w:r w:rsidRPr="00FD066C">
        <w:t>•</w:t>
      </w:r>
      <w:r w:rsidR="00EC4ECE">
        <w:t xml:space="preserve"> </w:t>
      </w:r>
      <w:r w:rsidRPr="00FD066C">
        <w:t xml:space="preserve">Before using positive handling, staff should – where practicable – take steps to de-escalate the situation by using clear verbal commands. </w:t>
      </w:r>
    </w:p>
    <w:p w14:paraId="319EBC84" w14:textId="720A216E" w:rsidR="00FD066C" w:rsidRPr="00FD066C" w:rsidRDefault="00FD066C" w:rsidP="00FD066C">
      <w:r w:rsidRPr="00FD066C">
        <w:t>•</w:t>
      </w:r>
      <w:r w:rsidR="00EC4ECE">
        <w:t xml:space="preserve"> </w:t>
      </w:r>
      <w:r w:rsidRPr="00FD066C">
        <w:t xml:space="preserve">Care should be taken to avoid giving the impression that the member of staff is angry, or frustrated, or acting to punish a child. </w:t>
      </w:r>
    </w:p>
    <w:p w14:paraId="31B2E04E" w14:textId="77777777" w:rsidR="00FD066C" w:rsidRPr="00FD066C" w:rsidRDefault="00FD066C" w:rsidP="00FD066C">
      <w:r w:rsidRPr="00FD066C">
        <w:t xml:space="preserve">It should be made clear with calm language that as soon as the need for the positive handling ceases, it will stop. </w:t>
      </w:r>
    </w:p>
    <w:p w14:paraId="3653EDB3" w14:textId="09B166BC" w:rsidR="00FD066C" w:rsidRPr="00FD066C" w:rsidRDefault="00FD066C" w:rsidP="00FD066C">
      <w:r w:rsidRPr="00FD066C">
        <w:t>•</w:t>
      </w:r>
      <w:r w:rsidR="00EC4ECE">
        <w:t xml:space="preserve"> </w:t>
      </w:r>
      <w:r w:rsidRPr="00FD066C">
        <w:t xml:space="preserve">Appropriate use of positive handling will range from physical passive presence in between pupils, to blocking a pupil’s path, ushering them by placing a hand in the centre of the back, leading/guiding them by the hand or arm, to, in more extreme circumstances, using appropriate restraining holds. </w:t>
      </w:r>
    </w:p>
    <w:p w14:paraId="4CD2ABF1" w14:textId="75BEF1D1" w:rsidR="00FD066C" w:rsidRPr="00FD066C" w:rsidRDefault="00FD066C" w:rsidP="00FD066C">
      <w:r w:rsidRPr="00FD066C">
        <w:lastRenderedPageBreak/>
        <w:t>•</w:t>
      </w:r>
      <w:r w:rsidR="00EC4ECE">
        <w:t xml:space="preserve"> </w:t>
      </w:r>
      <w:r w:rsidRPr="00FD066C">
        <w:t xml:space="preserve">Particular attention will be given to individuals’ needs which arise from students’ Educational Health and Care Plans or to any specific, particular needs of the student known to the member of staff which may not be stated officially on a Care Plan. </w:t>
      </w:r>
    </w:p>
    <w:p w14:paraId="491B1411" w14:textId="394FCF9E" w:rsidR="00FD066C" w:rsidRPr="00FD066C" w:rsidRDefault="00FD066C" w:rsidP="00FD066C">
      <w:r w:rsidRPr="00FD066C">
        <w:t>•</w:t>
      </w:r>
      <w:r w:rsidR="00EC4ECE">
        <w:t xml:space="preserve"> </w:t>
      </w:r>
      <w:r w:rsidRPr="00FD066C">
        <w:t xml:space="preserve">Whilst it is highly desirable that staff should avoid acting in any way which might reasonably be expected to cause an injury, in truly exceptional circumstances it is recognised that it may not always be possible to avoid.  </w:t>
      </w:r>
    </w:p>
    <w:p w14:paraId="2EDDB003" w14:textId="45DCC16E" w:rsidR="00FD066C" w:rsidRPr="00FD066C" w:rsidRDefault="00FD066C" w:rsidP="00FD066C">
      <w:r w:rsidRPr="00FD066C">
        <w:t>•</w:t>
      </w:r>
      <w:r w:rsidR="00EC4ECE">
        <w:t xml:space="preserve"> </w:t>
      </w:r>
      <w:r w:rsidRPr="00FD066C">
        <w:t xml:space="preserve">Any such injury caused will be properly investigated by the school and will require justification. </w:t>
      </w:r>
    </w:p>
    <w:p w14:paraId="09B622C8" w14:textId="77777777" w:rsidR="00FD066C" w:rsidRPr="00FD066C" w:rsidRDefault="00FD066C" w:rsidP="00FD066C">
      <w:r w:rsidRPr="00FD066C">
        <w:rPr>
          <w:b/>
          <w:bCs/>
        </w:rPr>
        <w:t>Unacceptable use of ‘positive handling’</w:t>
      </w:r>
    </w:p>
    <w:p w14:paraId="2B611545" w14:textId="77777777" w:rsidR="00FD066C" w:rsidRPr="00FD066C" w:rsidRDefault="00FD066C" w:rsidP="00FD066C">
      <w:r w:rsidRPr="00FD066C">
        <w:t>The following techniques must not be used as they present an unacceptable risk when used on children and young people:</w:t>
      </w:r>
    </w:p>
    <w:p w14:paraId="4679BDE6" w14:textId="77777777" w:rsidR="00FD066C" w:rsidRPr="00FD066C" w:rsidRDefault="00FD066C" w:rsidP="00FD066C">
      <w:r w:rsidRPr="00FD066C">
        <w:t xml:space="preserve"> - the ‘seated double embrace’ which involves two members of staff forcing a person into a sitting position and leaning them forward, while a third monitors breathing </w:t>
      </w:r>
    </w:p>
    <w:p w14:paraId="4777057C" w14:textId="77777777" w:rsidR="00FD066C" w:rsidRPr="00FD066C" w:rsidRDefault="00FD066C" w:rsidP="00FD066C">
      <w:r w:rsidRPr="00FD066C">
        <w:t xml:space="preserve">- the ‘double basket-hold’ which involves holding a person’s arms across their chest </w:t>
      </w:r>
    </w:p>
    <w:p w14:paraId="3C1A3339" w14:textId="77777777" w:rsidR="00FD066C" w:rsidRPr="00FD066C" w:rsidRDefault="00FD066C" w:rsidP="00FD066C">
      <w:r w:rsidRPr="00FD066C">
        <w:t xml:space="preserve">- the ‘nose distraction technique’ which involves a sharp upward jab under the nose. </w:t>
      </w:r>
    </w:p>
    <w:p w14:paraId="542BEEFE" w14:textId="77777777" w:rsidR="00FD066C" w:rsidRPr="00FD066C" w:rsidRDefault="00FD066C" w:rsidP="00FD066C">
      <w:r w:rsidRPr="00FD066C">
        <w:rPr>
          <w:b/>
          <w:bCs/>
        </w:rPr>
        <w:t>Staff Training</w:t>
      </w:r>
      <w:r w:rsidRPr="00FD066C">
        <w:t xml:space="preserve"> </w:t>
      </w:r>
    </w:p>
    <w:p w14:paraId="347C6595" w14:textId="77777777" w:rsidR="00FD066C" w:rsidRPr="00FD066C" w:rsidRDefault="00FD066C" w:rsidP="00FD066C">
      <w:r w:rsidRPr="00FD066C">
        <w:t>The SKAPE Centre Manager must consider whether members of staff or other adults require any additional training to carry out their responsibilities and should consider the needs of pupils when doing so. Records of certified training will be kept in SKAPE’s central records and will be updated in a cyclical manner to ensure sufficient staff coverage at all times.</w:t>
      </w:r>
    </w:p>
    <w:p w14:paraId="2351E0C5" w14:textId="77777777" w:rsidR="00FD066C" w:rsidRPr="00FD066C" w:rsidRDefault="00FD066C" w:rsidP="00FD066C">
      <w:r w:rsidRPr="00FD066C">
        <w:rPr>
          <w:b/>
          <w:bCs/>
        </w:rPr>
        <w:t>Record keeping and informing parents when force has been used on their child</w:t>
      </w:r>
      <w:r w:rsidRPr="00FD066C">
        <w:t xml:space="preserve"> </w:t>
      </w:r>
    </w:p>
    <w:p w14:paraId="17289EAA" w14:textId="77777777" w:rsidR="00FD066C" w:rsidRPr="00FD066C" w:rsidRDefault="00FD066C" w:rsidP="00FD066C">
      <w:r w:rsidRPr="00FD066C">
        <w:t xml:space="preserve">-Whenever a member of staff uses positive handling, this must be recorded in SKAPE’s Behaviour Record and be reported to the Senior Leadership Team. It will be discussed and debated at the next staff meeting. </w:t>
      </w:r>
    </w:p>
    <w:p w14:paraId="0C5BA2F9" w14:textId="77777777" w:rsidR="00FD066C" w:rsidRPr="00FD066C" w:rsidRDefault="00FD066C" w:rsidP="00FD066C">
      <w:r w:rsidRPr="00FD066C">
        <w:t xml:space="preserve">-Parents must always be informed, as soon as is reasonably possible and, if necessary, in writing, when positive handling has been used on their child. </w:t>
      </w:r>
    </w:p>
    <w:p w14:paraId="3287DB50" w14:textId="77777777" w:rsidR="00FD066C" w:rsidRPr="00FD066C" w:rsidRDefault="00FD066C" w:rsidP="00FD066C">
      <w:r w:rsidRPr="00FD066C">
        <w:t xml:space="preserve">-The views of students and parents about individual instances where positive handling has been used, must be sought and recorded. Where no views have been offered, this must also be recorded.  </w:t>
      </w:r>
    </w:p>
    <w:p w14:paraId="20F55006" w14:textId="77777777" w:rsidR="00FD066C" w:rsidRPr="00FD066C" w:rsidRDefault="00FD066C" w:rsidP="00FD066C">
      <w:r w:rsidRPr="00FD066C">
        <w:t xml:space="preserve">-When assessing the incident, consideration may be given to involving multiagency partners to offer support or advice. </w:t>
      </w:r>
    </w:p>
    <w:p w14:paraId="7E0BC659" w14:textId="77777777" w:rsidR="00FD066C" w:rsidRPr="00FD066C" w:rsidRDefault="00FD066C" w:rsidP="00FD066C">
      <w:r w:rsidRPr="00FD066C">
        <w:t xml:space="preserve">-Where a student is responsible for injury to another, as well as holding him/her to account and issuing any appropriate sanction, the student will be given the opportunity to repair the relationships with students and staff affected by the incident. </w:t>
      </w:r>
    </w:p>
    <w:p w14:paraId="24C5522C" w14:textId="77777777" w:rsidR="00FD066C" w:rsidRPr="00FD066C" w:rsidRDefault="00FD066C" w:rsidP="00FD066C">
      <w:r w:rsidRPr="00FD066C">
        <w:t>The student will also be offered appropriate support to help develop strategies for avoiding such crisis points in the future. (see SKAPE’s Behaviour Support Plan for how this might be implemented and recorded)</w:t>
      </w:r>
    </w:p>
    <w:p w14:paraId="40EE35FB" w14:textId="77777777" w:rsidR="00FD066C" w:rsidRPr="00FD066C" w:rsidRDefault="00FD066C" w:rsidP="00FD066C">
      <w:r w:rsidRPr="00FD066C">
        <w:t xml:space="preserve">-The relevant leader must monitor trends and patterns about the use of positive handling in respect of individual students and members of staff. </w:t>
      </w:r>
    </w:p>
    <w:p w14:paraId="0D99A96A" w14:textId="77777777" w:rsidR="00FD066C" w:rsidRPr="00FD066C" w:rsidRDefault="00FD066C" w:rsidP="00FD066C">
      <w:r w:rsidRPr="00FD066C">
        <w:lastRenderedPageBreak/>
        <w:t xml:space="preserve">Any poor practice must be explored with action being taken to address this. </w:t>
      </w:r>
    </w:p>
    <w:p w14:paraId="5B050912" w14:textId="77777777" w:rsidR="00FD066C" w:rsidRPr="00FD066C" w:rsidRDefault="00FD066C" w:rsidP="00FD066C">
      <w:pPr>
        <w:rPr>
          <w:b/>
          <w:bCs/>
        </w:rPr>
      </w:pPr>
      <w:r w:rsidRPr="00FD066C">
        <w:rPr>
          <w:b/>
          <w:bCs/>
        </w:rPr>
        <w:t xml:space="preserve">Complaints </w:t>
      </w:r>
    </w:p>
    <w:p w14:paraId="6B39CEE7" w14:textId="77777777" w:rsidR="00FD066C" w:rsidRPr="00FD066C" w:rsidRDefault="00FD066C" w:rsidP="00FD066C">
      <w:r w:rsidRPr="00FD066C">
        <w:t xml:space="preserve">-All complaints about the use of positive handling must be investigated thoroughly and speedily in line with the SKAPE’s complaints procedure, following the guidance set out in Section Eight of the Use of Reasonable Force: </w:t>
      </w:r>
    </w:p>
    <w:p w14:paraId="23C36C2E" w14:textId="229F6B72" w:rsidR="00FD066C" w:rsidRPr="00FD066C" w:rsidRDefault="00FD066C" w:rsidP="00FD066C">
      <w:r w:rsidRPr="00FD066C">
        <w:t>Advice for headteachers, staff and governing bodies (DFE Ref: DFE-00341-2014)</w:t>
      </w:r>
      <w:r w:rsidR="00713829">
        <w:br/>
      </w:r>
    </w:p>
    <w:p w14:paraId="3BCC70C1" w14:textId="24278611" w:rsidR="000C3E2A" w:rsidRPr="00FD066C" w:rsidRDefault="00D1795D" w:rsidP="000C3E2A">
      <w:pPr>
        <w:tabs>
          <w:tab w:val="left" w:pos="6940"/>
        </w:tabs>
        <w:spacing w:after="0" w:line="240" w:lineRule="auto"/>
        <w:rPr>
          <w:rFonts w:cstheme="minorHAnsi"/>
        </w:rPr>
      </w:pPr>
      <w:r w:rsidRPr="00FD066C">
        <w:rPr>
          <w:rFonts w:cstheme="minorHAnsi"/>
          <w:noProof/>
        </w:rPr>
        <w:drawing>
          <wp:anchor distT="36576" distB="36576" distL="36576" distR="36576" simplePos="0" relativeHeight="251659264" behindDoc="1" locked="0" layoutInCell="1" allowOverlap="1" wp14:anchorId="083CCF94" wp14:editId="1A988165">
            <wp:simplePos x="0" y="0"/>
            <wp:positionH relativeFrom="leftMargin">
              <wp:posOffset>1636713</wp:posOffset>
            </wp:positionH>
            <wp:positionV relativeFrom="paragraph">
              <wp:posOffset>-296863</wp:posOffset>
            </wp:positionV>
            <wp:extent cx="359479" cy="770876"/>
            <wp:effectExtent l="4127" t="0" r="6668" b="6667"/>
            <wp:wrapNone/>
            <wp:docPr id="387976738" name="Picture 387976738"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76738" name="Picture 387976738" descr="A close up of a piece of paper&#10;&#10;Description automatically generated"/>
                    <pic:cNvPicPr>
                      <a:picLocks noChangeAspect="1" noChangeArrowheads="1"/>
                    </pic:cNvPicPr>
                  </pic:nvPicPr>
                  <pic:blipFill>
                    <a:blip r:embed="rId9" cstate="print">
                      <a:lum bright="20000" contrast="40000"/>
                      <a:extLst>
                        <a:ext uri="{28A0092B-C50C-407E-A947-70E740481C1C}">
                          <a14:useLocalDpi xmlns:a14="http://schemas.microsoft.com/office/drawing/2010/main" val="0"/>
                        </a:ext>
                      </a:extLst>
                    </a:blip>
                    <a:srcRect l="41013" t="11121" r="39621" b="15138"/>
                    <a:stretch>
                      <a:fillRect/>
                    </a:stretch>
                  </pic:blipFill>
                  <pic:spPr bwMode="auto">
                    <a:xfrm rot="5400000">
                      <a:off x="0" y="0"/>
                      <a:ext cx="359479" cy="77087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C3E2A" w:rsidRPr="00FD066C">
        <w:rPr>
          <w:rFonts w:cstheme="minorHAnsi"/>
        </w:rPr>
        <w:t xml:space="preserve">Signed:  </w:t>
      </w:r>
      <w:r w:rsidR="000C3E2A" w:rsidRPr="00FD066C">
        <w:rPr>
          <w:rFonts w:cstheme="minorHAnsi"/>
        </w:rPr>
        <w:br/>
      </w:r>
      <w:r w:rsidR="000C3E2A" w:rsidRPr="00FD066C">
        <w:rPr>
          <w:rFonts w:cstheme="minorHAnsi"/>
        </w:rPr>
        <w:tab/>
        <w:t xml:space="preserve">Date: </w:t>
      </w:r>
      <w:r w:rsidR="002B509B">
        <w:rPr>
          <w:rFonts w:cstheme="minorHAnsi"/>
        </w:rPr>
        <w:t>29</w:t>
      </w:r>
      <w:r w:rsidR="000C3E2A" w:rsidRPr="00FD066C">
        <w:rPr>
          <w:rFonts w:cstheme="minorHAnsi"/>
        </w:rPr>
        <w:t>/08/202</w:t>
      </w:r>
      <w:r w:rsidR="002B509B">
        <w:rPr>
          <w:rFonts w:cstheme="minorHAnsi"/>
        </w:rPr>
        <w:t>4</w:t>
      </w:r>
    </w:p>
    <w:p w14:paraId="2D0E7F65" w14:textId="77777777" w:rsidR="000C3E2A" w:rsidRPr="00FD066C" w:rsidRDefault="000C3E2A" w:rsidP="000C3E2A">
      <w:pPr>
        <w:spacing w:after="0" w:line="240" w:lineRule="auto"/>
        <w:rPr>
          <w:rFonts w:cstheme="minorHAnsi"/>
        </w:rPr>
      </w:pPr>
      <w:r w:rsidRPr="00FD066C">
        <w:rPr>
          <w:rFonts w:cstheme="minorHAnsi"/>
        </w:rPr>
        <w:t>Print Name: L. James</w:t>
      </w:r>
    </w:p>
    <w:p w14:paraId="203A1305" w14:textId="77777777" w:rsidR="000C3E2A" w:rsidRPr="00FD066C" w:rsidRDefault="000C3E2A" w:rsidP="000C3E2A">
      <w:pPr>
        <w:spacing w:after="0" w:line="240" w:lineRule="auto"/>
        <w:rPr>
          <w:rFonts w:cstheme="minorHAnsi"/>
        </w:rPr>
      </w:pPr>
      <w:r w:rsidRPr="00FD066C">
        <w:rPr>
          <w:rFonts w:cstheme="minorHAnsi"/>
        </w:rPr>
        <w:t>Reviewed: Annually</w:t>
      </w:r>
      <w:r w:rsidRPr="00FD066C">
        <w:rPr>
          <w:rFonts w:cstheme="minorHAnsi"/>
        </w:rPr>
        <w:tab/>
      </w:r>
      <w:r w:rsidRPr="00FD066C">
        <w:rPr>
          <w:rFonts w:cstheme="minorHAnsi"/>
        </w:rPr>
        <w:tab/>
        <w:t xml:space="preserve">                                                                             </w:t>
      </w:r>
    </w:p>
    <w:p w14:paraId="6EF86BAC" w14:textId="2FDDF679" w:rsidR="000C3E2A" w:rsidRPr="00FD066C" w:rsidRDefault="000C3E2A" w:rsidP="000C3E2A">
      <w:pPr>
        <w:spacing w:after="0" w:line="240" w:lineRule="auto"/>
        <w:rPr>
          <w:rFonts w:cstheme="minorHAnsi"/>
        </w:rPr>
      </w:pPr>
      <w:r w:rsidRPr="00FD066C">
        <w:rPr>
          <w:rFonts w:cstheme="minorHAnsi"/>
        </w:rPr>
        <w:t>Review Date: August 202</w:t>
      </w:r>
      <w:r w:rsidR="002B509B">
        <w:rPr>
          <w:rFonts w:cstheme="minorHAnsi"/>
        </w:rPr>
        <w:t>5</w:t>
      </w:r>
    </w:p>
    <w:p w14:paraId="6029441B" w14:textId="06A5EB8A" w:rsidR="00DA7A89" w:rsidRPr="00FD066C" w:rsidRDefault="00DA7A89" w:rsidP="00FE21E3">
      <w:pPr>
        <w:rPr>
          <w:rFonts w:cstheme="minorHAnsi"/>
        </w:rPr>
      </w:pPr>
    </w:p>
    <w:tbl>
      <w:tblPr>
        <w:tblStyle w:val="TableGrid"/>
        <w:tblpPr w:leftFromText="180" w:rightFromText="180" w:vertAnchor="text" w:horzAnchor="margin" w:tblpXSpec="center" w:tblpY="42"/>
        <w:tblW w:w="10172" w:type="dxa"/>
        <w:tblLook w:val="04A0" w:firstRow="1" w:lastRow="0" w:firstColumn="1" w:lastColumn="0" w:noHBand="0" w:noVBand="1"/>
      </w:tblPr>
      <w:tblGrid>
        <w:gridCol w:w="1242"/>
        <w:gridCol w:w="5954"/>
        <w:gridCol w:w="1843"/>
        <w:gridCol w:w="1133"/>
      </w:tblGrid>
      <w:tr w:rsidR="000C3E2A" w:rsidRPr="00FD066C" w14:paraId="409D2A3D" w14:textId="77777777" w:rsidTr="000C3E2A">
        <w:tc>
          <w:tcPr>
            <w:tcW w:w="1242" w:type="dxa"/>
          </w:tcPr>
          <w:p w14:paraId="7F37E905" w14:textId="77777777" w:rsidR="000C3E2A" w:rsidRPr="00FD066C" w:rsidRDefault="000C3E2A" w:rsidP="000C3E2A">
            <w:pPr>
              <w:rPr>
                <w:rFonts w:cstheme="minorHAnsi"/>
                <w:b/>
              </w:rPr>
            </w:pPr>
            <w:r w:rsidRPr="00FD066C">
              <w:rPr>
                <w:rFonts w:cstheme="minorHAnsi"/>
                <w:b/>
              </w:rPr>
              <w:t xml:space="preserve">Date </w:t>
            </w:r>
          </w:p>
        </w:tc>
        <w:tc>
          <w:tcPr>
            <w:tcW w:w="5954" w:type="dxa"/>
          </w:tcPr>
          <w:p w14:paraId="1EF3665F" w14:textId="77777777" w:rsidR="000C3E2A" w:rsidRPr="00FD066C" w:rsidRDefault="000C3E2A" w:rsidP="000C3E2A">
            <w:pPr>
              <w:rPr>
                <w:rFonts w:cstheme="minorHAnsi"/>
                <w:b/>
              </w:rPr>
            </w:pPr>
            <w:r w:rsidRPr="00FD066C">
              <w:rPr>
                <w:rFonts w:cstheme="minorHAnsi"/>
                <w:b/>
              </w:rPr>
              <w:t>Reason for Change</w:t>
            </w:r>
          </w:p>
        </w:tc>
        <w:tc>
          <w:tcPr>
            <w:tcW w:w="1843" w:type="dxa"/>
          </w:tcPr>
          <w:p w14:paraId="7AAB003B" w14:textId="77777777" w:rsidR="000C3E2A" w:rsidRPr="00FD066C" w:rsidRDefault="000C3E2A" w:rsidP="000C3E2A">
            <w:pPr>
              <w:rPr>
                <w:rFonts w:cstheme="minorHAnsi"/>
                <w:b/>
              </w:rPr>
            </w:pPr>
            <w:r w:rsidRPr="00FD066C">
              <w:rPr>
                <w:rFonts w:cstheme="minorHAnsi"/>
                <w:b/>
              </w:rPr>
              <w:t>Approved By</w:t>
            </w:r>
          </w:p>
        </w:tc>
        <w:tc>
          <w:tcPr>
            <w:tcW w:w="1133" w:type="dxa"/>
          </w:tcPr>
          <w:p w14:paraId="0D34E0B5" w14:textId="77777777" w:rsidR="000C3E2A" w:rsidRPr="00FD066C" w:rsidRDefault="000C3E2A" w:rsidP="000C3E2A">
            <w:pPr>
              <w:rPr>
                <w:rFonts w:cstheme="minorHAnsi"/>
                <w:b/>
              </w:rPr>
            </w:pPr>
            <w:r w:rsidRPr="00FD066C">
              <w:rPr>
                <w:rFonts w:cstheme="minorHAnsi"/>
                <w:b/>
              </w:rPr>
              <w:t>Revision Number</w:t>
            </w:r>
          </w:p>
        </w:tc>
      </w:tr>
      <w:tr w:rsidR="000C3E2A" w:rsidRPr="00FD066C" w14:paraId="7DAE59D9" w14:textId="77777777" w:rsidTr="000C3E2A">
        <w:tc>
          <w:tcPr>
            <w:tcW w:w="1242" w:type="dxa"/>
          </w:tcPr>
          <w:p w14:paraId="686A3F9F" w14:textId="7C0BF5DC" w:rsidR="000C3E2A" w:rsidRPr="00FD066C" w:rsidRDefault="000C3E2A" w:rsidP="000C3E2A">
            <w:pPr>
              <w:rPr>
                <w:rFonts w:cstheme="minorHAnsi"/>
              </w:rPr>
            </w:pPr>
            <w:r w:rsidRPr="00FD066C">
              <w:rPr>
                <w:rFonts w:cstheme="minorHAnsi"/>
              </w:rPr>
              <w:t>1</w:t>
            </w:r>
            <w:r w:rsidR="007F6D35" w:rsidRPr="00FD066C">
              <w:rPr>
                <w:rFonts w:cstheme="minorHAnsi"/>
              </w:rPr>
              <w:t>1</w:t>
            </w:r>
            <w:r w:rsidRPr="00FD066C">
              <w:rPr>
                <w:rFonts w:cstheme="minorHAnsi"/>
              </w:rPr>
              <w:t>/08/23</w:t>
            </w:r>
          </w:p>
        </w:tc>
        <w:tc>
          <w:tcPr>
            <w:tcW w:w="5954" w:type="dxa"/>
          </w:tcPr>
          <w:p w14:paraId="4F17B251" w14:textId="77777777" w:rsidR="000C3E2A" w:rsidRPr="00FD066C" w:rsidRDefault="000C3E2A" w:rsidP="000C3E2A">
            <w:pPr>
              <w:rPr>
                <w:rFonts w:cstheme="minorHAnsi"/>
              </w:rPr>
            </w:pPr>
            <w:r w:rsidRPr="00FD066C">
              <w:rPr>
                <w:rFonts w:cstheme="minorHAnsi"/>
              </w:rPr>
              <w:t>Initial Policy</w:t>
            </w:r>
          </w:p>
        </w:tc>
        <w:tc>
          <w:tcPr>
            <w:tcW w:w="1843" w:type="dxa"/>
          </w:tcPr>
          <w:p w14:paraId="5B20BB6B" w14:textId="77777777" w:rsidR="000C3E2A" w:rsidRPr="00FD066C" w:rsidRDefault="000C3E2A" w:rsidP="000C3E2A">
            <w:pPr>
              <w:rPr>
                <w:rFonts w:cstheme="minorHAnsi"/>
              </w:rPr>
            </w:pPr>
            <w:r w:rsidRPr="00FD066C">
              <w:rPr>
                <w:rFonts w:cstheme="minorHAnsi"/>
              </w:rPr>
              <w:t>K Watson</w:t>
            </w:r>
          </w:p>
        </w:tc>
        <w:tc>
          <w:tcPr>
            <w:tcW w:w="1133" w:type="dxa"/>
          </w:tcPr>
          <w:p w14:paraId="11C2EA97" w14:textId="77777777" w:rsidR="000C3E2A" w:rsidRPr="00FD066C" w:rsidRDefault="000C3E2A" w:rsidP="000C3E2A">
            <w:pPr>
              <w:rPr>
                <w:rFonts w:cstheme="minorHAnsi"/>
              </w:rPr>
            </w:pPr>
            <w:r w:rsidRPr="00FD066C">
              <w:rPr>
                <w:rFonts w:cstheme="minorHAnsi"/>
              </w:rPr>
              <w:t>01</w:t>
            </w:r>
          </w:p>
        </w:tc>
      </w:tr>
      <w:tr w:rsidR="000C3E2A" w:rsidRPr="00FD066C" w14:paraId="5000E680" w14:textId="77777777" w:rsidTr="000C3E2A">
        <w:tc>
          <w:tcPr>
            <w:tcW w:w="1242" w:type="dxa"/>
          </w:tcPr>
          <w:p w14:paraId="24B9E679" w14:textId="714688D1" w:rsidR="000C3E2A" w:rsidRPr="00FD066C" w:rsidRDefault="00EC4ECE" w:rsidP="000C3E2A">
            <w:pPr>
              <w:rPr>
                <w:rFonts w:cstheme="minorHAnsi"/>
              </w:rPr>
            </w:pPr>
            <w:r>
              <w:rPr>
                <w:rFonts w:cstheme="minorHAnsi"/>
              </w:rPr>
              <w:t>20/12/23</w:t>
            </w:r>
          </w:p>
        </w:tc>
        <w:tc>
          <w:tcPr>
            <w:tcW w:w="5954" w:type="dxa"/>
          </w:tcPr>
          <w:p w14:paraId="0ACB878D" w14:textId="141D7AF4" w:rsidR="000C3E2A" w:rsidRPr="00FD066C" w:rsidRDefault="00EC4ECE" w:rsidP="000C3E2A">
            <w:pPr>
              <w:rPr>
                <w:rFonts w:cstheme="minorHAnsi"/>
              </w:rPr>
            </w:pPr>
            <w:r>
              <w:rPr>
                <w:rFonts w:cstheme="minorHAnsi"/>
              </w:rPr>
              <w:t xml:space="preserve">Policy </w:t>
            </w:r>
            <w:r w:rsidR="007D0777">
              <w:rPr>
                <w:rFonts w:cstheme="minorHAnsi"/>
              </w:rPr>
              <w:t xml:space="preserve">update as requested by </w:t>
            </w:r>
            <w:r w:rsidR="003144F3">
              <w:rPr>
                <w:rFonts w:cstheme="minorHAnsi"/>
              </w:rPr>
              <w:t>DCC Inclusion Lead for DCC AP application</w:t>
            </w:r>
          </w:p>
        </w:tc>
        <w:tc>
          <w:tcPr>
            <w:tcW w:w="1843" w:type="dxa"/>
          </w:tcPr>
          <w:p w14:paraId="3D1BECA9" w14:textId="10C1DB0E" w:rsidR="000C3E2A" w:rsidRPr="00FD066C" w:rsidRDefault="003144F3" w:rsidP="000C3E2A">
            <w:pPr>
              <w:rPr>
                <w:rFonts w:cstheme="minorHAnsi"/>
              </w:rPr>
            </w:pPr>
            <w:r>
              <w:rPr>
                <w:rFonts w:cstheme="minorHAnsi"/>
              </w:rPr>
              <w:t>K Watson</w:t>
            </w:r>
          </w:p>
        </w:tc>
        <w:tc>
          <w:tcPr>
            <w:tcW w:w="1133" w:type="dxa"/>
          </w:tcPr>
          <w:p w14:paraId="7352F153" w14:textId="4E244FAE" w:rsidR="000C3E2A" w:rsidRPr="00FD066C" w:rsidRDefault="003144F3" w:rsidP="000C3E2A">
            <w:pPr>
              <w:rPr>
                <w:rFonts w:cstheme="minorHAnsi"/>
              </w:rPr>
            </w:pPr>
            <w:r>
              <w:rPr>
                <w:rFonts w:cstheme="minorHAnsi"/>
              </w:rPr>
              <w:t>02</w:t>
            </w:r>
          </w:p>
        </w:tc>
      </w:tr>
      <w:tr w:rsidR="000C3E2A" w:rsidRPr="00FD066C" w14:paraId="429B4E86" w14:textId="77777777" w:rsidTr="000C3E2A">
        <w:tc>
          <w:tcPr>
            <w:tcW w:w="1242" w:type="dxa"/>
          </w:tcPr>
          <w:p w14:paraId="4D97A553" w14:textId="422BE08F" w:rsidR="000C3E2A" w:rsidRPr="00FD066C" w:rsidRDefault="002B509B" w:rsidP="000C3E2A">
            <w:pPr>
              <w:rPr>
                <w:rFonts w:cstheme="minorHAnsi"/>
              </w:rPr>
            </w:pPr>
            <w:r>
              <w:rPr>
                <w:rFonts w:cstheme="minorHAnsi"/>
              </w:rPr>
              <w:t>29/08/24</w:t>
            </w:r>
          </w:p>
        </w:tc>
        <w:tc>
          <w:tcPr>
            <w:tcW w:w="5954" w:type="dxa"/>
          </w:tcPr>
          <w:p w14:paraId="4DAE3F69" w14:textId="6C24C87D" w:rsidR="000C3E2A" w:rsidRPr="00FD066C" w:rsidRDefault="002B509B" w:rsidP="000C3E2A">
            <w:pPr>
              <w:rPr>
                <w:rFonts w:cstheme="minorHAnsi"/>
              </w:rPr>
            </w:pPr>
            <w:r>
              <w:rPr>
                <w:rFonts w:cstheme="minorHAnsi"/>
              </w:rPr>
              <w:t>Policy Review</w:t>
            </w:r>
          </w:p>
        </w:tc>
        <w:tc>
          <w:tcPr>
            <w:tcW w:w="1843" w:type="dxa"/>
          </w:tcPr>
          <w:p w14:paraId="30C38C51" w14:textId="13563676" w:rsidR="000C3E2A" w:rsidRPr="00FD066C" w:rsidRDefault="002B509B" w:rsidP="000C3E2A">
            <w:pPr>
              <w:rPr>
                <w:rFonts w:cstheme="minorHAnsi"/>
              </w:rPr>
            </w:pPr>
            <w:r>
              <w:rPr>
                <w:rFonts w:cstheme="minorHAnsi"/>
              </w:rPr>
              <w:t>K Watson</w:t>
            </w:r>
          </w:p>
        </w:tc>
        <w:tc>
          <w:tcPr>
            <w:tcW w:w="1133" w:type="dxa"/>
          </w:tcPr>
          <w:p w14:paraId="58EACBDA" w14:textId="15078F9C" w:rsidR="000C3E2A" w:rsidRPr="00FD066C" w:rsidRDefault="002B509B" w:rsidP="000C3E2A">
            <w:pPr>
              <w:rPr>
                <w:rFonts w:cstheme="minorHAnsi"/>
              </w:rPr>
            </w:pPr>
            <w:r>
              <w:rPr>
                <w:rFonts w:cstheme="minorHAnsi"/>
              </w:rPr>
              <w:t>03</w:t>
            </w:r>
          </w:p>
        </w:tc>
      </w:tr>
      <w:tr w:rsidR="000C3E2A" w:rsidRPr="00FD066C" w14:paraId="2C1B2FB4" w14:textId="77777777" w:rsidTr="000C3E2A">
        <w:tc>
          <w:tcPr>
            <w:tcW w:w="1242" w:type="dxa"/>
          </w:tcPr>
          <w:p w14:paraId="5B204CD6" w14:textId="77777777" w:rsidR="000C3E2A" w:rsidRPr="00FD066C" w:rsidRDefault="000C3E2A" w:rsidP="000C3E2A">
            <w:pPr>
              <w:rPr>
                <w:rFonts w:cstheme="minorHAnsi"/>
              </w:rPr>
            </w:pPr>
          </w:p>
        </w:tc>
        <w:tc>
          <w:tcPr>
            <w:tcW w:w="5954" w:type="dxa"/>
          </w:tcPr>
          <w:p w14:paraId="013085A3" w14:textId="77777777" w:rsidR="000C3E2A" w:rsidRPr="00FD066C" w:rsidRDefault="000C3E2A" w:rsidP="000C3E2A">
            <w:pPr>
              <w:rPr>
                <w:rFonts w:cstheme="minorHAnsi"/>
              </w:rPr>
            </w:pPr>
          </w:p>
        </w:tc>
        <w:tc>
          <w:tcPr>
            <w:tcW w:w="1843" w:type="dxa"/>
          </w:tcPr>
          <w:p w14:paraId="3D83742A" w14:textId="77777777" w:rsidR="000C3E2A" w:rsidRPr="00FD066C" w:rsidRDefault="000C3E2A" w:rsidP="000C3E2A">
            <w:pPr>
              <w:rPr>
                <w:rFonts w:cstheme="minorHAnsi"/>
              </w:rPr>
            </w:pPr>
          </w:p>
        </w:tc>
        <w:tc>
          <w:tcPr>
            <w:tcW w:w="1133" w:type="dxa"/>
          </w:tcPr>
          <w:p w14:paraId="770C40B4" w14:textId="77777777" w:rsidR="000C3E2A" w:rsidRPr="00FD066C" w:rsidRDefault="000C3E2A" w:rsidP="000C3E2A">
            <w:pPr>
              <w:rPr>
                <w:rFonts w:cstheme="minorHAnsi"/>
              </w:rPr>
            </w:pPr>
          </w:p>
        </w:tc>
      </w:tr>
      <w:tr w:rsidR="000C3E2A" w:rsidRPr="00FD066C" w14:paraId="20123E72" w14:textId="77777777" w:rsidTr="000C3E2A">
        <w:tc>
          <w:tcPr>
            <w:tcW w:w="1242" w:type="dxa"/>
          </w:tcPr>
          <w:p w14:paraId="2A01DF0A" w14:textId="77777777" w:rsidR="000C3E2A" w:rsidRPr="00FD066C" w:rsidRDefault="000C3E2A" w:rsidP="000C3E2A">
            <w:pPr>
              <w:rPr>
                <w:rFonts w:cstheme="minorHAnsi"/>
              </w:rPr>
            </w:pPr>
          </w:p>
        </w:tc>
        <w:tc>
          <w:tcPr>
            <w:tcW w:w="5954" w:type="dxa"/>
          </w:tcPr>
          <w:p w14:paraId="24D64386" w14:textId="77777777" w:rsidR="000C3E2A" w:rsidRPr="00FD066C" w:rsidRDefault="000C3E2A" w:rsidP="000C3E2A">
            <w:pPr>
              <w:rPr>
                <w:rFonts w:cstheme="minorHAnsi"/>
              </w:rPr>
            </w:pPr>
          </w:p>
        </w:tc>
        <w:tc>
          <w:tcPr>
            <w:tcW w:w="1843" w:type="dxa"/>
          </w:tcPr>
          <w:p w14:paraId="4AE92AB2" w14:textId="77777777" w:rsidR="000C3E2A" w:rsidRPr="00FD066C" w:rsidRDefault="000C3E2A" w:rsidP="000C3E2A">
            <w:pPr>
              <w:rPr>
                <w:rFonts w:cstheme="minorHAnsi"/>
              </w:rPr>
            </w:pPr>
          </w:p>
        </w:tc>
        <w:tc>
          <w:tcPr>
            <w:tcW w:w="1133" w:type="dxa"/>
          </w:tcPr>
          <w:p w14:paraId="6E17BF49" w14:textId="77777777" w:rsidR="000C3E2A" w:rsidRPr="00FD066C" w:rsidRDefault="000C3E2A" w:rsidP="000C3E2A">
            <w:pPr>
              <w:rPr>
                <w:rFonts w:cstheme="minorHAnsi"/>
              </w:rPr>
            </w:pPr>
          </w:p>
        </w:tc>
      </w:tr>
      <w:tr w:rsidR="000C3E2A" w:rsidRPr="00FD066C" w14:paraId="7648C4FE" w14:textId="77777777" w:rsidTr="000C3E2A">
        <w:tc>
          <w:tcPr>
            <w:tcW w:w="1242" w:type="dxa"/>
          </w:tcPr>
          <w:p w14:paraId="76F256AE" w14:textId="77777777" w:rsidR="000C3E2A" w:rsidRPr="00FD066C" w:rsidRDefault="000C3E2A" w:rsidP="000C3E2A">
            <w:pPr>
              <w:rPr>
                <w:rFonts w:cstheme="minorHAnsi"/>
              </w:rPr>
            </w:pPr>
          </w:p>
        </w:tc>
        <w:tc>
          <w:tcPr>
            <w:tcW w:w="5954" w:type="dxa"/>
          </w:tcPr>
          <w:p w14:paraId="49F4450D" w14:textId="77777777" w:rsidR="000C3E2A" w:rsidRPr="00FD066C" w:rsidRDefault="000C3E2A" w:rsidP="000C3E2A">
            <w:pPr>
              <w:rPr>
                <w:rFonts w:cstheme="minorHAnsi"/>
              </w:rPr>
            </w:pPr>
          </w:p>
        </w:tc>
        <w:tc>
          <w:tcPr>
            <w:tcW w:w="1843" w:type="dxa"/>
          </w:tcPr>
          <w:p w14:paraId="3B09D6AB" w14:textId="77777777" w:rsidR="000C3E2A" w:rsidRPr="00FD066C" w:rsidRDefault="000C3E2A" w:rsidP="000C3E2A">
            <w:pPr>
              <w:rPr>
                <w:rFonts w:cstheme="minorHAnsi"/>
              </w:rPr>
            </w:pPr>
          </w:p>
        </w:tc>
        <w:tc>
          <w:tcPr>
            <w:tcW w:w="1133" w:type="dxa"/>
          </w:tcPr>
          <w:p w14:paraId="037D3AE3" w14:textId="77777777" w:rsidR="000C3E2A" w:rsidRPr="00FD066C" w:rsidRDefault="000C3E2A" w:rsidP="000C3E2A">
            <w:pPr>
              <w:rPr>
                <w:rFonts w:cstheme="minorHAnsi"/>
              </w:rPr>
            </w:pPr>
          </w:p>
        </w:tc>
      </w:tr>
      <w:tr w:rsidR="000C3E2A" w:rsidRPr="00FD066C" w14:paraId="1B7CA54C" w14:textId="77777777" w:rsidTr="000C3E2A">
        <w:tc>
          <w:tcPr>
            <w:tcW w:w="1242" w:type="dxa"/>
          </w:tcPr>
          <w:p w14:paraId="60BA3CC2" w14:textId="77777777" w:rsidR="000C3E2A" w:rsidRPr="00FD066C" w:rsidRDefault="000C3E2A" w:rsidP="000C3E2A">
            <w:pPr>
              <w:rPr>
                <w:rFonts w:cstheme="minorHAnsi"/>
              </w:rPr>
            </w:pPr>
          </w:p>
        </w:tc>
        <w:tc>
          <w:tcPr>
            <w:tcW w:w="5954" w:type="dxa"/>
          </w:tcPr>
          <w:p w14:paraId="63B9BB50" w14:textId="77777777" w:rsidR="000C3E2A" w:rsidRPr="00FD066C" w:rsidRDefault="000C3E2A" w:rsidP="000C3E2A">
            <w:pPr>
              <w:rPr>
                <w:rFonts w:cstheme="minorHAnsi"/>
              </w:rPr>
            </w:pPr>
          </w:p>
        </w:tc>
        <w:tc>
          <w:tcPr>
            <w:tcW w:w="1843" w:type="dxa"/>
          </w:tcPr>
          <w:p w14:paraId="6753C7EC" w14:textId="77777777" w:rsidR="000C3E2A" w:rsidRPr="00FD066C" w:rsidRDefault="000C3E2A" w:rsidP="000C3E2A">
            <w:pPr>
              <w:rPr>
                <w:rFonts w:cstheme="minorHAnsi"/>
              </w:rPr>
            </w:pPr>
          </w:p>
        </w:tc>
        <w:tc>
          <w:tcPr>
            <w:tcW w:w="1133" w:type="dxa"/>
          </w:tcPr>
          <w:p w14:paraId="14299D1A" w14:textId="77777777" w:rsidR="000C3E2A" w:rsidRPr="00FD066C" w:rsidRDefault="000C3E2A" w:rsidP="000C3E2A">
            <w:pPr>
              <w:rPr>
                <w:rFonts w:cstheme="minorHAnsi"/>
              </w:rPr>
            </w:pPr>
          </w:p>
        </w:tc>
      </w:tr>
      <w:tr w:rsidR="000C3E2A" w:rsidRPr="00FD066C" w14:paraId="0B08EF48" w14:textId="77777777" w:rsidTr="000C3E2A">
        <w:tc>
          <w:tcPr>
            <w:tcW w:w="1242" w:type="dxa"/>
          </w:tcPr>
          <w:p w14:paraId="17DE0697" w14:textId="77777777" w:rsidR="000C3E2A" w:rsidRPr="00FD066C" w:rsidRDefault="000C3E2A" w:rsidP="000C3E2A">
            <w:pPr>
              <w:rPr>
                <w:rFonts w:cstheme="minorHAnsi"/>
              </w:rPr>
            </w:pPr>
          </w:p>
        </w:tc>
        <w:tc>
          <w:tcPr>
            <w:tcW w:w="5954" w:type="dxa"/>
          </w:tcPr>
          <w:p w14:paraId="3BAF8840" w14:textId="77777777" w:rsidR="000C3E2A" w:rsidRPr="00FD066C" w:rsidRDefault="000C3E2A" w:rsidP="000C3E2A">
            <w:pPr>
              <w:rPr>
                <w:rFonts w:cstheme="minorHAnsi"/>
              </w:rPr>
            </w:pPr>
          </w:p>
        </w:tc>
        <w:tc>
          <w:tcPr>
            <w:tcW w:w="1843" w:type="dxa"/>
          </w:tcPr>
          <w:p w14:paraId="580ADE55" w14:textId="77777777" w:rsidR="000C3E2A" w:rsidRPr="00FD066C" w:rsidRDefault="000C3E2A" w:rsidP="000C3E2A">
            <w:pPr>
              <w:rPr>
                <w:rFonts w:cstheme="minorHAnsi"/>
              </w:rPr>
            </w:pPr>
          </w:p>
        </w:tc>
        <w:tc>
          <w:tcPr>
            <w:tcW w:w="1133" w:type="dxa"/>
          </w:tcPr>
          <w:p w14:paraId="34004FFA" w14:textId="77777777" w:rsidR="000C3E2A" w:rsidRPr="00FD066C" w:rsidRDefault="000C3E2A" w:rsidP="000C3E2A">
            <w:pPr>
              <w:rPr>
                <w:rFonts w:cstheme="minorHAnsi"/>
              </w:rPr>
            </w:pPr>
          </w:p>
        </w:tc>
      </w:tr>
      <w:tr w:rsidR="000C3E2A" w:rsidRPr="00FD066C" w14:paraId="1AE1C7CE" w14:textId="77777777" w:rsidTr="000C3E2A">
        <w:tc>
          <w:tcPr>
            <w:tcW w:w="1242" w:type="dxa"/>
          </w:tcPr>
          <w:p w14:paraId="70D05F3E" w14:textId="77777777" w:rsidR="000C3E2A" w:rsidRPr="00FD066C" w:rsidRDefault="000C3E2A" w:rsidP="000C3E2A">
            <w:pPr>
              <w:rPr>
                <w:rFonts w:cstheme="minorHAnsi"/>
              </w:rPr>
            </w:pPr>
          </w:p>
        </w:tc>
        <w:tc>
          <w:tcPr>
            <w:tcW w:w="5954" w:type="dxa"/>
          </w:tcPr>
          <w:p w14:paraId="04E2AF4F" w14:textId="77777777" w:rsidR="000C3E2A" w:rsidRPr="00FD066C" w:rsidRDefault="000C3E2A" w:rsidP="000C3E2A">
            <w:pPr>
              <w:rPr>
                <w:rFonts w:cstheme="minorHAnsi"/>
              </w:rPr>
            </w:pPr>
          </w:p>
        </w:tc>
        <w:tc>
          <w:tcPr>
            <w:tcW w:w="1843" w:type="dxa"/>
          </w:tcPr>
          <w:p w14:paraId="076C1ED4" w14:textId="77777777" w:rsidR="000C3E2A" w:rsidRPr="00FD066C" w:rsidRDefault="000C3E2A" w:rsidP="000C3E2A">
            <w:pPr>
              <w:rPr>
                <w:rFonts w:cstheme="minorHAnsi"/>
              </w:rPr>
            </w:pPr>
          </w:p>
        </w:tc>
        <w:tc>
          <w:tcPr>
            <w:tcW w:w="1133" w:type="dxa"/>
          </w:tcPr>
          <w:p w14:paraId="59E7562C" w14:textId="77777777" w:rsidR="000C3E2A" w:rsidRPr="00FD066C" w:rsidRDefault="000C3E2A" w:rsidP="000C3E2A">
            <w:pPr>
              <w:rPr>
                <w:rFonts w:cstheme="minorHAnsi"/>
              </w:rPr>
            </w:pPr>
          </w:p>
        </w:tc>
      </w:tr>
    </w:tbl>
    <w:p w14:paraId="7144560A" w14:textId="77777777" w:rsidR="0029415A" w:rsidRPr="00FD066C" w:rsidRDefault="0029415A" w:rsidP="00FE21E3">
      <w:pPr>
        <w:rPr>
          <w:rFonts w:cstheme="minorHAnsi"/>
        </w:rPr>
      </w:pPr>
    </w:p>
    <w:p w14:paraId="3547BD8E" w14:textId="77777777" w:rsidR="000C3E2A" w:rsidRPr="00FD066C" w:rsidRDefault="000C3E2A" w:rsidP="00FE21E3">
      <w:pPr>
        <w:rPr>
          <w:rFonts w:cstheme="minorHAnsi"/>
          <w:b/>
          <w:bCs/>
        </w:rPr>
      </w:pPr>
    </w:p>
    <w:p w14:paraId="553FF50A" w14:textId="77777777" w:rsidR="000C3E2A" w:rsidRPr="00FD066C" w:rsidRDefault="000C3E2A" w:rsidP="00FE21E3">
      <w:pPr>
        <w:rPr>
          <w:rFonts w:cstheme="minorHAnsi"/>
          <w:b/>
          <w:bCs/>
        </w:rPr>
      </w:pPr>
    </w:p>
    <w:p w14:paraId="0147D548" w14:textId="77777777" w:rsidR="000C3E2A" w:rsidRPr="00FD066C" w:rsidRDefault="000C3E2A" w:rsidP="00FE21E3">
      <w:pPr>
        <w:rPr>
          <w:rFonts w:cstheme="minorHAnsi"/>
          <w:b/>
          <w:bCs/>
        </w:rPr>
      </w:pPr>
    </w:p>
    <w:p w14:paraId="63CE9F6E" w14:textId="77777777" w:rsidR="000C3E2A" w:rsidRPr="00FD066C" w:rsidRDefault="000C3E2A" w:rsidP="00FE21E3">
      <w:pPr>
        <w:rPr>
          <w:rFonts w:cstheme="minorHAnsi"/>
          <w:b/>
          <w:bCs/>
        </w:rPr>
      </w:pPr>
    </w:p>
    <w:p w14:paraId="5948BF8F" w14:textId="77777777" w:rsidR="000C3E2A" w:rsidRPr="00FD066C" w:rsidRDefault="000C3E2A" w:rsidP="00FE21E3">
      <w:pPr>
        <w:rPr>
          <w:rFonts w:cstheme="minorHAnsi"/>
          <w:b/>
          <w:bCs/>
        </w:rPr>
      </w:pPr>
    </w:p>
    <w:p w14:paraId="29FF68B3" w14:textId="77777777" w:rsidR="00783ECE" w:rsidRPr="00FD066C" w:rsidRDefault="00783ECE" w:rsidP="00FE21E3">
      <w:pPr>
        <w:rPr>
          <w:rFonts w:cstheme="minorHAnsi"/>
          <w:b/>
          <w:bCs/>
        </w:rPr>
      </w:pPr>
    </w:p>
    <w:p w14:paraId="7C95C425" w14:textId="77777777" w:rsidR="00783ECE" w:rsidRPr="00FD066C" w:rsidRDefault="00783ECE" w:rsidP="00FE21E3">
      <w:pPr>
        <w:rPr>
          <w:rFonts w:cstheme="minorHAnsi"/>
          <w:b/>
          <w:bCs/>
        </w:rPr>
      </w:pPr>
    </w:p>
    <w:p w14:paraId="51AF249A" w14:textId="77777777" w:rsidR="00783ECE" w:rsidRPr="00FD066C" w:rsidRDefault="00783ECE" w:rsidP="00FE21E3">
      <w:pPr>
        <w:rPr>
          <w:rFonts w:cstheme="minorHAnsi"/>
          <w:b/>
          <w:bCs/>
        </w:rPr>
      </w:pPr>
    </w:p>
    <w:p w14:paraId="1749BB88" w14:textId="77777777" w:rsidR="00783ECE" w:rsidRPr="00FD066C" w:rsidRDefault="00783ECE" w:rsidP="00FE21E3">
      <w:pPr>
        <w:rPr>
          <w:rFonts w:cstheme="minorHAnsi"/>
          <w:b/>
          <w:bCs/>
        </w:rPr>
      </w:pPr>
    </w:p>
    <w:p w14:paraId="1EE3C6D5" w14:textId="77777777" w:rsidR="00783ECE" w:rsidRPr="00FD066C" w:rsidRDefault="00783ECE" w:rsidP="00FE21E3">
      <w:pPr>
        <w:rPr>
          <w:rFonts w:cstheme="minorHAnsi"/>
          <w:b/>
          <w:bCs/>
        </w:rPr>
      </w:pPr>
    </w:p>
    <w:p w14:paraId="4079581A" w14:textId="77777777" w:rsidR="00783ECE" w:rsidRPr="00FD066C" w:rsidRDefault="00783ECE" w:rsidP="00FE21E3">
      <w:pPr>
        <w:rPr>
          <w:rFonts w:cstheme="minorHAnsi"/>
          <w:b/>
          <w:bCs/>
        </w:rPr>
      </w:pPr>
    </w:p>
    <w:p w14:paraId="482D0F8E" w14:textId="77777777" w:rsidR="00783ECE" w:rsidRPr="00FD066C" w:rsidRDefault="00783ECE" w:rsidP="00FE21E3">
      <w:pPr>
        <w:rPr>
          <w:rFonts w:cstheme="minorHAnsi"/>
          <w:b/>
          <w:bCs/>
        </w:rPr>
      </w:pPr>
    </w:p>
    <w:p w14:paraId="1FCFEAC1" w14:textId="58940965" w:rsidR="0029415A" w:rsidRPr="00FD066C" w:rsidRDefault="0029415A" w:rsidP="00FE21E3">
      <w:pPr>
        <w:rPr>
          <w:rFonts w:cstheme="minorHAnsi"/>
          <w:b/>
          <w:bCs/>
        </w:rPr>
      </w:pPr>
      <w:r w:rsidRPr="00FD066C">
        <w:rPr>
          <w:rFonts w:cstheme="minorHAnsi"/>
          <w:b/>
          <w:bCs/>
        </w:rPr>
        <w:lastRenderedPageBreak/>
        <w:t>Appendix 1</w:t>
      </w:r>
    </w:p>
    <w:p w14:paraId="7A27BEFB" w14:textId="28A4C61F" w:rsidR="0029415A" w:rsidRPr="00FD066C" w:rsidRDefault="0019504D" w:rsidP="00FE21E3">
      <w:pPr>
        <w:rPr>
          <w:rFonts w:cstheme="minorHAnsi"/>
          <w:b/>
          <w:bCs/>
        </w:rPr>
      </w:pPr>
      <w:r>
        <w:rPr>
          <w:rFonts w:cstheme="minorHAnsi"/>
          <w:b/>
          <w:bCs/>
        </w:rPr>
        <w:t xml:space="preserve">SKAPE </w:t>
      </w:r>
      <w:r w:rsidR="0029415A" w:rsidRPr="00FD066C">
        <w:rPr>
          <w:rFonts w:cstheme="minorHAnsi"/>
          <w:b/>
          <w:bCs/>
        </w:rPr>
        <w:t xml:space="preserve">Behaviour Record for Use of </w:t>
      </w:r>
      <w:r w:rsidR="004F1137">
        <w:rPr>
          <w:rFonts w:cstheme="minorHAnsi"/>
          <w:b/>
          <w:bCs/>
        </w:rPr>
        <w:t>Positive Handling</w:t>
      </w:r>
      <w:r w:rsidR="0029415A" w:rsidRPr="00FD066C">
        <w:rPr>
          <w:rFonts w:cstheme="minorHAnsi"/>
          <w:b/>
          <w:bCs/>
        </w:rPr>
        <w:t xml:space="preserve"> </w:t>
      </w:r>
    </w:p>
    <w:tbl>
      <w:tblPr>
        <w:tblStyle w:val="TableGrid"/>
        <w:tblW w:w="0" w:type="auto"/>
        <w:tblLook w:val="04A0" w:firstRow="1" w:lastRow="0" w:firstColumn="1" w:lastColumn="0" w:noHBand="0" w:noVBand="1"/>
      </w:tblPr>
      <w:tblGrid>
        <w:gridCol w:w="902"/>
        <w:gridCol w:w="1183"/>
        <w:gridCol w:w="1183"/>
        <w:gridCol w:w="1628"/>
        <w:gridCol w:w="1605"/>
        <w:gridCol w:w="1369"/>
        <w:gridCol w:w="1146"/>
      </w:tblGrid>
      <w:tr w:rsidR="0029415A" w:rsidRPr="00FD066C" w14:paraId="143C600B" w14:textId="3A66F13B" w:rsidTr="0029415A">
        <w:tc>
          <w:tcPr>
            <w:tcW w:w="1010" w:type="dxa"/>
          </w:tcPr>
          <w:p w14:paraId="1CD357E2" w14:textId="36AB27CD" w:rsidR="0029415A" w:rsidRPr="00FD066C" w:rsidRDefault="0029415A" w:rsidP="00FE21E3">
            <w:pPr>
              <w:rPr>
                <w:rFonts w:cstheme="minorHAnsi"/>
                <w:b/>
                <w:bCs/>
              </w:rPr>
            </w:pPr>
            <w:r w:rsidRPr="00FD066C">
              <w:rPr>
                <w:rFonts w:cstheme="minorHAnsi"/>
                <w:b/>
                <w:bCs/>
              </w:rPr>
              <w:t>Date:</w:t>
            </w:r>
          </w:p>
        </w:tc>
        <w:tc>
          <w:tcPr>
            <w:tcW w:w="1256" w:type="dxa"/>
          </w:tcPr>
          <w:p w14:paraId="72DF4D78" w14:textId="7B96BA7B" w:rsidR="0029415A" w:rsidRPr="00FD066C" w:rsidRDefault="0029415A" w:rsidP="00FE21E3">
            <w:pPr>
              <w:rPr>
                <w:rFonts w:cstheme="minorHAnsi"/>
                <w:b/>
                <w:bCs/>
              </w:rPr>
            </w:pPr>
            <w:r w:rsidRPr="00FD066C">
              <w:rPr>
                <w:rFonts w:cstheme="minorHAnsi"/>
                <w:b/>
                <w:bCs/>
              </w:rPr>
              <w:t>Member of staff involved:</w:t>
            </w:r>
          </w:p>
        </w:tc>
        <w:tc>
          <w:tcPr>
            <w:tcW w:w="1256" w:type="dxa"/>
          </w:tcPr>
          <w:p w14:paraId="7BABE2A9" w14:textId="10C5B239" w:rsidR="0029415A" w:rsidRPr="00FD066C" w:rsidRDefault="0029415A" w:rsidP="00FE21E3">
            <w:pPr>
              <w:rPr>
                <w:rFonts w:cstheme="minorHAnsi"/>
                <w:b/>
                <w:bCs/>
              </w:rPr>
            </w:pPr>
            <w:r w:rsidRPr="00FD066C">
              <w:rPr>
                <w:rFonts w:cstheme="minorHAnsi"/>
                <w:b/>
                <w:bCs/>
              </w:rPr>
              <w:t>Student involved:</w:t>
            </w:r>
          </w:p>
        </w:tc>
        <w:tc>
          <w:tcPr>
            <w:tcW w:w="1671" w:type="dxa"/>
          </w:tcPr>
          <w:p w14:paraId="0C236728" w14:textId="37DAB4FF" w:rsidR="0029415A" w:rsidRPr="00FD066C" w:rsidRDefault="0029415A" w:rsidP="00FE21E3">
            <w:pPr>
              <w:rPr>
                <w:rFonts w:cstheme="minorHAnsi"/>
                <w:b/>
                <w:bCs/>
              </w:rPr>
            </w:pPr>
            <w:r w:rsidRPr="00FD066C">
              <w:rPr>
                <w:rFonts w:cstheme="minorHAnsi"/>
                <w:b/>
                <w:bCs/>
              </w:rPr>
              <w:t>Nature of force/restraint used:</w:t>
            </w:r>
          </w:p>
        </w:tc>
        <w:tc>
          <w:tcPr>
            <w:tcW w:w="1647" w:type="dxa"/>
          </w:tcPr>
          <w:p w14:paraId="45392373" w14:textId="4F750294" w:rsidR="0029415A" w:rsidRPr="00FD066C" w:rsidRDefault="0029415A" w:rsidP="00FE21E3">
            <w:pPr>
              <w:rPr>
                <w:rFonts w:cstheme="minorHAnsi"/>
                <w:b/>
                <w:bCs/>
              </w:rPr>
            </w:pPr>
            <w:r w:rsidRPr="00FD066C">
              <w:rPr>
                <w:rFonts w:cstheme="minorHAnsi"/>
                <w:b/>
                <w:bCs/>
              </w:rPr>
              <w:t>Circumstances of the use of reasonable force / restraint</w:t>
            </w:r>
          </w:p>
        </w:tc>
        <w:tc>
          <w:tcPr>
            <w:tcW w:w="1419" w:type="dxa"/>
          </w:tcPr>
          <w:p w14:paraId="3C11DC47" w14:textId="70B23997" w:rsidR="0029415A" w:rsidRPr="00FD066C" w:rsidRDefault="0029415A" w:rsidP="00FE21E3">
            <w:pPr>
              <w:rPr>
                <w:rFonts w:cstheme="minorHAnsi"/>
                <w:b/>
                <w:bCs/>
              </w:rPr>
            </w:pPr>
            <w:r w:rsidRPr="00FD066C">
              <w:rPr>
                <w:rFonts w:cstheme="minorHAnsi"/>
                <w:b/>
                <w:bCs/>
              </w:rPr>
              <w:t>Resolutions sought:</w:t>
            </w:r>
          </w:p>
        </w:tc>
        <w:tc>
          <w:tcPr>
            <w:tcW w:w="757" w:type="dxa"/>
          </w:tcPr>
          <w:p w14:paraId="1A412D7E" w14:textId="0CB195FE" w:rsidR="0029415A" w:rsidRPr="00FD066C" w:rsidRDefault="0029415A" w:rsidP="00FE21E3">
            <w:pPr>
              <w:rPr>
                <w:rFonts w:cstheme="minorHAnsi"/>
                <w:b/>
                <w:bCs/>
              </w:rPr>
            </w:pPr>
            <w:r w:rsidRPr="00FD066C">
              <w:rPr>
                <w:rFonts w:cstheme="minorHAnsi"/>
                <w:b/>
                <w:bCs/>
              </w:rPr>
              <w:t>Impact of resolution and update including dates</w:t>
            </w:r>
          </w:p>
        </w:tc>
      </w:tr>
      <w:tr w:rsidR="0029415A" w:rsidRPr="00FD066C" w14:paraId="694836E8" w14:textId="517AF212" w:rsidTr="0029415A">
        <w:tc>
          <w:tcPr>
            <w:tcW w:w="1010" w:type="dxa"/>
          </w:tcPr>
          <w:p w14:paraId="42C4CDE1" w14:textId="77777777" w:rsidR="0029415A" w:rsidRPr="00FD066C" w:rsidRDefault="0029415A" w:rsidP="00FE21E3">
            <w:pPr>
              <w:rPr>
                <w:rFonts w:cstheme="minorHAnsi"/>
                <w:b/>
                <w:bCs/>
              </w:rPr>
            </w:pPr>
          </w:p>
          <w:p w14:paraId="0F9CBF80" w14:textId="77777777" w:rsidR="0029415A" w:rsidRPr="00FD066C" w:rsidRDefault="0029415A" w:rsidP="00FE21E3">
            <w:pPr>
              <w:rPr>
                <w:rFonts w:cstheme="minorHAnsi"/>
                <w:b/>
                <w:bCs/>
              </w:rPr>
            </w:pPr>
          </w:p>
          <w:p w14:paraId="2F6CC389" w14:textId="77777777" w:rsidR="0029415A" w:rsidRPr="00FD066C" w:rsidRDefault="0029415A" w:rsidP="00FE21E3">
            <w:pPr>
              <w:rPr>
                <w:rFonts w:cstheme="minorHAnsi"/>
                <w:b/>
                <w:bCs/>
              </w:rPr>
            </w:pPr>
          </w:p>
          <w:p w14:paraId="6BBF5B9D" w14:textId="77777777" w:rsidR="0029415A" w:rsidRPr="00FD066C" w:rsidRDefault="0029415A" w:rsidP="00FE21E3">
            <w:pPr>
              <w:rPr>
                <w:rFonts w:cstheme="minorHAnsi"/>
                <w:b/>
                <w:bCs/>
              </w:rPr>
            </w:pPr>
          </w:p>
          <w:p w14:paraId="2759B957" w14:textId="77777777" w:rsidR="0029415A" w:rsidRPr="00FD066C" w:rsidRDefault="0029415A" w:rsidP="00FE21E3">
            <w:pPr>
              <w:rPr>
                <w:rFonts w:cstheme="minorHAnsi"/>
                <w:b/>
                <w:bCs/>
              </w:rPr>
            </w:pPr>
          </w:p>
          <w:p w14:paraId="736A142A" w14:textId="77777777" w:rsidR="0029415A" w:rsidRPr="00FD066C" w:rsidRDefault="0029415A" w:rsidP="00FE21E3">
            <w:pPr>
              <w:rPr>
                <w:rFonts w:cstheme="minorHAnsi"/>
                <w:b/>
                <w:bCs/>
              </w:rPr>
            </w:pPr>
          </w:p>
          <w:p w14:paraId="266DB4ED" w14:textId="77777777" w:rsidR="0029415A" w:rsidRPr="00FD066C" w:rsidRDefault="0029415A" w:rsidP="00FE21E3">
            <w:pPr>
              <w:rPr>
                <w:rFonts w:cstheme="minorHAnsi"/>
                <w:b/>
                <w:bCs/>
              </w:rPr>
            </w:pPr>
          </w:p>
          <w:p w14:paraId="6B3D4E13" w14:textId="77777777" w:rsidR="0029415A" w:rsidRPr="00FD066C" w:rsidRDefault="0029415A" w:rsidP="00FE21E3">
            <w:pPr>
              <w:rPr>
                <w:rFonts w:cstheme="minorHAnsi"/>
                <w:b/>
                <w:bCs/>
              </w:rPr>
            </w:pPr>
          </w:p>
        </w:tc>
        <w:tc>
          <w:tcPr>
            <w:tcW w:w="1256" w:type="dxa"/>
          </w:tcPr>
          <w:p w14:paraId="29E92511" w14:textId="77777777" w:rsidR="0029415A" w:rsidRPr="00FD066C" w:rsidRDefault="0029415A" w:rsidP="00FE21E3">
            <w:pPr>
              <w:rPr>
                <w:rFonts w:cstheme="minorHAnsi"/>
                <w:b/>
                <w:bCs/>
              </w:rPr>
            </w:pPr>
          </w:p>
        </w:tc>
        <w:tc>
          <w:tcPr>
            <w:tcW w:w="1256" w:type="dxa"/>
          </w:tcPr>
          <w:p w14:paraId="703FC1E2" w14:textId="77777777" w:rsidR="0029415A" w:rsidRPr="00FD066C" w:rsidRDefault="0029415A" w:rsidP="00FE21E3">
            <w:pPr>
              <w:rPr>
                <w:rFonts w:cstheme="minorHAnsi"/>
                <w:b/>
                <w:bCs/>
              </w:rPr>
            </w:pPr>
          </w:p>
        </w:tc>
        <w:tc>
          <w:tcPr>
            <w:tcW w:w="1671" w:type="dxa"/>
          </w:tcPr>
          <w:p w14:paraId="58FDEA98" w14:textId="77777777" w:rsidR="0029415A" w:rsidRPr="00FD066C" w:rsidRDefault="0029415A" w:rsidP="00FE21E3">
            <w:pPr>
              <w:rPr>
                <w:rFonts w:cstheme="minorHAnsi"/>
                <w:b/>
                <w:bCs/>
              </w:rPr>
            </w:pPr>
          </w:p>
        </w:tc>
        <w:tc>
          <w:tcPr>
            <w:tcW w:w="1647" w:type="dxa"/>
          </w:tcPr>
          <w:p w14:paraId="201DADDA" w14:textId="77777777" w:rsidR="0029415A" w:rsidRPr="00FD066C" w:rsidRDefault="0029415A" w:rsidP="00FE21E3">
            <w:pPr>
              <w:rPr>
                <w:rFonts w:cstheme="minorHAnsi"/>
                <w:b/>
                <w:bCs/>
              </w:rPr>
            </w:pPr>
          </w:p>
        </w:tc>
        <w:tc>
          <w:tcPr>
            <w:tcW w:w="1419" w:type="dxa"/>
          </w:tcPr>
          <w:p w14:paraId="2DA33580" w14:textId="77777777" w:rsidR="0029415A" w:rsidRPr="00FD066C" w:rsidRDefault="0029415A" w:rsidP="00FE21E3">
            <w:pPr>
              <w:rPr>
                <w:rFonts w:cstheme="minorHAnsi"/>
                <w:b/>
                <w:bCs/>
              </w:rPr>
            </w:pPr>
          </w:p>
        </w:tc>
        <w:tc>
          <w:tcPr>
            <w:tcW w:w="757" w:type="dxa"/>
          </w:tcPr>
          <w:p w14:paraId="74A57853" w14:textId="77777777" w:rsidR="0029415A" w:rsidRPr="00FD066C" w:rsidRDefault="0029415A" w:rsidP="00FE21E3">
            <w:pPr>
              <w:rPr>
                <w:rFonts w:cstheme="minorHAnsi"/>
                <w:b/>
                <w:bCs/>
              </w:rPr>
            </w:pPr>
          </w:p>
        </w:tc>
      </w:tr>
      <w:tr w:rsidR="0029415A" w:rsidRPr="00FD066C" w14:paraId="44EFDF76" w14:textId="0B05F58D" w:rsidTr="0029415A">
        <w:tc>
          <w:tcPr>
            <w:tcW w:w="1010" w:type="dxa"/>
          </w:tcPr>
          <w:p w14:paraId="5879252B" w14:textId="77777777" w:rsidR="0029415A" w:rsidRPr="00FD066C" w:rsidRDefault="0029415A" w:rsidP="00FE21E3">
            <w:pPr>
              <w:rPr>
                <w:rFonts w:cstheme="minorHAnsi"/>
                <w:b/>
                <w:bCs/>
              </w:rPr>
            </w:pPr>
          </w:p>
          <w:p w14:paraId="53E507AE" w14:textId="77777777" w:rsidR="0029415A" w:rsidRPr="00FD066C" w:rsidRDefault="0029415A" w:rsidP="00FE21E3">
            <w:pPr>
              <w:rPr>
                <w:rFonts w:cstheme="minorHAnsi"/>
                <w:b/>
                <w:bCs/>
              </w:rPr>
            </w:pPr>
          </w:p>
          <w:p w14:paraId="6F8363B1" w14:textId="77777777" w:rsidR="0029415A" w:rsidRPr="00FD066C" w:rsidRDefault="0029415A" w:rsidP="00FE21E3">
            <w:pPr>
              <w:rPr>
                <w:rFonts w:cstheme="minorHAnsi"/>
                <w:b/>
                <w:bCs/>
              </w:rPr>
            </w:pPr>
          </w:p>
          <w:p w14:paraId="3E949295" w14:textId="77777777" w:rsidR="0029415A" w:rsidRPr="00FD066C" w:rsidRDefault="0029415A" w:rsidP="00FE21E3">
            <w:pPr>
              <w:rPr>
                <w:rFonts w:cstheme="minorHAnsi"/>
                <w:b/>
                <w:bCs/>
              </w:rPr>
            </w:pPr>
          </w:p>
          <w:p w14:paraId="70AA902B" w14:textId="77777777" w:rsidR="0029415A" w:rsidRPr="00FD066C" w:rsidRDefault="0029415A" w:rsidP="00FE21E3">
            <w:pPr>
              <w:rPr>
                <w:rFonts w:cstheme="minorHAnsi"/>
                <w:b/>
                <w:bCs/>
              </w:rPr>
            </w:pPr>
          </w:p>
          <w:p w14:paraId="236C0DC9" w14:textId="77777777" w:rsidR="0029415A" w:rsidRPr="00FD066C" w:rsidRDefault="0029415A" w:rsidP="00FE21E3">
            <w:pPr>
              <w:rPr>
                <w:rFonts w:cstheme="minorHAnsi"/>
                <w:b/>
                <w:bCs/>
              </w:rPr>
            </w:pPr>
          </w:p>
          <w:p w14:paraId="22C139D4" w14:textId="77777777" w:rsidR="0029415A" w:rsidRPr="00FD066C" w:rsidRDefault="0029415A" w:rsidP="00FE21E3">
            <w:pPr>
              <w:rPr>
                <w:rFonts w:cstheme="minorHAnsi"/>
                <w:b/>
                <w:bCs/>
              </w:rPr>
            </w:pPr>
          </w:p>
          <w:p w14:paraId="126F4018" w14:textId="77777777" w:rsidR="0029415A" w:rsidRPr="00FD066C" w:rsidRDefault="0029415A" w:rsidP="00FE21E3">
            <w:pPr>
              <w:rPr>
                <w:rFonts w:cstheme="minorHAnsi"/>
                <w:b/>
                <w:bCs/>
              </w:rPr>
            </w:pPr>
          </w:p>
        </w:tc>
        <w:tc>
          <w:tcPr>
            <w:tcW w:w="1256" w:type="dxa"/>
          </w:tcPr>
          <w:p w14:paraId="50FA9C14" w14:textId="77777777" w:rsidR="0029415A" w:rsidRPr="00FD066C" w:rsidRDefault="0029415A" w:rsidP="00FE21E3">
            <w:pPr>
              <w:rPr>
                <w:rFonts w:cstheme="minorHAnsi"/>
                <w:b/>
                <w:bCs/>
              </w:rPr>
            </w:pPr>
          </w:p>
        </w:tc>
        <w:tc>
          <w:tcPr>
            <w:tcW w:w="1256" w:type="dxa"/>
          </w:tcPr>
          <w:p w14:paraId="3942906B" w14:textId="77777777" w:rsidR="0029415A" w:rsidRPr="00FD066C" w:rsidRDefault="0029415A" w:rsidP="00FE21E3">
            <w:pPr>
              <w:rPr>
                <w:rFonts w:cstheme="minorHAnsi"/>
                <w:b/>
                <w:bCs/>
              </w:rPr>
            </w:pPr>
          </w:p>
        </w:tc>
        <w:tc>
          <w:tcPr>
            <w:tcW w:w="1671" w:type="dxa"/>
          </w:tcPr>
          <w:p w14:paraId="49AB3AF4" w14:textId="77777777" w:rsidR="0029415A" w:rsidRPr="00FD066C" w:rsidRDefault="0029415A" w:rsidP="00FE21E3">
            <w:pPr>
              <w:rPr>
                <w:rFonts w:cstheme="minorHAnsi"/>
                <w:b/>
                <w:bCs/>
              </w:rPr>
            </w:pPr>
          </w:p>
        </w:tc>
        <w:tc>
          <w:tcPr>
            <w:tcW w:w="1647" w:type="dxa"/>
          </w:tcPr>
          <w:p w14:paraId="49017390" w14:textId="77777777" w:rsidR="0029415A" w:rsidRPr="00FD066C" w:rsidRDefault="0029415A" w:rsidP="00FE21E3">
            <w:pPr>
              <w:rPr>
                <w:rFonts w:cstheme="minorHAnsi"/>
                <w:b/>
                <w:bCs/>
              </w:rPr>
            </w:pPr>
          </w:p>
        </w:tc>
        <w:tc>
          <w:tcPr>
            <w:tcW w:w="1419" w:type="dxa"/>
          </w:tcPr>
          <w:p w14:paraId="57BB3BBE" w14:textId="77777777" w:rsidR="0029415A" w:rsidRPr="00FD066C" w:rsidRDefault="0029415A" w:rsidP="00FE21E3">
            <w:pPr>
              <w:rPr>
                <w:rFonts w:cstheme="minorHAnsi"/>
                <w:b/>
                <w:bCs/>
              </w:rPr>
            </w:pPr>
          </w:p>
        </w:tc>
        <w:tc>
          <w:tcPr>
            <w:tcW w:w="757" w:type="dxa"/>
          </w:tcPr>
          <w:p w14:paraId="7EA9DD30" w14:textId="77777777" w:rsidR="0029415A" w:rsidRPr="00FD066C" w:rsidRDefault="0029415A" w:rsidP="00FE21E3">
            <w:pPr>
              <w:rPr>
                <w:rFonts w:cstheme="minorHAnsi"/>
                <w:b/>
                <w:bCs/>
              </w:rPr>
            </w:pPr>
          </w:p>
        </w:tc>
      </w:tr>
      <w:tr w:rsidR="0029415A" w:rsidRPr="00FD066C" w14:paraId="2320F809" w14:textId="559778C4" w:rsidTr="0029415A">
        <w:tc>
          <w:tcPr>
            <w:tcW w:w="1010" w:type="dxa"/>
          </w:tcPr>
          <w:p w14:paraId="0FC1BFD5" w14:textId="77777777" w:rsidR="0029415A" w:rsidRPr="00FD066C" w:rsidRDefault="0029415A" w:rsidP="00FE21E3">
            <w:pPr>
              <w:rPr>
                <w:rFonts w:cstheme="minorHAnsi"/>
                <w:b/>
                <w:bCs/>
              </w:rPr>
            </w:pPr>
          </w:p>
          <w:p w14:paraId="038EA505" w14:textId="77777777" w:rsidR="0029415A" w:rsidRPr="00FD066C" w:rsidRDefault="0029415A" w:rsidP="00FE21E3">
            <w:pPr>
              <w:rPr>
                <w:rFonts w:cstheme="minorHAnsi"/>
                <w:b/>
                <w:bCs/>
              </w:rPr>
            </w:pPr>
          </w:p>
          <w:p w14:paraId="23A6C561" w14:textId="77777777" w:rsidR="0029415A" w:rsidRPr="00FD066C" w:rsidRDefault="0029415A" w:rsidP="00FE21E3">
            <w:pPr>
              <w:rPr>
                <w:rFonts w:cstheme="minorHAnsi"/>
                <w:b/>
                <w:bCs/>
              </w:rPr>
            </w:pPr>
          </w:p>
          <w:p w14:paraId="1781D537" w14:textId="77777777" w:rsidR="0029415A" w:rsidRPr="00FD066C" w:rsidRDefault="0029415A" w:rsidP="00FE21E3">
            <w:pPr>
              <w:rPr>
                <w:rFonts w:cstheme="minorHAnsi"/>
                <w:b/>
                <w:bCs/>
              </w:rPr>
            </w:pPr>
          </w:p>
          <w:p w14:paraId="49DBEB37" w14:textId="77777777" w:rsidR="0029415A" w:rsidRPr="00FD066C" w:rsidRDefault="0029415A" w:rsidP="00FE21E3">
            <w:pPr>
              <w:rPr>
                <w:rFonts w:cstheme="minorHAnsi"/>
                <w:b/>
                <w:bCs/>
              </w:rPr>
            </w:pPr>
          </w:p>
          <w:p w14:paraId="415C79E0" w14:textId="77777777" w:rsidR="0029415A" w:rsidRPr="00FD066C" w:rsidRDefault="0029415A" w:rsidP="00FE21E3">
            <w:pPr>
              <w:rPr>
                <w:rFonts w:cstheme="minorHAnsi"/>
                <w:b/>
                <w:bCs/>
              </w:rPr>
            </w:pPr>
          </w:p>
        </w:tc>
        <w:tc>
          <w:tcPr>
            <w:tcW w:w="1256" w:type="dxa"/>
          </w:tcPr>
          <w:p w14:paraId="13BC4F35" w14:textId="77777777" w:rsidR="0029415A" w:rsidRPr="00FD066C" w:rsidRDefault="0029415A" w:rsidP="00FE21E3">
            <w:pPr>
              <w:rPr>
                <w:rFonts w:cstheme="minorHAnsi"/>
                <w:b/>
                <w:bCs/>
              </w:rPr>
            </w:pPr>
          </w:p>
        </w:tc>
        <w:tc>
          <w:tcPr>
            <w:tcW w:w="1256" w:type="dxa"/>
          </w:tcPr>
          <w:p w14:paraId="3A376D03" w14:textId="77777777" w:rsidR="0029415A" w:rsidRPr="00FD066C" w:rsidRDefault="0029415A" w:rsidP="00FE21E3">
            <w:pPr>
              <w:rPr>
                <w:rFonts w:cstheme="minorHAnsi"/>
                <w:b/>
                <w:bCs/>
              </w:rPr>
            </w:pPr>
          </w:p>
        </w:tc>
        <w:tc>
          <w:tcPr>
            <w:tcW w:w="1671" w:type="dxa"/>
          </w:tcPr>
          <w:p w14:paraId="7B5DCDE0" w14:textId="77777777" w:rsidR="0029415A" w:rsidRPr="00FD066C" w:rsidRDefault="0029415A" w:rsidP="00FE21E3">
            <w:pPr>
              <w:rPr>
                <w:rFonts w:cstheme="minorHAnsi"/>
                <w:b/>
                <w:bCs/>
              </w:rPr>
            </w:pPr>
          </w:p>
        </w:tc>
        <w:tc>
          <w:tcPr>
            <w:tcW w:w="1647" w:type="dxa"/>
          </w:tcPr>
          <w:p w14:paraId="58AFF6A5" w14:textId="77777777" w:rsidR="0029415A" w:rsidRPr="00FD066C" w:rsidRDefault="0029415A" w:rsidP="00FE21E3">
            <w:pPr>
              <w:rPr>
                <w:rFonts w:cstheme="minorHAnsi"/>
                <w:b/>
                <w:bCs/>
              </w:rPr>
            </w:pPr>
          </w:p>
        </w:tc>
        <w:tc>
          <w:tcPr>
            <w:tcW w:w="1419" w:type="dxa"/>
          </w:tcPr>
          <w:p w14:paraId="719603E9" w14:textId="77777777" w:rsidR="0029415A" w:rsidRPr="00FD066C" w:rsidRDefault="0029415A" w:rsidP="00FE21E3">
            <w:pPr>
              <w:rPr>
                <w:rFonts w:cstheme="minorHAnsi"/>
                <w:b/>
                <w:bCs/>
              </w:rPr>
            </w:pPr>
          </w:p>
        </w:tc>
        <w:tc>
          <w:tcPr>
            <w:tcW w:w="757" w:type="dxa"/>
          </w:tcPr>
          <w:p w14:paraId="2F00DAA2" w14:textId="77777777" w:rsidR="0029415A" w:rsidRPr="00FD066C" w:rsidRDefault="0029415A" w:rsidP="00FE21E3">
            <w:pPr>
              <w:rPr>
                <w:rFonts w:cstheme="minorHAnsi"/>
                <w:b/>
                <w:bCs/>
              </w:rPr>
            </w:pPr>
          </w:p>
        </w:tc>
      </w:tr>
      <w:tr w:rsidR="0029415A" w:rsidRPr="00FD066C" w14:paraId="32FE1E8F" w14:textId="4ED0541D" w:rsidTr="0029415A">
        <w:tc>
          <w:tcPr>
            <w:tcW w:w="1010" w:type="dxa"/>
          </w:tcPr>
          <w:p w14:paraId="43E596E4" w14:textId="77777777" w:rsidR="0029415A" w:rsidRPr="00FD066C" w:rsidRDefault="0029415A" w:rsidP="00FE21E3">
            <w:pPr>
              <w:rPr>
                <w:rFonts w:cstheme="minorHAnsi"/>
                <w:b/>
                <w:bCs/>
              </w:rPr>
            </w:pPr>
          </w:p>
          <w:p w14:paraId="2DB9F878" w14:textId="77777777" w:rsidR="0029415A" w:rsidRPr="00FD066C" w:rsidRDefault="0029415A" w:rsidP="00FE21E3">
            <w:pPr>
              <w:rPr>
                <w:rFonts w:cstheme="minorHAnsi"/>
                <w:b/>
                <w:bCs/>
              </w:rPr>
            </w:pPr>
          </w:p>
          <w:p w14:paraId="4141AD12" w14:textId="77777777" w:rsidR="0029415A" w:rsidRPr="00FD066C" w:rsidRDefault="0029415A" w:rsidP="00FE21E3">
            <w:pPr>
              <w:rPr>
                <w:rFonts w:cstheme="minorHAnsi"/>
                <w:b/>
                <w:bCs/>
              </w:rPr>
            </w:pPr>
          </w:p>
          <w:p w14:paraId="08B0E47C" w14:textId="77777777" w:rsidR="0029415A" w:rsidRPr="00FD066C" w:rsidRDefault="0029415A" w:rsidP="00FE21E3">
            <w:pPr>
              <w:rPr>
                <w:rFonts w:cstheme="minorHAnsi"/>
                <w:b/>
                <w:bCs/>
              </w:rPr>
            </w:pPr>
          </w:p>
          <w:p w14:paraId="23AF77F9" w14:textId="77777777" w:rsidR="0029415A" w:rsidRPr="00FD066C" w:rsidRDefault="0029415A" w:rsidP="00FE21E3">
            <w:pPr>
              <w:rPr>
                <w:rFonts w:cstheme="minorHAnsi"/>
                <w:b/>
                <w:bCs/>
              </w:rPr>
            </w:pPr>
          </w:p>
          <w:p w14:paraId="42D82472" w14:textId="77777777" w:rsidR="0029415A" w:rsidRPr="00FD066C" w:rsidRDefault="0029415A" w:rsidP="00FE21E3">
            <w:pPr>
              <w:rPr>
                <w:rFonts w:cstheme="minorHAnsi"/>
                <w:b/>
                <w:bCs/>
              </w:rPr>
            </w:pPr>
          </w:p>
        </w:tc>
        <w:tc>
          <w:tcPr>
            <w:tcW w:w="1256" w:type="dxa"/>
          </w:tcPr>
          <w:p w14:paraId="78FB0593" w14:textId="77777777" w:rsidR="0029415A" w:rsidRPr="00FD066C" w:rsidRDefault="0029415A" w:rsidP="00FE21E3">
            <w:pPr>
              <w:rPr>
                <w:rFonts w:cstheme="minorHAnsi"/>
                <w:b/>
                <w:bCs/>
              </w:rPr>
            </w:pPr>
          </w:p>
        </w:tc>
        <w:tc>
          <w:tcPr>
            <w:tcW w:w="1256" w:type="dxa"/>
          </w:tcPr>
          <w:p w14:paraId="5111C246" w14:textId="77777777" w:rsidR="0029415A" w:rsidRPr="00FD066C" w:rsidRDefault="0029415A" w:rsidP="00FE21E3">
            <w:pPr>
              <w:rPr>
                <w:rFonts w:cstheme="minorHAnsi"/>
                <w:b/>
                <w:bCs/>
              </w:rPr>
            </w:pPr>
          </w:p>
        </w:tc>
        <w:tc>
          <w:tcPr>
            <w:tcW w:w="1671" w:type="dxa"/>
          </w:tcPr>
          <w:p w14:paraId="3156EA98" w14:textId="77777777" w:rsidR="0029415A" w:rsidRPr="00FD066C" w:rsidRDefault="0029415A" w:rsidP="00FE21E3">
            <w:pPr>
              <w:rPr>
                <w:rFonts w:cstheme="minorHAnsi"/>
                <w:b/>
                <w:bCs/>
              </w:rPr>
            </w:pPr>
          </w:p>
        </w:tc>
        <w:tc>
          <w:tcPr>
            <w:tcW w:w="1647" w:type="dxa"/>
          </w:tcPr>
          <w:p w14:paraId="6E72AA06" w14:textId="77777777" w:rsidR="0029415A" w:rsidRPr="00FD066C" w:rsidRDefault="0029415A" w:rsidP="00FE21E3">
            <w:pPr>
              <w:rPr>
                <w:rFonts w:cstheme="minorHAnsi"/>
                <w:b/>
                <w:bCs/>
              </w:rPr>
            </w:pPr>
          </w:p>
        </w:tc>
        <w:tc>
          <w:tcPr>
            <w:tcW w:w="1419" w:type="dxa"/>
          </w:tcPr>
          <w:p w14:paraId="3FF19C18" w14:textId="77777777" w:rsidR="0029415A" w:rsidRPr="00FD066C" w:rsidRDefault="0029415A" w:rsidP="00FE21E3">
            <w:pPr>
              <w:rPr>
                <w:rFonts w:cstheme="minorHAnsi"/>
                <w:b/>
                <w:bCs/>
              </w:rPr>
            </w:pPr>
          </w:p>
        </w:tc>
        <w:tc>
          <w:tcPr>
            <w:tcW w:w="757" w:type="dxa"/>
          </w:tcPr>
          <w:p w14:paraId="2937BF84" w14:textId="77777777" w:rsidR="0029415A" w:rsidRPr="00FD066C" w:rsidRDefault="0029415A" w:rsidP="00FE21E3">
            <w:pPr>
              <w:rPr>
                <w:rFonts w:cstheme="minorHAnsi"/>
                <w:b/>
                <w:bCs/>
              </w:rPr>
            </w:pPr>
          </w:p>
        </w:tc>
      </w:tr>
      <w:tr w:rsidR="0029415A" w:rsidRPr="00FD066C" w14:paraId="22B6DB9A" w14:textId="5ABB02C5" w:rsidTr="0029415A">
        <w:tc>
          <w:tcPr>
            <w:tcW w:w="1010" w:type="dxa"/>
          </w:tcPr>
          <w:p w14:paraId="41DA6395" w14:textId="77777777" w:rsidR="0029415A" w:rsidRPr="00FD066C" w:rsidRDefault="0029415A" w:rsidP="00FE21E3">
            <w:pPr>
              <w:rPr>
                <w:rFonts w:cstheme="minorHAnsi"/>
                <w:b/>
                <w:bCs/>
              </w:rPr>
            </w:pPr>
          </w:p>
          <w:p w14:paraId="7BAC15F8" w14:textId="77777777" w:rsidR="0029415A" w:rsidRPr="00FD066C" w:rsidRDefault="0029415A" w:rsidP="00FE21E3">
            <w:pPr>
              <w:rPr>
                <w:rFonts w:cstheme="minorHAnsi"/>
                <w:b/>
                <w:bCs/>
              </w:rPr>
            </w:pPr>
          </w:p>
          <w:p w14:paraId="40056A87" w14:textId="77777777" w:rsidR="0029415A" w:rsidRPr="00FD066C" w:rsidRDefault="0029415A" w:rsidP="00FE21E3">
            <w:pPr>
              <w:rPr>
                <w:rFonts w:cstheme="minorHAnsi"/>
                <w:b/>
                <w:bCs/>
              </w:rPr>
            </w:pPr>
          </w:p>
          <w:p w14:paraId="38B5CD63" w14:textId="77777777" w:rsidR="0029415A" w:rsidRPr="00FD066C" w:rsidRDefault="0029415A" w:rsidP="00FE21E3">
            <w:pPr>
              <w:rPr>
                <w:rFonts w:cstheme="minorHAnsi"/>
                <w:b/>
                <w:bCs/>
              </w:rPr>
            </w:pPr>
          </w:p>
          <w:p w14:paraId="405FAE9F" w14:textId="77777777" w:rsidR="0029415A" w:rsidRPr="00FD066C" w:rsidRDefault="0029415A" w:rsidP="00FE21E3">
            <w:pPr>
              <w:rPr>
                <w:rFonts w:cstheme="minorHAnsi"/>
                <w:b/>
                <w:bCs/>
              </w:rPr>
            </w:pPr>
          </w:p>
          <w:p w14:paraId="59E7259F" w14:textId="77777777" w:rsidR="0029415A" w:rsidRPr="00FD066C" w:rsidRDefault="0029415A" w:rsidP="00FE21E3">
            <w:pPr>
              <w:rPr>
                <w:rFonts w:cstheme="minorHAnsi"/>
                <w:b/>
                <w:bCs/>
              </w:rPr>
            </w:pPr>
          </w:p>
        </w:tc>
        <w:tc>
          <w:tcPr>
            <w:tcW w:w="1256" w:type="dxa"/>
          </w:tcPr>
          <w:p w14:paraId="139B1E27" w14:textId="77777777" w:rsidR="0029415A" w:rsidRPr="00FD066C" w:rsidRDefault="0029415A" w:rsidP="00FE21E3">
            <w:pPr>
              <w:rPr>
                <w:rFonts w:cstheme="minorHAnsi"/>
                <w:b/>
                <w:bCs/>
              </w:rPr>
            </w:pPr>
          </w:p>
        </w:tc>
        <w:tc>
          <w:tcPr>
            <w:tcW w:w="1256" w:type="dxa"/>
          </w:tcPr>
          <w:p w14:paraId="40E08C65" w14:textId="77777777" w:rsidR="0029415A" w:rsidRPr="00FD066C" w:rsidRDefault="0029415A" w:rsidP="00FE21E3">
            <w:pPr>
              <w:rPr>
                <w:rFonts w:cstheme="minorHAnsi"/>
                <w:b/>
                <w:bCs/>
              </w:rPr>
            </w:pPr>
          </w:p>
        </w:tc>
        <w:tc>
          <w:tcPr>
            <w:tcW w:w="1671" w:type="dxa"/>
          </w:tcPr>
          <w:p w14:paraId="0176CA73" w14:textId="77777777" w:rsidR="0029415A" w:rsidRPr="00FD066C" w:rsidRDefault="0029415A" w:rsidP="00FE21E3">
            <w:pPr>
              <w:rPr>
                <w:rFonts w:cstheme="minorHAnsi"/>
                <w:b/>
                <w:bCs/>
              </w:rPr>
            </w:pPr>
          </w:p>
        </w:tc>
        <w:tc>
          <w:tcPr>
            <w:tcW w:w="1647" w:type="dxa"/>
          </w:tcPr>
          <w:p w14:paraId="45414364" w14:textId="77777777" w:rsidR="0029415A" w:rsidRPr="00FD066C" w:rsidRDefault="0029415A" w:rsidP="00FE21E3">
            <w:pPr>
              <w:rPr>
                <w:rFonts w:cstheme="minorHAnsi"/>
                <w:b/>
                <w:bCs/>
              </w:rPr>
            </w:pPr>
          </w:p>
        </w:tc>
        <w:tc>
          <w:tcPr>
            <w:tcW w:w="1419" w:type="dxa"/>
          </w:tcPr>
          <w:p w14:paraId="73C33435" w14:textId="77777777" w:rsidR="0029415A" w:rsidRPr="00FD066C" w:rsidRDefault="0029415A" w:rsidP="00FE21E3">
            <w:pPr>
              <w:rPr>
                <w:rFonts w:cstheme="minorHAnsi"/>
                <w:b/>
                <w:bCs/>
              </w:rPr>
            </w:pPr>
          </w:p>
        </w:tc>
        <w:tc>
          <w:tcPr>
            <w:tcW w:w="757" w:type="dxa"/>
          </w:tcPr>
          <w:p w14:paraId="536614E9" w14:textId="77777777" w:rsidR="0029415A" w:rsidRPr="00FD066C" w:rsidRDefault="0029415A" w:rsidP="00FE21E3">
            <w:pPr>
              <w:rPr>
                <w:rFonts w:cstheme="minorHAnsi"/>
                <w:b/>
                <w:bCs/>
              </w:rPr>
            </w:pPr>
          </w:p>
        </w:tc>
      </w:tr>
      <w:tr w:rsidR="0029415A" w:rsidRPr="00FD066C" w14:paraId="1FB53F0F" w14:textId="0E3D0437" w:rsidTr="0029415A">
        <w:tc>
          <w:tcPr>
            <w:tcW w:w="1010" w:type="dxa"/>
          </w:tcPr>
          <w:p w14:paraId="6BC864F3" w14:textId="77777777" w:rsidR="0029415A" w:rsidRPr="00FD066C" w:rsidRDefault="0029415A" w:rsidP="00FE21E3">
            <w:pPr>
              <w:rPr>
                <w:rFonts w:cstheme="minorHAnsi"/>
                <w:b/>
                <w:bCs/>
              </w:rPr>
            </w:pPr>
          </w:p>
          <w:p w14:paraId="7C1F52B6" w14:textId="77777777" w:rsidR="0029415A" w:rsidRPr="00FD066C" w:rsidRDefault="0029415A" w:rsidP="00FE21E3">
            <w:pPr>
              <w:rPr>
                <w:rFonts w:cstheme="minorHAnsi"/>
                <w:b/>
                <w:bCs/>
              </w:rPr>
            </w:pPr>
          </w:p>
          <w:p w14:paraId="344BAD88" w14:textId="77777777" w:rsidR="0029415A" w:rsidRPr="00FD066C" w:rsidRDefault="0029415A" w:rsidP="00FE21E3">
            <w:pPr>
              <w:rPr>
                <w:rFonts w:cstheme="minorHAnsi"/>
                <w:b/>
                <w:bCs/>
              </w:rPr>
            </w:pPr>
          </w:p>
          <w:p w14:paraId="666D624A" w14:textId="77777777" w:rsidR="0029415A" w:rsidRPr="00FD066C" w:rsidRDefault="0029415A" w:rsidP="00FE21E3">
            <w:pPr>
              <w:rPr>
                <w:rFonts w:cstheme="minorHAnsi"/>
                <w:b/>
                <w:bCs/>
              </w:rPr>
            </w:pPr>
          </w:p>
          <w:p w14:paraId="4E432F85" w14:textId="77777777" w:rsidR="0029415A" w:rsidRPr="00FD066C" w:rsidRDefault="0029415A" w:rsidP="00FE21E3">
            <w:pPr>
              <w:rPr>
                <w:rFonts w:cstheme="minorHAnsi"/>
                <w:b/>
                <w:bCs/>
              </w:rPr>
            </w:pPr>
          </w:p>
          <w:p w14:paraId="5C1370A5" w14:textId="77777777" w:rsidR="0029415A" w:rsidRPr="00FD066C" w:rsidRDefault="0029415A" w:rsidP="00FE21E3">
            <w:pPr>
              <w:rPr>
                <w:rFonts w:cstheme="minorHAnsi"/>
                <w:b/>
                <w:bCs/>
              </w:rPr>
            </w:pPr>
          </w:p>
        </w:tc>
        <w:tc>
          <w:tcPr>
            <w:tcW w:w="1256" w:type="dxa"/>
          </w:tcPr>
          <w:p w14:paraId="70D551A4" w14:textId="77777777" w:rsidR="0029415A" w:rsidRPr="00FD066C" w:rsidRDefault="0029415A" w:rsidP="00FE21E3">
            <w:pPr>
              <w:rPr>
                <w:rFonts w:cstheme="minorHAnsi"/>
                <w:b/>
                <w:bCs/>
              </w:rPr>
            </w:pPr>
          </w:p>
        </w:tc>
        <w:tc>
          <w:tcPr>
            <w:tcW w:w="1256" w:type="dxa"/>
          </w:tcPr>
          <w:p w14:paraId="42A9E967" w14:textId="77777777" w:rsidR="0029415A" w:rsidRPr="00FD066C" w:rsidRDefault="0029415A" w:rsidP="00FE21E3">
            <w:pPr>
              <w:rPr>
                <w:rFonts w:cstheme="minorHAnsi"/>
                <w:b/>
                <w:bCs/>
              </w:rPr>
            </w:pPr>
          </w:p>
        </w:tc>
        <w:tc>
          <w:tcPr>
            <w:tcW w:w="1671" w:type="dxa"/>
          </w:tcPr>
          <w:p w14:paraId="0B6BF2C2" w14:textId="77777777" w:rsidR="0029415A" w:rsidRPr="00FD066C" w:rsidRDefault="0029415A" w:rsidP="00FE21E3">
            <w:pPr>
              <w:rPr>
                <w:rFonts w:cstheme="minorHAnsi"/>
                <w:b/>
                <w:bCs/>
              </w:rPr>
            </w:pPr>
          </w:p>
        </w:tc>
        <w:tc>
          <w:tcPr>
            <w:tcW w:w="1647" w:type="dxa"/>
          </w:tcPr>
          <w:p w14:paraId="474CA3E4" w14:textId="77777777" w:rsidR="0029415A" w:rsidRPr="00FD066C" w:rsidRDefault="0029415A" w:rsidP="00FE21E3">
            <w:pPr>
              <w:rPr>
                <w:rFonts w:cstheme="minorHAnsi"/>
                <w:b/>
                <w:bCs/>
              </w:rPr>
            </w:pPr>
          </w:p>
        </w:tc>
        <w:tc>
          <w:tcPr>
            <w:tcW w:w="1419" w:type="dxa"/>
          </w:tcPr>
          <w:p w14:paraId="62382A22" w14:textId="77777777" w:rsidR="0029415A" w:rsidRPr="00FD066C" w:rsidRDefault="0029415A" w:rsidP="00FE21E3">
            <w:pPr>
              <w:rPr>
                <w:rFonts w:cstheme="minorHAnsi"/>
                <w:b/>
                <w:bCs/>
              </w:rPr>
            </w:pPr>
          </w:p>
        </w:tc>
        <w:tc>
          <w:tcPr>
            <w:tcW w:w="757" w:type="dxa"/>
          </w:tcPr>
          <w:p w14:paraId="55D77617" w14:textId="77777777" w:rsidR="0029415A" w:rsidRPr="00FD066C" w:rsidRDefault="0029415A" w:rsidP="00FE21E3">
            <w:pPr>
              <w:rPr>
                <w:rFonts w:cstheme="minorHAnsi"/>
                <w:b/>
                <w:bCs/>
              </w:rPr>
            </w:pPr>
          </w:p>
        </w:tc>
      </w:tr>
    </w:tbl>
    <w:p w14:paraId="6DDD25E3" w14:textId="77777777" w:rsidR="0029415A" w:rsidRPr="00FD066C" w:rsidRDefault="0029415A" w:rsidP="00FE21E3">
      <w:pPr>
        <w:rPr>
          <w:rFonts w:cstheme="minorHAnsi"/>
          <w:b/>
          <w:bCs/>
        </w:rPr>
      </w:pPr>
    </w:p>
    <w:p w14:paraId="2A6D729A" w14:textId="77777777" w:rsidR="00DA7A89" w:rsidRPr="00FD066C" w:rsidRDefault="00DA7A89" w:rsidP="00FE21E3">
      <w:pPr>
        <w:rPr>
          <w:rFonts w:cstheme="minorHAnsi"/>
        </w:rPr>
      </w:pPr>
    </w:p>
    <w:p w14:paraId="5A89F4CB" w14:textId="77777777" w:rsidR="00DA7A89" w:rsidRPr="00FD066C" w:rsidRDefault="00DA7A89" w:rsidP="00FE21E3">
      <w:pPr>
        <w:rPr>
          <w:rFonts w:cstheme="minorHAnsi"/>
        </w:rPr>
      </w:pPr>
    </w:p>
    <w:p w14:paraId="124CA216" w14:textId="77777777" w:rsidR="0029415A" w:rsidRPr="00FD066C" w:rsidRDefault="0029415A" w:rsidP="00FE21E3">
      <w:pPr>
        <w:rPr>
          <w:rFonts w:cstheme="minorHAnsi"/>
        </w:rPr>
      </w:pPr>
    </w:p>
    <w:p w14:paraId="2139EF00" w14:textId="77777777" w:rsidR="0029415A" w:rsidRPr="00FD066C" w:rsidRDefault="0029415A" w:rsidP="00FE21E3">
      <w:pPr>
        <w:rPr>
          <w:rFonts w:cstheme="minorHAnsi"/>
        </w:rPr>
      </w:pPr>
    </w:p>
    <w:p w14:paraId="7E23E927" w14:textId="77777777" w:rsidR="0029415A" w:rsidRPr="00FD066C" w:rsidRDefault="0029415A" w:rsidP="00FE21E3">
      <w:pPr>
        <w:rPr>
          <w:rFonts w:cstheme="minorHAnsi"/>
        </w:rPr>
      </w:pPr>
    </w:p>
    <w:p w14:paraId="20F85A29" w14:textId="77777777" w:rsidR="0029415A" w:rsidRPr="00FD066C" w:rsidRDefault="0029415A" w:rsidP="00FE21E3">
      <w:pPr>
        <w:rPr>
          <w:rFonts w:cstheme="minorHAnsi"/>
        </w:rPr>
      </w:pPr>
    </w:p>
    <w:p w14:paraId="2317B1CB" w14:textId="77777777" w:rsidR="0029415A" w:rsidRPr="00FD066C" w:rsidRDefault="0029415A" w:rsidP="00FE21E3">
      <w:pPr>
        <w:rPr>
          <w:rFonts w:cstheme="minorHAnsi"/>
        </w:rPr>
      </w:pPr>
    </w:p>
    <w:p w14:paraId="1D1E4EAD" w14:textId="5034F77F" w:rsidR="007D7C1C" w:rsidRPr="00FD066C" w:rsidRDefault="007D7C1C" w:rsidP="00FE21E3">
      <w:pPr>
        <w:rPr>
          <w:rFonts w:cstheme="minorHAnsi"/>
        </w:rPr>
      </w:pPr>
    </w:p>
    <w:sectPr w:rsidR="007D7C1C" w:rsidRPr="00FD066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30752" w14:textId="77777777" w:rsidR="00195550" w:rsidRDefault="00195550" w:rsidP="00FC5905">
      <w:pPr>
        <w:spacing w:after="0" w:line="240" w:lineRule="auto"/>
      </w:pPr>
      <w:r>
        <w:separator/>
      </w:r>
    </w:p>
  </w:endnote>
  <w:endnote w:type="continuationSeparator" w:id="0">
    <w:p w14:paraId="2E77486C" w14:textId="77777777" w:rsidR="00195550" w:rsidRDefault="00195550" w:rsidP="00FC5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E2B8B" w14:textId="77777777" w:rsidR="00205AD8" w:rsidRDefault="00205A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5616E" w14:textId="63DA7E89" w:rsidR="009B46D7" w:rsidRPr="00642938" w:rsidRDefault="00062103" w:rsidP="00062103">
    <w:pPr>
      <w:pStyle w:val="Footer"/>
      <w:tabs>
        <w:tab w:val="left" w:pos="2287"/>
      </w:tabs>
      <w:rPr>
        <w:sz w:val="20"/>
        <w:szCs w:val="20"/>
      </w:rPr>
    </w:pPr>
    <w:r>
      <w:rPr>
        <w:b/>
        <w:bCs/>
        <w:color w:val="595959" w:themeColor="text1" w:themeTint="A6"/>
        <w:lang w:val="en-US"/>
      </w:rPr>
      <w:tab/>
    </w:r>
    <w:r>
      <w:rPr>
        <w:b/>
        <w:bCs/>
        <w:color w:val="595959" w:themeColor="text1" w:themeTint="A6"/>
        <w:lang w:val="en-US"/>
      </w:rPr>
      <w:tab/>
    </w:r>
    <w:r w:rsidR="00642938">
      <w:rPr>
        <w:b/>
        <w:bCs/>
        <w:color w:val="595959" w:themeColor="text1" w:themeTint="A6"/>
        <w:lang w:val="en-US"/>
      </w:rPr>
      <w:t xml:space="preserve">                                                                </w:t>
    </w:r>
    <w:r w:rsidR="00686565" w:rsidRPr="00642938">
      <w:rPr>
        <w:b/>
        <w:bCs/>
        <w:color w:val="595959" w:themeColor="text1" w:themeTint="A6"/>
        <w:sz w:val="20"/>
        <w:szCs w:val="20"/>
        <w:lang w:val="en-US"/>
      </w:rPr>
      <w:t xml:space="preserve">P16 </w:t>
    </w:r>
    <w:r w:rsidR="00EC4ECE">
      <w:rPr>
        <w:b/>
        <w:bCs/>
        <w:color w:val="595959" w:themeColor="text1" w:themeTint="A6"/>
        <w:sz w:val="20"/>
        <w:szCs w:val="20"/>
        <w:lang w:val="en-US"/>
      </w:rPr>
      <w:t>Positive Handling</w:t>
    </w:r>
    <w:r w:rsidR="00686565" w:rsidRPr="00642938">
      <w:rPr>
        <w:b/>
        <w:bCs/>
        <w:color w:val="595959" w:themeColor="text1" w:themeTint="A6"/>
        <w:sz w:val="20"/>
        <w:szCs w:val="20"/>
        <w:lang w:val="en-US"/>
      </w:rPr>
      <w:t xml:space="preserve"> Policy- August 202</w:t>
    </w:r>
    <w:r w:rsidR="00205AD8">
      <w:rPr>
        <w:b/>
        <w:bCs/>
        <w:color w:val="595959" w:themeColor="text1" w:themeTint="A6"/>
        <w:sz w:val="20"/>
        <w:szCs w:val="20"/>
        <w:lang w:val="en-US"/>
      </w:rPr>
      <w:t>4</w:t>
    </w:r>
    <w:r w:rsidR="00686565" w:rsidRPr="00642938">
      <w:rPr>
        <w:b/>
        <w:bCs/>
        <w:color w:val="595959" w:themeColor="text1" w:themeTint="A6"/>
        <w:sz w:val="20"/>
        <w:szCs w:val="20"/>
        <w:lang w:val="en-US"/>
      </w:rPr>
      <w:t xml:space="preserve"> </w:t>
    </w:r>
    <w:r w:rsidR="00686565" w:rsidRPr="00642938">
      <w:rPr>
        <w:b/>
        <w:bCs/>
        <w:noProof/>
        <w:sz w:val="20"/>
        <w:szCs w:val="20"/>
      </w:rPr>
      <w:t xml:space="preserve"> </w:t>
    </w:r>
    <w:r w:rsidR="00D56D5C" w:rsidRPr="00642938">
      <w:rPr>
        <w:b/>
        <w:bCs/>
        <w:noProof/>
        <w:sz w:val="20"/>
        <w:szCs w:val="20"/>
      </w:rPr>
      <mc:AlternateContent>
        <mc:Choice Requires="wps">
          <w:drawing>
            <wp:anchor distT="0" distB="0" distL="0" distR="0" simplePos="0" relativeHeight="251662336" behindDoc="0" locked="0" layoutInCell="1" allowOverlap="1" wp14:anchorId="18CEE3BD" wp14:editId="5F66BF6E">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CF7095" w14:textId="77777777" w:rsidR="00D56D5C" w:rsidRDefault="00D56D5C">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EE3BD" id="Rectangle 8" o:spid="_x0000_s1026"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" fillcolor="black [3213]" stroked="f" strokeweight="3pt">
              <v:textbox>
                <w:txbxContent>
                  <w:p w14:paraId="3BCF7095" w14:textId="77777777" w:rsidR="00D56D5C" w:rsidRDefault="00D56D5C">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DE6E4" w14:textId="77777777" w:rsidR="00205AD8" w:rsidRDefault="00205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2F048" w14:textId="77777777" w:rsidR="00195550" w:rsidRDefault="00195550" w:rsidP="00FC5905">
      <w:pPr>
        <w:spacing w:after="0" w:line="240" w:lineRule="auto"/>
      </w:pPr>
      <w:r>
        <w:separator/>
      </w:r>
    </w:p>
  </w:footnote>
  <w:footnote w:type="continuationSeparator" w:id="0">
    <w:p w14:paraId="510D8E16" w14:textId="77777777" w:rsidR="00195550" w:rsidRDefault="00195550" w:rsidP="00FC5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B1F5A" w14:textId="77777777" w:rsidR="00205AD8" w:rsidRDefault="00205A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025" w:type="dxa"/>
      <w:tblInd w:w="-1026" w:type="dxa"/>
      <w:tblLook w:val="04A0" w:firstRow="1" w:lastRow="0" w:firstColumn="1" w:lastColumn="0" w:noHBand="0" w:noVBand="1"/>
    </w:tblPr>
    <w:tblGrid>
      <w:gridCol w:w="11091"/>
      <w:gridCol w:w="3934"/>
    </w:tblGrid>
    <w:tr w:rsidR="0030442B" w:rsidRPr="00C071FF" w14:paraId="6DC01669" w14:textId="77777777" w:rsidTr="00057399">
      <w:trPr>
        <w:trHeight w:val="118"/>
      </w:trPr>
      <w:tc>
        <w:tcPr>
          <w:tcW w:w="8789" w:type="dxa"/>
          <w:tcBorders>
            <w:top w:val="nil"/>
            <w:left w:val="nil"/>
            <w:bottom w:val="single" w:sz="8" w:space="0" w:color="auto"/>
            <w:right w:val="nil"/>
          </w:tcBorders>
          <w:shd w:val="clear" w:color="auto" w:fill="auto"/>
        </w:tcPr>
        <w:p w14:paraId="751311E7" w14:textId="77777777" w:rsidR="00D56D5C" w:rsidRDefault="00D56D5C" w:rsidP="00D56D5C">
          <w:pPr>
            <w:jc w:val="center"/>
            <w:rPr>
              <w:b/>
            </w:rPr>
          </w:pPr>
          <w:r>
            <w:rPr>
              <w:b/>
            </w:rPr>
            <w:t xml:space="preserve">                                                               </w:t>
          </w:r>
        </w:p>
        <w:p w14:paraId="77A2C965" w14:textId="07E7EF76" w:rsidR="00D56D5C" w:rsidRPr="00D02B46" w:rsidRDefault="00D56D5C" w:rsidP="00D56D5C">
          <w:pPr>
            <w:tabs>
              <w:tab w:val="right" w:pos="10875"/>
            </w:tabs>
            <w:rPr>
              <w:b/>
            </w:rPr>
          </w:pPr>
          <w:r>
            <w:rPr>
              <w:b/>
              <w:sz w:val="28"/>
              <w:szCs w:val="28"/>
            </w:rPr>
            <w:t xml:space="preserve">     </w:t>
          </w:r>
          <w:r w:rsidR="0030442B">
            <w:rPr>
              <w:b/>
              <w:sz w:val="28"/>
              <w:szCs w:val="28"/>
            </w:rPr>
            <w:t xml:space="preserve">P16 SKAPE </w:t>
          </w:r>
          <w:r w:rsidR="001B0EBF">
            <w:rPr>
              <w:b/>
              <w:sz w:val="28"/>
              <w:szCs w:val="28"/>
            </w:rPr>
            <w:t>Positive Handling</w:t>
          </w:r>
          <w:r w:rsidR="0030442B">
            <w:rPr>
              <w:b/>
              <w:sz w:val="28"/>
              <w:szCs w:val="28"/>
            </w:rPr>
            <w:t xml:space="preserve"> Policy</w:t>
          </w:r>
          <w:r>
            <w:rPr>
              <w:b/>
              <w:sz w:val="28"/>
              <w:szCs w:val="28"/>
            </w:rPr>
            <w:tab/>
          </w:r>
        </w:p>
        <w:p w14:paraId="3B1518E9" w14:textId="77777777" w:rsidR="00D56D5C" w:rsidRPr="00C071FF" w:rsidRDefault="00D56D5C" w:rsidP="00D56D5C">
          <w:pPr>
            <w:jc w:val="center"/>
            <w:rPr>
              <w:b/>
            </w:rPr>
          </w:pPr>
        </w:p>
      </w:tc>
      <w:tc>
        <w:tcPr>
          <w:tcW w:w="3118" w:type="dxa"/>
          <w:tcBorders>
            <w:top w:val="nil"/>
            <w:left w:val="nil"/>
            <w:bottom w:val="single" w:sz="8" w:space="0" w:color="auto"/>
            <w:right w:val="nil"/>
          </w:tcBorders>
        </w:tcPr>
        <w:p w14:paraId="336967CE" w14:textId="77777777" w:rsidR="00D56D5C" w:rsidRPr="00C071FF" w:rsidRDefault="00D56D5C" w:rsidP="00D56D5C">
          <w:pPr>
            <w:rPr>
              <w:b/>
              <w:i/>
            </w:rPr>
          </w:pPr>
          <w:r>
            <w:rPr>
              <w:noProof/>
            </w:rPr>
            <w:drawing>
              <wp:anchor distT="0" distB="0" distL="114300" distR="114300" simplePos="0" relativeHeight="251659264" behindDoc="1" locked="0" layoutInCell="1" allowOverlap="1" wp14:anchorId="1C6B1223" wp14:editId="52A38209">
                <wp:simplePos x="0" y="0"/>
                <wp:positionH relativeFrom="column">
                  <wp:posOffset>731520</wp:posOffset>
                </wp:positionH>
                <wp:positionV relativeFrom="paragraph">
                  <wp:posOffset>-353999</wp:posOffset>
                </wp:positionV>
                <wp:extent cx="749122" cy="811033"/>
                <wp:effectExtent l="19050" t="19050" r="13335" b="27305"/>
                <wp:wrapNone/>
                <wp:docPr id="7" name="Picture 6"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1"/>
                        <a:srcRect l="31946" t="17683" r="31655" b="14008"/>
                        <a:stretch/>
                      </pic:blipFill>
                      <pic:spPr>
                        <a:xfrm>
                          <a:off x="0" y="0"/>
                          <a:ext cx="749122" cy="811033"/>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14:sizeRelH relativeFrom="margin">
                  <wp14:pctWidth>0</wp14:pctWidth>
                </wp14:sizeRelH>
                <wp14:sizeRelV relativeFrom="margin">
                  <wp14:pctHeight>0</wp14:pctHeight>
                </wp14:sizeRelV>
              </wp:anchor>
            </w:drawing>
          </w:r>
        </w:p>
      </w:tc>
    </w:tr>
  </w:tbl>
  <w:p w14:paraId="7D28AC68" w14:textId="77777777" w:rsidR="00D56D5C" w:rsidRDefault="00D56D5C" w:rsidP="00D56D5C">
    <w:pPr>
      <w:pStyle w:val="Header"/>
    </w:pPr>
    <w:r>
      <w:rPr>
        <w:noProof/>
      </w:rPr>
      <w:drawing>
        <wp:anchor distT="0" distB="0" distL="114300" distR="114300" simplePos="0" relativeHeight="251660288" behindDoc="1" locked="0" layoutInCell="1" allowOverlap="1" wp14:anchorId="65C06B62" wp14:editId="21E47FD2">
          <wp:simplePos x="0" y="0"/>
          <wp:positionH relativeFrom="rightMargin">
            <wp:align>left</wp:align>
          </wp:positionH>
          <wp:positionV relativeFrom="paragraph">
            <wp:posOffset>-912108</wp:posOffset>
          </wp:positionV>
          <wp:extent cx="748665" cy="810895"/>
          <wp:effectExtent l="19050" t="19050" r="13335" b="27305"/>
          <wp:wrapNone/>
          <wp:docPr id="1460779437" name="Picture 1460779437"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79437" name="Picture 1460779437"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31946" t="17683" r="31655" b="14008"/>
                  <a:stretch/>
                </pic:blipFill>
                <pic:spPr>
                  <a:xfrm>
                    <a:off x="0" y="0"/>
                    <a:ext cx="748665" cy="810895"/>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1C5A7" w14:textId="77777777" w:rsidR="00205AD8" w:rsidRDefault="00205A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76C3B"/>
    <w:multiLevelType w:val="hybridMultilevel"/>
    <w:tmpl w:val="F16EAA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04B84"/>
    <w:multiLevelType w:val="hybridMultilevel"/>
    <w:tmpl w:val="AF82B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80CF1"/>
    <w:multiLevelType w:val="hybridMultilevel"/>
    <w:tmpl w:val="7876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F72FF"/>
    <w:multiLevelType w:val="hybridMultilevel"/>
    <w:tmpl w:val="733EA6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2A0CB3"/>
    <w:multiLevelType w:val="hybridMultilevel"/>
    <w:tmpl w:val="BB6A82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403C47"/>
    <w:multiLevelType w:val="hybridMultilevel"/>
    <w:tmpl w:val="E0D28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EB0273"/>
    <w:multiLevelType w:val="hybridMultilevel"/>
    <w:tmpl w:val="5C5A7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4906D7"/>
    <w:multiLevelType w:val="hybridMultilevel"/>
    <w:tmpl w:val="3E6AC7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45C44B8"/>
    <w:multiLevelType w:val="hybridMultilevel"/>
    <w:tmpl w:val="353A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0311153">
    <w:abstractNumId w:val="5"/>
  </w:num>
  <w:num w:numId="2" w16cid:durableId="203374791">
    <w:abstractNumId w:val="7"/>
  </w:num>
  <w:num w:numId="3" w16cid:durableId="393286149">
    <w:abstractNumId w:val="8"/>
  </w:num>
  <w:num w:numId="4" w16cid:durableId="2072118893">
    <w:abstractNumId w:val="4"/>
  </w:num>
  <w:num w:numId="5" w16cid:durableId="930624515">
    <w:abstractNumId w:val="1"/>
  </w:num>
  <w:num w:numId="6" w16cid:durableId="1953051942">
    <w:abstractNumId w:val="2"/>
  </w:num>
  <w:num w:numId="7" w16cid:durableId="1266883289">
    <w:abstractNumId w:val="6"/>
  </w:num>
  <w:num w:numId="8" w16cid:durableId="737896359">
    <w:abstractNumId w:val="3"/>
  </w:num>
  <w:num w:numId="9" w16cid:durableId="633172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905"/>
    <w:rsid w:val="000148D1"/>
    <w:rsid w:val="00062103"/>
    <w:rsid w:val="00074220"/>
    <w:rsid w:val="000827FB"/>
    <w:rsid w:val="00091232"/>
    <w:rsid w:val="000B6296"/>
    <w:rsid w:val="000C3E2A"/>
    <w:rsid w:val="000F300E"/>
    <w:rsid w:val="001369C9"/>
    <w:rsid w:val="0019504D"/>
    <w:rsid w:val="00195550"/>
    <w:rsid w:val="001B0EBF"/>
    <w:rsid w:val="00205AD8"/>
    <w:rsid w:val="00247E5D"/>
    <w:rsid w:val="0029415A"/>
    <w:rsid w:val="002B509B"/>
    <w:rsid w:val="0030077E"/>
    <w:rsid w:val="0030442B"/>
    <w:rsid w:val="003144F3"/>
    <w:rsid w:val="004F1137"/>
    <w:rsid w:val="00544D62"/>
    <w:rsid w:val="00554093"/>
    <w:rsid w:val="005B61E5"/>
    <w:rsid w:val="00642938"/>
    <w:rsid w:val="00686565"/>
    <w:rsid w:val="006E7D5E"/>
    <w:rsid w:val="00713829"/>
    <w:rsid w:val="00730CA8"/>
    <w:rsid w:val="007457CB"/>
    <w:rsid w:val="00765A50"/>
    <w:rsid w:val="00767C97"/>
    <w:rsid w:val="00783ECE"/>
    <w:rsid w:val="007D0777"/>
    <w:rsid w:val="007D7C1C"/>
    <w:rsid w:val="007E5698"/>
    <w:rsid w:val="007F6D35"/>
    <w:rsid w:val="008D01F7"/>
    <w:rsid w:val="00936E23"/>
    <w:rsid w:val="009B46D7"/>
    <w:rsid w:val="00A5683B"/>
    <w:rsid w:val="00A65009"/>
    <w:rsid w:val="00AB6630"/>
    <w:rsid w:val="00AD6E2D"/>
    <w:rsid w:val="00B3224D"/>
    <w:rsid w:val="00BA4958"/>
    <w:rsid w:val="00CB1D1F"/>
    <w:rsid w:val="00D1795D"/>
    <w:rsid w:val="00D56D5C"/>
    <w:rsid w:val="00DA7A89"/>
    <w:rsid w:val="00E171F4"/>
    <w:rsid w:val="00E60A32"/>
    <w:rsid w:val="00EC4ECE"/>
    <w:rsid w:val="00ED3E21"/>
    <w:rsid w:val="00F523EB"/>
    <w:rsid w:val="00FC5905"/>
    <w:rsid w:val="00FD066C"/>
    <w:rsid w:val="00FE2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42475"/>
  <w15:chartTrackingRefBased/>
  <w15:docId w15:val="{D2AB6F11-C9F9-43E9-9620-AAB98F81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905"/>
  </w:style>
  <w:style w:type="paragraph" w:styleId="Footer">
    <w:name w:val="footer"/>
    <w:basedOn w:val="Normal"/>
    <w:link w:val="FooterChar"/>
    <w:uiPriority w:val="99"/>
    <w:unhideWhenUsed/>
    <w:rsid w:val="00FC5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905"/>
  </w:style>
  <w:style w:type="paragraph" w:styleId="ListParagraph">
    <w:name w:val="List Paragraph"/>
    <w:basedOn w:val="Normal"/>
    <w:uiPriority w:val="34"/>
    <w:qFormat/>
    <w:rsid w:val="00FC5905"/>
    <w:pPr>
      <w:ind w:left="720"/>
      <w:contextualSpacing/>
    </w:pPr>
  </w:style>
  <w:style w:type="table" w:styleId="TableGrid">
    <w:name w:val="Table Grid"/>
    <w:basedOn w:val="TableNormal"/>
    <w:uiPriority w:val="39"/>
    <w:rsid w:val="007D7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27FB"/>
    <w:rPr>
      <w:color w:val="0563C1" w:themeColor="hyperlink"/>
      <w:u w:val="single"/>
    </w:rPr>
  </w:style>
  <w:style w:type="character" w:styleId="UnresolvedMention">
    <w:name w:val="Unresolved Mention"/>
    <w:basedOn w:val="DefaultParagraphFont"/>
    <w:uiPriority w:val="99"/>
    <w:semiHidden/>
    <w:unhideWhenUsed/>
    <w:rsid w:val="00082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e%20of%20reasonable%20force%20Advice%20for%20headteachers,%20staff%20and%20governing%20bodies%20July%202013?subject=Use%20of%20Reasonable%20Force%20in%20School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1622</Words>
  <Characters>9250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James</dc:creator>
  <cp:keywords/>
  <dc:description/>
  <cp:lastModifiedBy>SKAPE Admin</cp:lastModifiedBy>
  <cp:revision>31</cp:revision>
  <dcterms:created xsi:type="dcterms:W3CDTF">2023-08-28T16:05:00Z</dcterms:created>
  <dcterms:modified xsi:type="dcterms:W3CDTF">2024-10-15T22:48:00Z</dcterms:modified>
</cp:coreProperties>
</file>