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4FB7" w14:textId="529CE758" w:rsidR="00993287" w:rsidRDefault="00993287" w:rsidP="009932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drawing>
          <wp:inline distT="0" distB="0" distL="0" distR="0" wp14:anchorId="15DEF493" wp14:editId="6C8706DD">
            <wp:extent cx="3146531" cy="1105320"/>
            <wp:effectExtent l="0" t="0" r="0" b="0"/>
            <wp:docPr id="1501200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005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5859" cy="111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1A04" w:rsidRPr="006E1A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drawing>
          <wp:inline distT="0" distB="0" distL="0" distR="0" wp14:anchorId="6863F22F" wp14:editId="528C92D3">
            <wp:extent cx="2339439" cy="672358"/>
            <wp:effectExtent l="0" t="0" r="3810" b="0"/>
            <wp:docPr id="1376946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466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7101" cy="67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4586D" w14:textId="77777777" w:rsidR="00993287" w:rsidRDefault="00993287" w:rsidP="00993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4D9319" w14:textId="3EDFE22B" w:rsidR="00993287" w:rsidRPr="00993287" w:rsidRDefault="00993287" w:rsidP="00993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While 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Plan N leaves excess charges uncovered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the structure of the local provider market and CMS limiting charge caps keep actual exposure near zero for almost all beneficiaries. </w:t>
      </w:r>
    </w:p>
    <w:p w14:paraId="7A4356F2" w14:textId="77777777" w:rsidR="00993287" w:rsidRP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3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Why the Risk in 34219 Is Extremely Low</w:t>
      </w:r>
    </w:p>
    <w:p w14:paraId="046B7F20" w14:textId="77777777" w:rsidR="00993287" w:rsidRPr="00993287" w:rsidRDefault="00993287" w:rsidP="00993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Local Network Participation: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Eight states prohibit excess charges by law (e.g., PA, NY, OH), but Florida is not one of them. However, over 98% of doctors nationwide who take Medicare are </w:t>
      </w:r>
      <w:proofErr w:type="gramStart"/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participating</w:t>
      </w:r>
      <w:proofErr w:type="gramEnd"/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providers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—</w:t>
      </w:r>
      <w:proofErr w:type="gramEnd"/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meaning they sign an agreement to accept Medicare assignment (Medicare’s approved rate) as payment in full. In the Manatee/Sarasota corridor, major hospital networks, imaging centers, and multi-specialty practices (such as Manatee Memorial, Lakewood Ranch Medical Center, and Sarasota Memorial) operate as participating providers. </w:t>
      </w:r>
    </w:p>
    <w:p w14:paraId="38576770" w14:textId="77777777" w:rsidR="00993287" w:rsidRPr="00993287" w:rsidRDefault="00993287" w:rsidP="00993287">
      <w:p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B230AD" w14:textId="653B8B2F" w:rsidR="00993287" w:rsidRPr="00993287" w:rsidRDefault="00993287" w:rsidP="00993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The "Limiting Charge" Math Caps the Worst Case: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doctor who does not accept assignment cannot bill whatever they want. Under federal rules, the Medicare fee schedule for non-participating doctors drops to 95% of the approved rate, and their maximum billing cap ("limiting charge") is 115% of that reduced amount. 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 xml:space="preserve">This means the maximum possible excess charge is </w:t>
      </w: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14:ligatures w14:val="none"/>
        </w:rPr>
        <w:t>9.25% above the standard Medicare rate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 xml:space="preserve">, not a full 15%: </w:t>
      </w:r>
    </w:p>
    <w:p w14:paraId="1A5E44A3" w14:textId="77777777" w:rsidR="00993287" w:rsidRPr="00993287" w:rsidRDefault="00993287" w:rsidP="0099328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 a $150 routine specialist consultation, the maximum excess exposure is around </w:t>
      </w: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$14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D7BD5E4" w14:textId="77777777" w:rsidR="00993287" w:rsidRDefault="00993287" w:rsidP="0099328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 an outpatient procedure where the Part B physician fee is $1,000, the maximum excess exposure is roughly </w:t>
      </w: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$92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3B93275" w14:textId="77777777" w:rsidR="00993287" w:rsidRPr="00993287" w:rsidRDefault="00993287" w:rsidP="0099328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8AD71A" w14:textId="6CAA0D22" w:rsidR="00993287" w:rsidRPr="00993287" w:rsidRDefault="00993287" w:rsidP="00993287">
      <w:pPr>
        <w:numPr>
          <w:ilvl w:val="0"/>
          <w:numId w:val="1"/>
        </w:num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Zero Inpatient Exposure: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Inpatient hospital room and board, nursing care, and surgery 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 xml:space="preserve">facility fees fall under Part A, where excess charges do not exist. Excess charges only apply to Part B physician services. 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 xml:space="preserve">  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Medicare Nationwide</w:t>
      </w:r>
    </w:p>
    <w:p w14:paraId="092C88E7" w14:textId="77777777" w:rsid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FDB3870" w14:textId="77777777" w:rsid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EFE2D37" w14:textId="77777777" w:rsidR="00631F7B" w:rsidRDefault="00631F7B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66AAE4E" w14:textId="6038D2DC" w:rsidR="00993287" w:rsidRP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3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What Plan N Policyholders Actually Experience</w:t>
      </w:r>
    </w:p>
    <w:p w14:paraId="05ADB71B" w14:textId="77777777" w:rsidR="00993287" w:rsidRPr="00993287" w:rsidRDefault="00993287" w:rsidP="00993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real trade-offs on Plan N in Manatee County are the built-in cost-sharing rules, not excess charges: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2835"/>
        <w:gridCol w:w="4200"/>
      </w:tblGrid>
      <w:tr w:rsidR="00993287" w:rsidRPr="00993287" w14:paraId="7BF9172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564632" w14:textId="77777777" w:rsidR="00993287" w:rsidRPr="00993287" w:rsidRDefault="00993287" w:rsidP="0099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Out-of-Pocket Item</w:t>
            </w:r>
          </w:p>
        </w:tc>
        <w:tc>
          <w:tcPr>
            <w:tcW w:w="0" w:type="auto"/>
            <w:vAlign w:val="center"/>
            <w:hideMark/>
          </w:tcPr>
          <w:p w14:paraId="2CCFDFA1" w14:textId="77777777" w:rsidR="00993287" w:rsidRPr="00993287" w:rsidRDefault="00993287" w:rsidP="0099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4"/>
                <w:szCs w:val="24"/>
                <w14:ligatures w14:val="none"/>
              </w:rPr>
              <w:t>Plan G</w:t>
            </w:r>
          </w:p>
        </w:tc>
        <w:tc>
          <w:tcPr>
            <w:tcW w:w="0" w:type="auto"/>
            <w:vAlign w:val="center"/>
            <w:hideMark/>
          </w:tcPr>
          <w:p w14:paraId="3DC2F9E2" w14:textId="77777777" w:rsidR="00993287" w:rsidRPr="00993287" w:rsidRDefault="00993287" w:rsidP="0099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4"/>
                <w:szCs w:val="24"/>
                <w14:ligatures w14:val="none"/>
              </w:rPr>
              <w:t>Plan N</w:t>
            </w:r>
          </w:p>
        </w:tc>
      </w:tr>
      <w:tr w:rsidR="00993287" w:rsidRPr="00993287" w14:paraId="2BE88F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970DC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Part B Deductible</w:t>
            </w:r>
          </w:p>
        </w:tc>
        <w:tc>
          <w:tcPr>
            <w:tcW w:w="0" w:type="auto"/>
            <w:vAlign w:val="center"/>
            <w:hideMark/>
          </w:tcPr>
          <w:p w14:paraId="056B64FE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Beneficiary </w:t>
            </w:r>
            <w:proofErr w:type="gramStart"/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pays</w:t>
            </w:r>
            <w:proofErr w:type="gramEnd"/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($283 in 2026)</w:t>
            </w:r>
          </w:p>
        </w:tc>
        <w:tc>
          <w:tcPr>
            <w:tcW w:w="0" w:type="auto"/>
            <w:vAlign w:val="center"/>
            <w:hideMark/>
          </w:tcPr>
          <w:p w14:paraId="040E192D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Beneficiary </w:t>
            </w:r>
            <w:proofErr w:type="gramStart"/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pays</w:t>
            </w:r>
            <w:proofErr w:type="gramEnd"/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($283 in 2026)</w:t>
            </w:r>
          </w:p>
        </w:tc>
      </w:tr>
      <w:tr w:rsidR="00993287" w:rsidRPr="00993287" w14:paraId="3BEFE8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7CE8D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Doctor Office Visits</w:t>
            </w:r>
          </w:p>
        </w:tc>
        <w:tc>
          <w:tcPr>
            <w:tcW w:w="0" w:type="auto"/>
            <w:vAlign w:val="center"/>
            <w:hideMark/>
          </w:tcPr>
          <w:p w14:paraId="3EEBA634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$0 after deductible</w:t>
            </w:r>
          </w:p>
        </w:tc>
        <w:tc>
          <w:tcPr>
            <w:tcW w:w="0" w:type="auto"/>
            <w:vAlign w:val="center"/>
            <w:hideMark/>
          </w:tcPr>
          <w:p w14:paraId="7153EE75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Up to </w:t>
            </w: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$20 copay</w:t>
            </w: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per visit</w:t>
            </w:r>
          </w:p>
        </w:tc>
      </w:tr>
      <w:tr w:rsidR="00993287" w:rsidRPr="00993287" w14:paraId="48F66A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99D00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Emergency Room Visits</w:t>
            </w:r>
          </w:p>
        </w:tc>
        <w:tc>
          <w:tcPr>
            <w:tcW w:w="0" w:type="auto"/>
            <w:vAlign w:val="center"/>
            <w:hideMark/>
          </w:tcPr>
          <w:p w14:paraId="3A991591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$0 after deductible</w:t>
            </w:r>
          </w:p>
        </w:tc>
        <w:tc>
          <w:tcPr>
            <w:tcW w:w="0" w:type="auto"/>
            <w:vAlign w:val="center"/>
            <w:hideMark/>
          </w:tcPr>
          <w:p w14:paraId="1DDD2C3A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Up to </w:t>
            </w: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$50 copay</w:t>
            </w: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(waived if admitted)</w:t>
            </w:r>
          </w:p>
        </w:tc>
      </w:tr>
      <w:tr w:rsidR="00993287" w:rsidRPr="00993287" w14:paraId="48A307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6BB13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Part B Excess Charges</w:t>
            </w:r>
          </w:p>
        </w:tc>
        <w:tc>
          <w:tcPr>
            <w:tcW w:w="0" w:type="auto"/>
            <w:vAlign w:val="center"/>
            <w:hideMark/>
          </w:tcPr>
          <w:p w14:paraId="70238E08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100% covered</w:t>
            </w:r>
          </w:p>
        </w:tc>
        <w:tc>
          <w:tcPr>
            <w:tcW w:w="0" w:type="auto"/>
            <w:vAlign w:val="center"/>
            <w:hideMark/>
          </w:tcPr>
          <w:p w14:paraId="1F0CC9B6" w14:textId="77777777" w:rsidR="00993287" w:rsidRPr="00993287" w:rsidRDefault="00993287" w:rsidP="00993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32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Not covered</w:t>
            </w:r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(9.25% limiting </w:t>
            </w:r>
            <w:proofErr w:type="gramStart"/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charge cap</w:t>
            </w:r>
            <w:proofErr w:type="gramEnd"/>
            <w:r w:rsidRPr="009932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applies)</w:t>
            </w:r>
          </w:p>
        </w:tc>
      </w:tr>
    </w:tbl>
    <w:p w14:paraId="15319B40" w14:textId="77777777" w:rsid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B571275" w14:textId="77777777" w:rsid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2C47B42" w14:textId="77777777" w:rsid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1724EDB" w14:textId="466BDB2F" w:rsidR="00993287" w:rsidRPr="00993287" w:rsidRDefault="00993287" w:rsidP="00993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558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How to Completely Avoid Them</w:t>
      </w:r>
    </w:p>
    <w:p w14:paraId="0947F4AA" w14:textId="77777777" w:rsidR="00993287" w:rsidRPr="00993287" w:rsidRDefault="00993287" w:rsidP="00993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ensure you never receive an excess charge bill:</w:t>
      </w:r>
    </w:p>
    <w:p w14:paraId="2881CDB7" w14:textId="77777777" w:rsidR="00993287" w:rsidRPr="00993287" w:rsidRDefault="00993287" w:rsidP="009932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5581F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Ask the billing question correctly</w:t>
      </w: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When booking with a new doctor, ask: </w:t>
      </w:r>
      <w:r w:rsidRPr="0099328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"Do you accept Medicare assignment?"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rather than </w:t>
      </w:r>
      <w:r w:rsidRPr="0099328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"Do you take Medicare?"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 affirmative answer guarantees zero excess charges.</w:t>
      </w:r>
    </w:p>
    <w:p w14:paraId="16BDA28D" w14:textId="77777777" w:rsidR="00993287" w:rsidRPr="00993287" w:rsidRDefault="00993287" w:rsidP="009932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5581F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Watch for Opt-Out Providers</w:t>
      </w:r>
      <w:r w:rsidRPr="009932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Neither Plan G nor Plan N covers doctors who have completely opted out of Medicare (such as concierge physicians or direct primary care clinics). Those visits require private payment contracts outside Medicare entirely. </w:t>
      </w:r>
    </w:p>
    <w:p w14:paraId="62A79127" w14:textId="77777777" w:rsidR="00993287" w:rsidRDefault="00993287" w:rsidP="00993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9E783E" w14:textId="22D1B8B4" w:rsidR="00993287" w:rsidRPr="00993287" w:rsidRDefault="00993287" w:rsidP="00993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2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If the monthly premium spread between Plan G and Plan N in 34219 is $30 to $50+ per month, the annual premium savings ($360–$600/year) typically far outweigh any potential copays or rare excess charge risks. </w:t>
      </w:r>
    </w:p>
    <w:p w14:paraId="01D1B6DC" w14:textId="77777777" w:rsidR="00135F78" w:rsidRDefault="00135F78"/>
    <w:sectPr w:rsidR="00135F78" w:rsidSect="0099328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BE41" w14:textId="77777777" w:rsidR="00DA27C6" w:rsidRDefault="00DA27C6" w:rsidP="00696938">
      <w:pPr>
        <w:spacing w:after="0" w:line="240" w:lineRule="auto"/>
      </w:pPr>
      <w:r>
        <w:separator/>
      </w:r>
    </w:p>
  </w:endnote>
  <w:endnote w:type="continuationSeparator" w:id="0">
    <w:p w14:paraId="5319C37B" w14:textId="77777777" w:rsidR="00DA27C6" w:rsidRDefault="00DA27C6" w:rsidP="0069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8142" w14:textId="77777777" w:rsidR="00696938" w:rsidRPr="00696938" w:rsidRDefault="00696938">
    <w:pPr>
      <w:pStyle w:val="Footer"/>
      <w:jc w:val="center"/>
      <w:rPr>
        <w:b/>
        <w:bCs/>
        <w:color w:val="4472C4" w:themeColor="accent1"/>
        <w:sz w:val="32"/>
        <w:szCs w:val="32"/>
      </w:rPr>
    </w:pPr>
    <w:r w:rsidRPr="00696938">
      <w:rPr>
        <w:b/>
        <w:bCs/>
        <w:color w:val="4472C4" w:themeColor="accent1"/>
        <w:sz w:val="32"/>
        <w:szCs w:val="32"/>
      </w:rPr>
      <w:t xml:space="preserve">Page </w:t>
    </w:r>
    <w:r w:rsidRPr="00696938">
      <w:rPr>
        <w:b/>
        <w:bCs/>
        <w:color w:val="4472C4" w:themeColor="accent1"/>
        <w:sz w:val="32"/>
        <w:szCs w:val="32"/>
      </w:rPr>
      <w:fldChar w:fldCharType="begin"/>
    </w:r>
    <w:r w:rsidRPr="00696938">
      <w:rPr>
        <w:b/>
        <w:bCs/>
        <w:color w:val="4472C4" w:themeColor="accent1"/>
        <w:sz w:val="32"/>
        <w:szCs w:val="32"/>
      </w:rPr>
      <w:instrText xml:space="preserve"> PAGE  \* Arabic  \* MERGEFORMAT </w:instrText>
    </w:r>
    <w:r w:rsidRPr="00696938">
      <w:rPr>
        <w:b/>
        <w:bCs/>
        <w:color w:val="4472C4" w:themeColor="accent1"/>
        <w:sz w:val="32"/>
        <w:szCs w:val="32"/>
      </w:rPr>
      <w:fldChar w:fldCharType="separate"/>
    </w:r>
    <w:r w:rsidRPr="00696938">
      <w:rPr>
        <w:b/>
        <w:bCs/>
        <w:noProof/>
        <w:color w:val="4472C4" w:themeColor="accent1"/>
        <w:sz w:val="32"/>
        <w:szCs w:val="32"/>
      </w:rPr>
      <w:t>2</w:t>
    </w:r>
    <w:r w:rsidRPr="00696938">
      <w:rPr>
        <w:b/>
        <w:bCs/>
        <w:color w:val="4472C4" w:themeColor="accent1"/>
        <w:sz w:val="32"/>
        <w:szCs w:val="32"/>
      </w:rPr>
      <w:fldChar w:fldCharType="end"/>
    </w:r>
    <w:r w:rsidRPr="00696938">
      <w:rPr>
        <w:b/>
        <w:bCs/>
        <w:color w:val="4472C4" w:themeColor="accent1"/>
        <w:sz w:val="32"/>
        <w:szCs w:val="32"/>
      </w:rPr>
      <w:t xml:space="preserve"> of </w:t>
    </w:r>
    <w:r w:rsidRPr="00696938">
      <w:rPr>
        <w:b/>
        <w:bCs/>
        <w:color w:val="4472C4" w:themeColor="accent1"/>
        <w:sz w:val="32"/>
        <w:szCs w:val="32"/>
      </w:rPr>
      <w:fldChar w:fldCharType="begin"/>
    </w:r>
    <w:r w:rsidRPr="00696938">
      <w:rPr>
        <w:b/>
        <w:bCs/>
        <w:color w:val="4472C4" w:themeColor="accent1"/>
        <w:sz w:val="32"/>
        <w:szCs w:val="32"/>
      </w:rPr>
      <w:instrText xml:space="preserve"> NUMPAGES  \* Arabic  \* MERGEFORMAT </w:instrText>
    </w:r>
    <w:r w:rsidRPr="00696938">
      <w:rPr>
        <w:b/>
        <w:bCs/>
        <w:color w:val="4472C4" w:themeColor="accent1"/>
        <w:sz w:val="32"/>
        <w:szCs w:val="32"/>
      </w:rPr>
      <w:fldChar w:fldCharType="separate"/>
    </w:r>
    <w:r w:rsidRPr="00696938">
      <w:rPr>
        <w:b/>
        <w:bCs/>
        <w:noProof/>
        <w:color w:val="4472C4" w:themeColor="accent1"/>
        <w:sz w:val="32"/>
        <w:szCs w:val="32"/>
      </w:rPr>
      <w:t>2</w:t>
    </w:r>
    <w:r w:rsidRPr="00696938">
      <w:rPr>
        <w:b/>
        <w:bCs/>
        <w:color w:val="4472C4" w:themeColor="accent1"/>
        <w:sz w:val="32"/>
        <w:szCs w:val="32"/>
      </w:rPr>
      <w:fldChar w:fldCharType="end"/>
    </w:r>
  </w:p>
  <w:p w14:paraId="2702F0B4" w14:textId="77777777" w:rsidR="00696938" w:rsidRDefault="00696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0DCC2" w14:textId="77777777" w:rsidR="00DA27C6" w:rsidRDefault="00DA27C6" w:rsidP="00696938">
      <w:pPr>
        <w:spacing w:after="0" w:line="240" w:lineRule="auto"/>
      </w:pPr>
      <w:r>
        <w:separator/>
      </w:r>
    </w:p>
  </w:footnote>
  <w:footnote w:type="continuationSeparator" w:id="0">
    <w:p w14:paraId="6D663F67" w14:textId="77777777" w:rsidR="00DA27C6" w:rsidRDefault="00DA27C6" w:rsidP="00696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F15D7"/>
    <w:multiLevelType w:val="multilevel"/>
    <w:tmpl w:val="2910B8F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0F57D6"/>
    <w:multiLevelType w:val="multilevel"/>
    <w:tmpl w:val="09B60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000353">
    <w:abstractNumId w:val="0"/>
  </w:num>
  <w:num w:numId="2" w16cid:durableId="936910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87"/>
    <w:rsid w:val="00135F78"/>
    <w:rsid w:val="00301EB9"/>
    <w:rsid w:val="00631F7B"/>
    <w:rsid w:val="00696938"/>
    <w:rsid w:val="006E1A04"/>
    <w:rsid w:val="00993287"/>
    <w:rsid w:val="00DA27C6"/>
    <w:rsid w:val="00E5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EB565"/>
  <w15:chartTrackingRefBased/>
  <w15:docId w15:val="{D5114347-AD23-4DDD-9F2A-53CB9974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2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2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2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2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2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2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2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2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2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28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6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938"/>
  </w:style>
  <w:style w:type="paragraph" w:styleId="Footer">
    <w:name w:val="footer"/>
    <w:basedOn w:val="Normal"/>
    <w:link w:val="FooterChar"/>
    <w:uiPriority w:val="99"/>
    <w:unhideWhenUsed/>
    <w:rsid w:val="00696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13147E272450469F0BD1B5405CB504" ma:contentTypeVersion="15" ma:contentTypeDescription="Create a new document." ma:contentTypeScope="" ma:versionID="47972a1b80ea05dd490d7a198ada4fab">
  <xsd:schema xmlns:xsd="http://www.w3.org/2001/XMLSchema" xmlns:xs="http://www.w3.org/2001/XMLSchema" xmlns:p="http://schemas.microsoft.com/office/2006/metadata/properties" xmlns:ns2="8f996f3f-937b-4843-bb58-dc8b34614da5" xmlns:ns3="e4772e38-ad01-4ca3-b7e9-c7c91f6f425b" targetNamespace="http://schemas.microsoft.com/office/2006/metadata/properties" ma:root="true" ma:fieldsID="766aded4e9903bdb52ec32c8695a8c7d" ns2:_="" ns3:_="">
    <xsd:import namespace="8f996f3f-937b-4843-bb58-dc8b34614da5"/>
    <xsd:import namespace="e4772e38-ad01-4ca3-b7e9-c7c91f6f4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96f3f-937b-4843-bb58-dc8b34614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8ea56d-8f0b-4085-ae7c-002de4b6b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72e38-ad01-4ca3-b7e9-c7c91f6f42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97a0eb-d955-4225-a430-2bfe93f326b9}" ma:internalName="TaxCatchAll" ma:showField="CatchAllData" ma:web="e4772e38-ad01-4ca3-b7e9-c7c91f6f4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772e38-ad01-4ca3-b7e9-c7c91f6f425b" xsi:nil="true"/>
    <lcf76f155ced4ddcb4097134ff3c332f xmlns="8f996f3f-937b-4843-bb58-dc8b34614d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C4B6DF-849D-4C2A-BD86-A5306249650F}"/>
</file>

<file path=customXml/itemProps2.xml><?xml version="1.0" encoding="utf-8"?>
<ds:datastoreItem xmlns:ds="http://schemas.openxmlformats.org/officeDocument/2006/customXml" ds:itemID="{B9FCDDAA-4E9A-4F1E-8D03-3B6A698A2029}"/>
</file>

<file path=customXml/itemProps3.xml><?xml version="1.0" encoding="utf-8"?>
<ds:datastoreItem xmlns:ds="http://schemas.openxmlformats.org/officeDocument/2006/customXml" ds:itemID="{5E5AE0D0-D2A0-4D93-A222-D1DF6EC802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Clausen</dc:creator>
  <cp:keywords/>
  <dc:description/>
  <cp:lastModifiedBy>Lynne Clausen</cp:lastModifiedBy>
  <cp:revision>5</cp:revision>
  <cp:lastPrinted>2026-10-23T16:00:00Z</cp:lastPrinted>
  <dcterms:created xsi:type="dcterms:W3CDTF">2026-10-23T15:48:00Z</dcterms:created>
  <dcterms:modified xsi:type="dcterms:W3CDTF">2026-10-23T16:00:00Z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0x0101002D13147E272450469F0BD1B5405CB504</vt:lpwstr>
  </property>
</Properties>
</file>