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A858" w14:textId="77777777" w:rsidR="0030591E" w:rsidRPr="0030591E" w:rsidRDefault="0030591E" w:rsidP="0030591E">
      <w:pPr>
        <w:shd w:val="clear" w:color="auto" w:fill="FFFFFF"/>
        <w:spacing w:after="0" w:line="240" w:lineRule="auto"/>
        <w:outlineLvl w:val="0"/>
        <w:rPr>
          <w:rFonts w:ascii="Arial" w:eastAsia="Times New Roman" w:hAnsi="Arial" w:cs="Arial"/>
          <w:color w:val="121A3B"/>
          <w:spacing w:val="-5"/>
          <w:kern w:val="36"/>
          <w:sz w:val="48"/>
          <w:szCs w:val="48"/>
          <w14:ligatures w14:val="none"/>
        </w:rPr>
      </w:pPr>
      <w:r w:rsidRPr="0030591E">
        <w:rPr>
          <w:rFonts w:ascii="Arial" w:eastAsia="Times New Roman" w:hAnsi="Arial" w:cs="Arial"/>
          <w:color w:val="121A3B"/>
          <w:spacing w:val="-5"/>
          <w:kern w:val="36"/>
          <w:sz w:val="48"/>
          <w:szCs w:val="48"/>
          <w14:ligatures w14:val="none"/>
        </w:rPr>
        <w:t>How much ICHRA money should you give your employees in 2025? </w:t>
      </w:r>
    </w:p>
    <w:p w14:paraId="23AF7B30" w14:textId="77777777" w:rsidR="002B4014" w:rsidRDefault="002B4014"/>
    <w:p w14:paraId="1D23E6BC" w14:textId="77777777" w:rsidR="0030591E" w:rsidRDefault="0030591E"/>
    <w:p w14:paraId="4674D60E" w14:textId="6069CF1B"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 xml:space="preserve">As we approach January 1, it's time to set your ICHRA Funding Strategy for </w:t>
      </w:r>
      <w:r w:rsidR="00E13545">
        <w:rPr>
          <w:rFonts w:ascii="Arial" w:eastAsia="Times New Roman" w:hAnsi="Arial" w:cs="Arial"/>
          <w:color w:val="121A3B"/>
          <w:kern w:val="0"/>
          <w:sz w:val="24"/>
          <w:szCs w:val="24"/>
          <w14:ligatures w14:val="none"/>
        </w:rPr>
        <w:t>the new year</w:t>
      </w:r>
      <w:r w:rsidRPr="0030591E">
        <w:rPr>
          <w:rFonts w:ascii="Arial" w:eastAsia="Times New Roman" w:hAnsi="Arial" w:cs="Arial"/>
          <w:color w:val="121A3B"/>
          <w:kern w:val="0"/>
          <w:sz w:val="24"/>
          <w:szCs w:val="24"/>
          <w14:ligatures w14:val="none"/>
        </w:rPr>
        <w:t xml:space="preserve"> and decide how much to provide your employees for health insurance. In this post, we answer frequently asked questions that we've received from our clients.</w:t>
      </w:r>
    </w:p>
    <w:p w14:paraId="0B44A8C3" w14:textId="77777777" w:rsidR="0030591E" w:rsidRPr="0030591E" w:rsidRDefault="0030591E" w:rsidP="003A6BA7">
      <w:pPr>
        <w:shd w:val="clear" w:color="auto" w:fill="FFFFFF"/>
        <w:spacing w:before="100" w:beforeAutospacing="1" w:after="100" w:afterAutospacing="1" w:line="240" w:lineRule="auto"/>
        <w:outlineLvl w:val="1"/>
        <w:rPr>
          <w:rFonts w:ascii="Arial" w:eastAsia="Times New Roman" w:hAnsi="Arial" w:cs="Arial"/>
          <w:b/>
          <w:bCs/>
          <w:color w:val="EE0000"/>
          <w:spacing w:val="-5"/>
          <w:kern w:val="0"/>
          <w:sz w:val="36"/>
          <w:szCs w:val="36"/>
          <w14:ligatures w14:val="none"/>
        </w:rPr>
      </w:pPr>
      <w:r w:rsidRPr="0030591E">
        <w:rPr>
          <w:rFonts w:ascii="Arial" w:eastAsia="Times New Roman" w:hAnsi="Arial" w:cs="Arial"/>
          <w:b/>
          <w:bCs/>
          <w:color w:val="EE0000"/>
          <w:spacing w:val="-5"/>
          <w:kern w:val="0"/>
          <w:sz w:val="36"/>
          <w:szCs w:val="36"/>
          <w14:ligatures w14:val="none"/>
        </w:rPr>
        <w:t>What Are My Options for 2025?</w:t>
      </w:r>
    </w:p>
    <w:p w14:paraId="640AF3DD"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As an employer, you have a range of flexible options at your disposal:</w:t>
      </w:r>
    </w:p>
    <w:p w14:paraId="133A59E0" w14:textId="77777777" w:rsidR="0030591E" w:rsidRPr="0030591E" w:rsidRDefault="0030591E" w:rsidP="0030591E">
      <w:pPr>
        <w:shd w:val="clear" w:color="auto" w:fill="FFFFFF"/>
        <w:spacing w:before="100" w:beforeAutospacing="1" w:after="100" w:afterAutospacing="1" w:line="240" w:lineRule="auto"/>
        <w:outlineLvl w:val="2"/>
        <w:rPr>
          <w:rFonts w:ascii="Arial" w:eastAsia="Times New Roman" w:hAnsi="Arial" w:cs="Arial"/>
          <w:color w:val="121A3B"/>
          <w:spacing w:val="-5"/>
          <w:kern w:val="0"/>
          <w:sz w:val="27"/>
          <w:szCs w:val="27"/>
          <w14:ligatures w14:val="none"/>
        </w:rPr>
      </w:pPr>
      <w:r w:rsidRPr="0030591E">
        <w:rPr>
          <w:rFonts w:ascii="Arial" w:eastAsia="Times New Roman" w:hAnsi="Arial" w:cs="Arial"/>
          <w:color w:val="121A3B"/>
          <w:spacing w:val="-5"/>
          <w:kern w:val="0"/>
          <w:sz w:val="27"/>
          <w:szCs w:val="27"/>
          <w14:ligatures w14:val="none"/>
        </w:rPr>
        <w:t>Option 1: Keep Your ICHRA Funding Strategy the Same</w:t>
      </w:r>
    </w:p>
    <w:p w14:paraId="4096B221" w14:textId="40068CBC"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If your current approach is working well and employees are happy, you can choose to maintain it. You'll stick with the same "method" (percentage-based or flat-dollar contributions), but your costs will adjust based on local insurance rates. For example, we decided to keep our 2025 ICHRA Funding the same as 2024, which resulted in a 5% increase in overall cost. </w:t>
      </w:r>
    </w:p>
    <w:p w14:paraId="703C67F7" w14:textId="77777777" w:rsidR="0030591E" w:rsidRPr="0030591E" w:rsidRDefault="0030591E" w:rsidP="0030591E">
      <w:pPr>
        <w:shd w:val="clear" w:color="auto" w:fill="FFFFFF"/>
        <w:spacing w:before="100" w:beforeAutospacing="1" w:after="100" w:afterAutospacing="1" w:line="240" w:lineRule="auto"/>
        <w:outlineLvl w:val="2"/>
        <w:rPr>
          <w:rFonts w:ascii="Arial" w:eastAsia="Times New Roman" w:hAnsi="Arial" w:cs="Arial"/>
          <w:color w:val="121A3B"/>
          <w:spacing w:val="-5"/>
          <w:kern w:val="0"/>
          <w:sz w:val="27"/>
          <w:szCs w:val="27"/>
          <w14:ligatures w14:val="none"/>
        </w:rPr>
      </w:pPr>
      <w:r w:rsidRPr="0030591E">
        <w:rPr>
          <w:rFonts w:ascii="Arial" w:eastAsia="Times New Roman" w:hAnsi="Arial" w:cs="Arial"/>
          <w:color w:val="121A3B"/>
          <w:spacing w:val="-5"/>
          <w:kern w:val="0"/>
          <w:sz w:val="27"/>
          <w:szCs w:val="27"/>
          <w14:ligatures w14:val="none"/>
        </w:rPr>
        <w:t>Option 2: Keep Your Budget the Same, Adjust Your Strategy</w:t>
      </w:r>
    </w:p>
    <w:p w14:paraId="586D4F9D"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If you prefer to keep your overall budget unchanged, you can adjust your strategy instead. This may involve reducing your contribution percentages or shifting your employee classifications to fit the available budget better while providing adequate coverage options. The con of this approach is that your employees may have to pay more for their health insurance premiums if they keep the same plan.</w:t>
      </w:r>
    </w:p>
    <w:p w14:paraId="74940EA0" w14:textId="77777777" w:rsidR="0030591E" w:rsidRPr="0030591E" w:rsidRDefault="0030591E" w:rsidP="0030591E">
      <w:pPr>
        <w:shd w:val="clear" w:color="auto" w:fill="FFFFFF"/>
        <w:spacing w:before="100" w:beforeAutospacing="1" w:after="100" w:afterAutospacing="1" w:line="240" w:lineRule="auto"/>
        <w:outlineLvl w:val="2"/>
        <w:rPr>
          <w:rFonts w:ascii="Arial" w:eastAsia="Times New Roman" w:hAnsi="Arial" w:cs="Arial"/>
          <w:color w:val="121A3B"/>
          <w:spacing w:val="-5"/>
          <w:kern w:val="0"/>
          <w:sz w:val="27"/>
          <w:szCs w:val="27"/>
          <w14:ligatures w14:val="none"/>
        </w:rPr>
      </w:pPr>
      <w:r w:rsidRPr="0030591E">
        <w:rPr>
          <w:rFonts w:ascii="Arial" w:eastAsia="Times New Roman" w:hAnsi="Arial" w:cs="Arial"/>
          <w:color w:val="121A3B"/>
          <w:spacing w:val="-5"/>
          <w:kern w:val="0"/>
          <w:sz w:val="27"/>
          <w:szCs w:val="27"/>
          <w14:ligatures w14:val="none"/>
        </w:rPr>
        <w:t>Option 3:Try Something Completely New</w:t>
      </w:r>
    </w:p>
    <w:p w14:paraId="6F021319" w14:textId="5651E5F5"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You have the flexibility to implement an entirely new strategy. This could mean exploring different contribution models, adjusting your employee classes, or setting up additional perks to attract and retain talent in a competitive market. Current customers can access financial modeling tools in their employer portal that will allow them to model different scenarios.</w:t>
      </w:r>
    </w:p>
    <w:p w14:paraId="3DA39367" w14:textId="77777777" w:rsidR="0030591E" w:rsidRPr="0030591E" w:rsidRDefault="0030591E" w:rsidP="0030591E">
      <w:pPr>
        <w:shd w:val="clear" w:color="auto" w:fill="FFFFFF"/>
        <w:spacing w:before="100" w:beforeAutospacing="1" w:after="100" w:afterAutospacing="1" w:line="240" w:lineRule="auto"/>
        <w:outlineLvl w:val="1"/>
        <w:rPr>
          <w:rFonts w:ascii="Arial" w:eastAsia="Times New Roman" w:hAnsi="Arial" w:cs="Arial"/>
          <w:b/>
          <w:bCs/>
          <w:color w:val="EE0000"/>
          <w:spacing w:val="-5"/>
          <w:kern w:val="0"/>
          <w:sz w:val="36"/>
          <w:szCs w:val="36"/>
          <w14:ligatures w14:val="none"/>
        </w:rPr>
      </w:pPr>
      <w:r w:rsidRPr="0030591E">
        <w:rPr>
          <w:rFonts w:ascii="Arial" w:eastAsia="Times New Roman" w:hAnsi="Arial" w:cs="Arial"/>
          <w:b/>
          <w:bCs/>
          <w:color w:val="EE0000"/>
          <w:spacing w:val="-5"/>
          <w:kern w:val="0"/>
          <w:sz w:val="36"/>
          <w:szCs w:val="36"/>
          <w14:ligatures w14:val="none"/>
        </w:rPr>
        <w:t>What Is an "Affordable" ICHRA Funding Strategy?</w:t>
      </w:r>
    </w:p>
    <w:p w14:paraId="475AB0DB"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There are two definitions to consider:</w:t>
      </w:r>
    </w:p>
    <w:p w14:paraId="7D3FA49C" w14:textId="77777777" w:rsidR="0030591E" w:rsidRPr="0030591E" w:rsidRDefault="0030591E" w:rsidP="0030591E">
      <w:pPr>
        <w:shd w:val="clear" w:color="auto" w:fill="FFFFFF"/>
        <w:spacing w:before="100" w:beforeAutospacing="1" w:after="100" w:afterAutospacing="1" w:line="240" w:lineRule="auto"/>
        <w:outlineLvl w:val="3"/>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The Legal Definition:</w:t>
      </w:r>
    </w:p>
    <w:p w14:paraId="0D9AF9D3"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The IRS has defined affordability guidelines under which employers need to ensure their ICHRA offerings are affordable, or they could face penalties. For 2025, your employees' share of health insurance premium costs cannot exceed </w:t>
      </w:r>
      <w:hyperlink r:id="rId8" w:tgtFrame="_blank" w:history="1">
        <w:r w:rsidRPr="0030591E">
          <w:rPr>
            <w:rFonts w:ascii="Arial" w:eastAsia="Times New Roman" w:hAnsi="Arial" w:cs="Arial"/>
            <w:color w:val="249CF5"/>
            <w:kern w:val="0"/>
            <w:sz w:val="24"/>
            <w:szCs w:val="24"/>
            <w:u w:val="single"/>
            <w14:ligatures w14:val="none"/>
          </w:rPr>
          <w:t>9.02% of their household income</w:t>
        </w:r>
      </w:hyperlink>
      <w:r w:rsidRPr="0030591E">
        <w:rPr>
          <w:rFonts w:ascii="Arial" w:eastAsia="Times New Roman" w:hAnsi="Arial" w:cs="Arial"/>
          <w:color w:val="121A3B"/>
          <w:kern w:val="0"/>
          <w:sz w:val="24"/>
          <w:szCs w:val="24"/>
          <w14:ligatures w14:val="none"/>
        </w:rPr>
        <w:t>. </w:t>
      </w:r>
    </w:p>
    <w:p w14:paraId="0D6EBE97" w14:textId="77777777" w:rsidR="0030591E" w:rsidRPr="0030591E" w:rsidRDefault="0030591E" w:rsidP="0030591E">
      <w:pPr>
        <w:shd w:val="clear" w:color="auto" w:fill="FFFFFF"/>
        <w:spacing w:before="100" w:beforeAutospacing="1" w:after="100" w:afterAutospacing="1" w:line="240" w:lineRule="auto"/>
        <w:outlineLvl w:val="3"/>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The Functional Definition:</w:t>
      </w:r>
    </w:p>
    <w:p w14:paraId="6C925D67" w14:textId="77777777" w:rsid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Beyond legal compliance, an "affordable" strategy should balance company financials with employee needs. This means ensuring that your employees can reasonably afford the insurance options available to them under your plan without feeling financial strain.</w:t>
      </w:r>
    </w:p>
    <w:p w14:paraId="222C9440" w14:textId="77777777" w:rsidR="00055C44" w:rsidRDefault="00055C44"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p>
    <w:p w14:paraId="507E2A71" w14:textId="77777777" w:rsidR="002D3EB1" w:rsidRPr="002D3EB1" w:rsidRDefault="002D3EB1" w:rsidP="002D3E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3EB1">
        <w:rPr>
          <w:rFonts w:ascii="Segoe UI Emoji" w:eastAsia="Times New Roman" w:hAnsi="Segoe UI Emoji" w:cs="Segoe UI Emoji"/>
          <w:b/>
          <w:bCs/>
          <w:kern w:val="0"/>
          <w:sz w:val="27"/>
          <w:szCs w:val="27"/>
          <w14:ligatures w14:val="none"/>
        </w:rPr>
        <w:t>🔍</w:t>
      </w:r>
      <w:r w:rsidRPr="002D3EB1">
        <w:rPr>
          <w:rFonts w:ascii="Times New Roman" w:eastAsia="Times New Roman" w:hAnsi="Times New Roman" w:cs="Times New Roman"/>
          <w:b/>
          <w:bCs/>
          <w:kern w:val="0"/>
          <w:sz w:val="27"/>
          <w:szCs w:val="27"/>
          <w14:ligatures w14:val="none"/>
        </w:rPr>
        <w:t xml:space="preserve"> Understanding the 9.02% Affordability Rule (2025)</w:t>
      </w:r>
    </w:p>
    <w:p w14:paraId="132F135C" w14:textId="77777777" w:rsidR="002D3EB1" w:rsidRPr="002D3EB1" w:rsidRDefault="002D3EB1" w:rsidP="002D3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For </w:t>
      </w:r>
      <w:r w:rsidRPr="002D3EB1">
        <w:rPr>
          <w:rFonts w:ascii="Times New Roman" w:eastAsia="Times New Roman" w:hAnsi="Times New Roman" w:cs="Times New Roman"/>
          <w:b/>
          <w:bCs/>
          <w:kern w:val="0"/>
          <w:sz w:val="24"/>
          <w:szCs w:val="24"/>
          <w14:ligatures w14:val="none"/>
        </w:rPr>
        <w:t>2025</w:t>
      </w:r>
      <w:r w:rsidRPr="002D3EB1">
        <w:rPr>
          <w:rFonts w:ascii="Times New Roman" w:eastAsia="Times New Roman" w:hAnsi="Times New Roman" w:cs="Times New Roman"/>
          <w:kern w:val="0"/>
          <w:sz w:val="24"/>
          <w:szCs w:val="24"/>
          <w14:ligatures w14:val="none"/>
        </w:rPr>
        <w:t xml:space="preserve">, employer-sponsored health insurance is considered </w:t>
      </w:r>
      <w:r w:rsidRPr="002D3EB1">
        <w:rPr>
          <w:rFonts w:ascii="Times New Roman" w:eastAsia="Times New Roman" w:hAnsi="Times New Roman" w:cs="Times New Roman"/>
          <w:b/>
          <w:bCs/>
          <w:kern w:val="0"/>
          <w:sz w:val="24"/>
          <w:szCs w:val="24"/>
          <w14:ligatures w14:val="none"/>
        </w:rPr>
        <w:t>"affordable"</w:t>
      </w:r>
      <w:r w:rsidRPr="002D3EB1">
        <w:rPr>
          <w:rFonts w:ascii="Times New Roman" w:eastAsia="Times New Roman" w:hAnsi="Times New Roman" w:cs="Times New Roman"/>
          <w:kern w:val="0"/>
          <w:sz w:val="24"/>
          <w:szCs w:val="24"/>
          <w14:ligatures w14:val="none"/>
        </w:rPr>
        <w:t xml:space="preserve"> if the </w:t>
      </w:r>
      <w:r w:rsidRPr="002D3EB1">
        <w:rPr>
          <w:rFonts w:ascii="Times New Roman" w:eastAsia="Times New Roman" w:hAnsi="Times New Roman" w:cs="Times New Roman"/>
          <w:b/>
          <w:bCs/>
          <w:kern w:val="0"/>
          <w:sz w:val="24"/>
          <w:szCs w:val="24"/>
          <w14:ligatures w14:val="none"/>
        </w:rPr>
        <w:t>employee’s required contribution</w:t>
      </w:r>
      <w:r w:rsidRPr="002D3EB1">
        <w:rPr>
          <w:rFonts w:ascii="Times New Roman" w:eastAsia="Times New Roman" w:hAnsi="Times New Roman" w:cs="Times New Roman"/>
          <w:kern w:val="0"/>
          <w:sz w:val="24"/>
          <w:szCs w:val="24"/>
          <w14:ligatures w14:val="none"/>
        </w:rPr>
        <w:t xml:space="preserve"> for </w:t>
      </w:r>
      <w:r w:rsidRPr="002D3EB1">
        <w:rPr>
          <w:rFonts w:ascii="Times New Roman" w:eastAsia="Times New Roman" w:hAnsi="Times New Roman" w:cs="Times New Roman"/>
          <w:b/>
          <w:bCs/>
          <w:kern w:val="0"/>
          <w:sz w:val="24"/>
          <w:szCs w:val="24"/>
          <w14:ligatures w14:val="none"/>
        </w:rPr>
        <w:t>self-only coverage</w:t>
      </w:r>
      <w:r w:rsidRPr="002D3EB1">
        <w:rPr>
          <w:rFonts w:ascii="Times New Roman" w:eastAsia="Times New Roman" w:hAnsi="Times New Roman" w:cs="Times New Roman"/>
          <w:kern w:val="0"/>
          <w:sz w:val="24"/>
          <w:szCs w:val="24"/>
          <w14:ligatures w14:val="none"/>
        </w:rPr>
        <w:t xml:space="preserve"> does </w:t>
      </w:r>
      <w:r w:rsidRPr="002D3EB1">
        <w:rPr>
          <w:rFonts w:ascii="Times New Roman" w:eastAsia="Times New Roman" w:hAnsi="Times New Roman" w:cs="Times New Roman"/>
          <w:b/>
          <w:bCs/>
          <w:kern w:val="0"/>
          <w:sz w:val="24"/>
          <w:szCs w:val="24"/>
          <w14:ligatures w14:val="none"/>
        </w:rPr>
        <w:t>not exceed 9.02%</w:t>
      </w:r>
      <w:r w:rsidRPr="002D3EB1">
        <w:rPr>
          <w:rFonts w:ascii="Times New Roman" w:eastAsia="Times New Roman" w:hAnsi="Times New Roman" w:cs="Times New Roman"/>
          <w:kern w:val="0"/>
          <w:sz w:val="24"/>
          <w:szCs w:val="24"/>
          <w14:ligatures w14:val="none"/>
        </w:rPr>
        <w:t xml:space="preserve"> of their </w:t>
      </w:r>
      <w:r w:rsidRPr="002D3EB1">
        <w:rPr>
          <w:rFonts w:ascii="Times New Roman" w:eastAsia="Times New Roman" w:hAnsi="Times New Roman" w:cs="Times New Roman"/>
          <w:b/>
          <w:bCs/>
          <w:kern w:val="0"/>
          <w:sz w:val="24"/>
          <w:szCs w:val="24"/>
          <w14:ligatures w14:val="none"/>
        </w:rPr>
        <w:t>household income</w:t>
      </w:r>
      <w:r w:rsidRPr="002D3EB1">
        <w:rPr>
          <w:rFonts w:ascii="Times New Roman" w:eastAsia="Times New Roman" w:hAnsi="Times New Roman" w:cs="Times New Roman"/>
          <w:kern w:val="0"/>
          <w:sz w:val="24"/>
          <w:szCs w:val="24"/>
          <w14:ligatures w14:val="none"/>
        </w:rPr>
        <w:t>.</w:t>
      </w:r>
    </w:p>
    <w:p w14:paraId="10066FE4" w14:textId="77777777" w:rsidR="002D3EB1" w:rsidRPr="002D3EB1" w:rsidRDefault="002D3EB1" w:rsidP="002D3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The catch? Employers </w:t>
      </w:r>
      <w:r w:rsidRPr="002D3EB1">
        <w:rPr>
          <w:rFonts w:ascii="Times New Roman" w:eastAsia="Times New Roman" w:hAnsi="Times New Roman" w:cs="Times New Roman"/>
          <w:b/>
          <w:bCs/>
          <w:kern w:val="0"/>
          <w:sz w:val="24"/>
          <w:szCs w:val="24"/>
          <w14:ligatures w14:val="none"/>
        </w:rPr>
        <w:t>usually don’t know</w:t>
      </w:r>
      <w:r w:rsidRPr="002D3EB1">
        <w:rPr>
          <w:rFonts w:ascii="Times New Roman" w:eastAsia="Times New Roman" w:hAnsi="Times New Roman" w:cs="Times New Roman"/>
          <w:kern w:val="0"/>
          <w:sz w:val="24"/>
          <w:szCs w:val="24"/>
          <w14:ligatures w14:val="none"/>
        </w:rPr>
        <w:t xml:space="preserve"> an employee’s full household income. So the IRS provides </w:t>
      </w:r>
      <w:r w:rsidRPr="002D3EB1">
        <w:rPr>
          <w:rFonts w:ascii="Times New Roman" w:eastAsia="Times New Roman" w:hAnsi="Times New Roman" w:cs="Times New Roman"/>
          <w:b/>
          <w:bCs/>
          <w:kern w:val="0"/>
          <w:sz w:val="24"/>
          <w:szCs w:val="24"/>
          <w14:ligatures w14:val="none"/>
        </w:rPr>
        <w:t>safe harbors</w:t>
      </w:r>
      <w:r w:rsidRPr="002D3EB1">
        <w:rPr>
          <w:rFonts w:ascii="Times New Roman" w:eastAsia="Times New Roman" w:hAnsi="Times New Roman" w:cs="Times New Roman"/>
          <w:kern w:val="0"/>
          <w:sz w:val="24"/>
          <w:szCs w:val="24"/>
          <w14:ligatures w14:val="none"/>
        </w:rPr>
        <w:t>.</w:t>
      </w:r>
    </w:p>
    <w:p w14:paraId="61FF2B88" w14:textId="77777777" w:rsidR="002D3EB1" w:rsidRPr="002D3EB1" w:rsidRDefault="009E457D" w:rsidP="002D3EB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4354C60">
          <v:rect id="_x0000_i1025" style="width:0;height:1.5pt" o:hralign="center" o:hrstd="t" o:hr="t" fillcolor="#a0a0a0" stroked="f"/>
        </w:pict>
      </w:r>
    </w:p>
    <w:p w14:paraId="1535F8F8" w14:textId="77777777" w:rsidR="002D3EB1" w:rsidRPr="002D3EB1" w:rsidRDefault="002D3EB1" w:rsidP="002D3E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3EB1">
        <w:rPr>
          <w:rFonts w:ascii="Segoe UI Emoji" w:eastAsia="Times New Roman" w:hAnsi="Segoe UI Emoji" w:cs="Segoe UI Emoji"/>
          <w:b/>
          <w:bCs/>
          <w:kern w:val="0"/>
          <w:sz w:val="27"/>
          <w:szCs w:val="27"/>
          <w14:ligatures w14:val="none"/>
        </w:rPr>
        <w:t>✅</w:t>
      </w:r>
      <w:r w:rsidRPr="002D3EB1">
        <w:rPr>
          <w:rFonts w:ascii="Times New Roman" w:eastAsia="Times New Roman" w:hAnsi="Times New Roman" w:cs="Times New Roman"/>
          <w:b/>
          <w:bCs/>
          <w:kern w:val="0"/>
          <w:sz w:val="27"/>
          <w:szCs w:val="27"/>
          <w14:ligatures w14:val="none"/>
        </w:rPr>
        <w:t xml:space="preserve"> Three IRS Safe Harbors for Employers</w:t>
      </w:r>
    </w:p>
    <w:p w14:paraId="529CFF89" w14:textId="77777777" w:rsidR="002D3EB1" w:rsidRPr="002D3EB1" w:rsidRDefault="002D3EB1" w:rsidP="002D3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Instead of guessing household income, employers can use one of these </w:t>
      </w:r>
      <w:r w:rsidRPr="002D3EB1">
        <w:rPr>
          <w:rFonts w:ascii="Times New Roman" w:eastAsia="Times New Roman" w:hAnsi="Times New Roman" w:cs="Times New Roman"/>
          <w:b/>
          <w:bCs/>
          <w:kern w:val="0"/>
          <w:sz w:val="24"/>
          <w:szCs w:val="24"/>
          <w14:ligatures w14:val="none"/>
        </w:rPr>
        <w:t>safe harbors</w:t>
      </w:r>
      <w:r w:rsidRPr="002D3EB1">
        <w:rPr>
          <w:rFonts w:ascii="Times New Roman" w:eastAsia="Times New Roman" w:hAnsi="Times New Roman" w:cs="Times New Roman"/>
          <w:kern w:val="0"/>
          <w:sz w:val="24"/>
          <w:szCs w:val="24"/>
          <w14:ligatures w14:val="none"/>
        </w:rPr>
        <w:t xml:space="preserve"> to stay compliant:</w:t>
      </w:r>
    </w:p>
    <w:p w14:paraId="6C040282" w14:textId="77777777" w:rsidR="002D3EB1" w:rsidRPr="002D3EB1" w:rsidRDefault="002D3EB1" w:rsidP="002D3EB1">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2D3EB1">
        <w:rPr>
          <w:rFonts w:ascii="Times New Roman" w:eastAsia="Times New Roman" w:hAnsi="Times New Roman" w:cs="Times New Roman"/>
          <w:b/>
          <w:bCs/>
          <w:kern w:val="0"/>
          <w:sz w:val="24"/>
          <w:szCs w:val="24"/>
          <w14:ligatures w14:val="none"/>
        </w:rPr>
        <w:t>1. W-2 Safe Harbor</w:t>
      </w:r>
    </w:p>
    <w:p w14:paraId="70E129F6" w14:textId="77777777" w:rsidR="002D3EB1" w:rsidRPr="002D3EB1" w:rsidRDefault="002D3EB1" w:rsidP="002D3EB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Use the employee’s </w:t>
      </w:r>
      <w:r w:rsidRPr="002D3EB1">
        <w:rPr>
          <w:rFonts w:ascii="Times New Roman" w:eastAsia="Times New Roman" w:hAnsi="Times New Roman" w:cs="Times New Roman"/>
          <w:b/>
          <w:bCs/>
          <w:kern w:val="0"/>
          <w:sz w:val="24"/>
          <w:szCs w:val="24"/>
          <w14:ligatures w14:val="none"/>
        </w:rPr>
        <w:t>Box 1 wages</w:t>
      </w:r>
      <w:r w:rsidRPr="002D3EB1">
        <w:rPr>
          <w:rFonts w:ascii="Times New Roman" w:eastAsia="Times New Roman" w:hAnsi="Times New Roman" w:cs="Times New Roman"/>
          <w:kern w:val="0"/>
          <w:sz w:val="24"/>
          <w:szCs w:val="24"/>
          <w14:ligatures w14:val="none"/>
        </w:rPr>
        <w:t xml:space="preserve"> from their W-2.</w:t>
      </w:r>
    </w:p>
    <w:p w14:paraId="0913C293" w14:textId="77777777" w:rsidR="002D3EB1" w:rsidRPr="002D3EB1" w:rsidRDefault="002D3EB1" w:rsidP="002D3EB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Health insurance is affordable if the </w:t>
      </w:r>
      <w:r w:rsidRPr="002D3EB1">
        <w:rPr>
          <w:rFonts w:ascii="Times New Roman" w:eastAsia="Times New Roman" w:hAnsi="Times New Roman" w:cs="Times New Roman"/>
          <w:b/>
          <w:bCs/>
          <w:kern w:val="0"/>
          <w:sz w:val="24"/>
          <w:szCs w:val="24"/>
          <w14:ligatures w14:val="none"/>
        </w:rPr>
        <w:t>annual premium</w:t>
      </w:r>
      <w:r w:rsidRPr="002D3EB1">
        <w:rPr>
          <w:rFonts w:ascii="Times New Roman" w:eastAsia="Times New Roman" w:hAnsi="Times New Roman" w:cs="Times New Roman"/>
          <w:kern w:val="0"/>
          <w:sz w:val="24"/>
          <w:szCs w:val="24"/>
          <w14:ligatures w14:val="none"/>
        </w:rPr>
        <w:t xml:space="preserve"> for </w:t>
      </w:r>
      <w:r w:rsidRPr="002D3EB1">
        <w:rPr>
          <w:rFonts w:ascii="Times New Roman" w:eastAsia="Times New Roman" w:hAnsi="Times New Roman" w:cs="Times New Roman"/>
          <w:b/>
          <w:bCs/>
          <w:kern w:val="0"/>
          <w:sz w:val="24"/>
          <w:szCs w:val="24"/>
          <w14:ligatures w14:val="none"/>
        </w:rPr>
        <w:t>self-only coverage</w:t>
      </w:r>
      <w:r w:rsidRPr="002D3EB1">
        <w:rPr>
          <w:rFonts w:ascii="Times New Roman" w:eastAsia="Times New Roman" w:hAnsi="Times New Roman" w:cs="Times New Roman"/>
          <w:kern w:val="0"/>
          <w:sz w:val="24"/>
          <w:szCs w:val="24"/>
          <w14:ligatures w14:val="none"/>
        </w:rPr>
        <w:t xml:space="preserve"> does </w:t>
      </w:r>
      <w:r w:rsidRPr="002D3EB1">
        <w:rPr>
          <w:rFonts w:ascii="Times New Roman" w:eastAsia="Times New Roman" w:hAnsi="Times New Roman" w:cs="Times New Roman"/>
          <w:b/>
          <w:bCs/>
          <w:kern w:val="0"/>
          <w:sz w:val="24"/>
          <w:szCs w:val="24"/>
          <w14:ligatures w14:val="none"/>
        </w:rPr>
        <w:t>not exceed 9.02%</w:t>
      </w:r>
      <w:r w:rsidRPr="002D3EB1">
        <w:rPr>
          <w:rFonts w:ascii="Times New Roman" w:eastAsia="Times New Roman" w:hAnsi="Times New Roman" w:cs="Times New Roman"/>
          <w:kern w:val="0"/>
          <w:sz w:val="24"/>
          <w:szCs w:val="24"/>
          <w14:ligatures w14:val="none"/>
        </w:rPr>
        <w:t xml:space="preserve"> of that amount.</w:t>
      </w:r>
    </w:p>
    <w:p w14:paraId="561C2CC9" w14:textId="77777777" w:rsidR="002D3EB1" w:rsidRPr="002D3EB1" w:rsidRDefault="002D3EB1" w:rsidP="002D3EB1">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2D3EB1">
        <w:rPr>
          <w:rFonts w:ascii="Times New Roman" w:eastAsia="Times New Roman" w:hAnsi="Times New Roman" w:cs="Times New Roman"/>
          <w:b/>
          <w:bCs/>
          <w:kern w:val="0"/>
          <w:sz w:val="24"/>
          <w:szCs w:val="24"/>
          <w14:ligatures w14:val="none"/>
        </w:rPr>
        <w:t>2. Rate of Pay Safe Harbor</w:t>
      </w:r>
    </w:p>
    <w:p w14:paraId="11EEFB61" w14:textId="77777777" w:rsidR="002D3EB1" w:rsidRPr="002D3EB1" w:rsidRDefault="002D3EB1" w:rsidP="002D3EB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Multiply the employee’s </w:t>
      </w:r>
      <w:r w:rsidRPr="002D3EB1">
        <w:rPr>
          <w:rFonts w:ascii="Times New Roman" w:eastAsia="Times New Roman" w:hAnsi="Times New Roman" w:cs="Times New Roman"/>
          <w:b/>
          <w:bCs/>
          <w:kern w:val="0"/>
          <w:sz w:val="24"/>
          <w:szCs w:val="24"/>
          <w14:ligatures w14:val="none"/>
        </w:rPr>
        <w:t>hourly rate x 130 hours/month</w:t>
      </w:r>
      <w:r w:rsidRPr="002D3EB1">
        <w:rPr>
          <w:rFonts w:ascii="Times New Roman" w:eastAsia="Times New Roman" w:hAnsi="Times New Roman" w:cs="Times New Roman"/>
          <w:kern w:val="0"/>
          <w:sz w:val="24"/>
          <w:szCs w:val="24"/>
          <w14:ligatures w14:val="none"/>
        </w:rPr>
        <w:t xml:space="preserve"> (assuming full-time).</w:t>
      </w:r>
    </w:p>
    <w:p w14:paraId="182E8258" w14:textId="77777777" w:rsidR="002D3EB1" w:rsidRPr="002D3EB1" w:rsidRDefault="002D3EB1" w:rsidP="002D3EB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Health insurance is affordable if the </w:t>
      </w:r>
      <w:r w:rsidRPr="002D3EB1">
        <w:rPr>
          <w:rFonts w:ascii="Times New Roman" w:eastAsia="Times New Roman" w:hAnsi="Times New Roman" w:cs="Times New Roman"/>
          <w:b/>
          <w:bCs/>
          <w:kern w:val="0"/>
          <w:sz w:val="24"/>
          <w:szCs w:val="24"/>
          <w14:ligatures w14:val="none"/>
        </w:rPr>
        <w:t>monthly premium</w:t>
      </w:r>
      <w:r w:rsidRPr="002D3EB1">
        <w:rPr>
          <w:rFonts w:ascii="Times New Roman" w:eastAsia="Times New Roman" w:hAnsi="Times New Roman" w:cs="Times New Roman"/>
          <w:kern w:val="0"/>
          <w:sz w:val="24"/>
          <w:szCs w:val="24"/>
          <w14:ligatures w14:val="none"/>
        </w:rPr>
        <w:t xml:space="preserve"> for self-only coverage is </w:t>
      </w:r>
      <w:r w:rsidRPr="002D3EB1">
        <w:rPr>
          <w:rFonts w:ascii="Times New Roman" w:eastAsia="Times New Roman" w:hAnsi="Times New Roman" w:cs="Times New Roman"/>
          <w:b/>
          <w:bCs/>
          <w:kern w:val="0"/>
          <w:sz w:val="24"/>
          <w:szCs w:val="24"/>
          <w14:ligatures w14:val="none"/>
        </w:rPr>
        <w:t>≤ 9.02%</w:t>
      </w:r>
      <w:r w:rsidRPr="002D3EB1">
        <w:rPr>
          <w:rFonts w:ascii="Times New Roman" w:eastAsia="Times New Roman" w:hAnsi="Times New Roman" w:cs="Times New Roman"/>
          <w:kern w:val="0"/>
          <w:sz w:val="24"/>
          <w:szCs w:val="24"/>
          <w14:ligatures w14:val="none"/>
        </w:rPr>
        <w:t xml:space="preserve"> of that figure.</w:t>
      </w:r>
    </w:p>
    <w:p w14:paraId="4B4B3618" w14:textId="77777777" w:rsidR="002D3EB1" w:rsidRPr="002D3EB1" w:rsidRDefault="002D3EB1" w:rsidP="002D3EB1">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Great for hourly employees — no surprises.</w:t>
      </w:r>
    </w:p>
    <w:p w14:paraId="1F67258A" w14:textId="77777777" w:rsidR="002D3EB1" w:rsidRPr="002D3EB1" w:rsidRDefault="002D3EB1" w:rsidP="002D3EB1">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2D3EB1">
        <w:rPr>
          <w:rFonts w:ascii="Times New Roman" w:eastAsia="Times New Roman" w:hAnsi="Times New Roman" w:cs="Times New Roman"/>
          <w:b/>
          <w:bCs/>
          <w:kern w:val="0"/>
          <w:sz w:val="24"/>
          <w:szCs w:val="24"/>
          <w14:ligatures w14:val="none"/>
        </w:rPr>
        <w:t>3. Federal Poverty Line (FPL) Safe Harbor</w:t>
      </w:r>
    </w:p>
    <w:p w14:paraId="5317EB69" w14:textId="77777777" w:rsidR="002D3EB1" w:rsidRPr="002D3EB1" w:rsidRDefault="002D3EB1" w:rsidP="002D3EB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Use the </w:t>
      </w:r>
      <w:r w:rsidRPr="002D3EB1">
        <w:rPr>
          <w:rFonts w:ascii="Times New Roman" w:eastAsia="Times New Roman" w:hAnsi="Times New Roman" w:cs="Times New Roman"/>
          <w:b/>
          <w:bCs/>
          <w:kern w:val="0"/>
          <w:sz w:val="24"/>
          <w:szCs w:val="24"/>
          <w14:ligatures w14:val="none"/>
        </w:rPr>
        <w:t>FPL for a single individual</w:t>
      </w:r>
      <w:r w:rsidRPr="002D3EB1">
        <w:rPr>
          <w:rFonts w:ascii="Times New Roman" w:eastAsia="Times New Roman" w:hAnsi="Times New Roman" w:cs="Times New Roman"/>
          <w:kern w:val="0"/>
          <w:sz w:val="24"/>
          <w:szCs w:val="24"/>
          <w14:ligatures w14:val="none"/>
        </w:rPr>
        <w:t xml:space="preserve"> (2025 is ~$15,060 in the continental U.S.).</w:t>
      </w:r>
    </w:p>
    <w:p w14:paraId="57AEF189" w14:textId="77777777" w:rsidR="002D3EB1" w:rsidRPr="002D3EB1" w:rsidRDefault="002D3EB1" w:rsidP="002D3EB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Premium must be </w:t>
      </w:r>
      <w:r w:rsidRPr="002D3EB1">
        <w:rPr>
          <w:rFonts w:ascii="Times New Roman" w:eastAsia="Times New Roman" w:hAnsi="Times New Roman" w:cs="Times New Roman"/>
          <w:b/>
          <w:bCs/>
          <w:kern w:val="0"/>
          <w:sz w:val="24"/>
          <w:szCs w:val="24"/>
          <w14:ligatures w14:val="none"/>
        </w:rPr>
        <w:t>≤ 9.02%</w:t>
      </w:r>
      <w:r w:rsidRPr="002D3EB1">
        <w:rPr>
          <w:rFonts w:ascii="Times New Roman" w:eastAsia="Times New Roman" w:hAnsi="Times New Roman" w:cs="Times New Roman"/>
          <w:kern w:val="0"/>
          <w:sz w:val="24"/>
          <w:szCs w:val="24"/>
          <w14:ligatures w14:val="none"/>
        </w:rPr>
        <w:t xml:space="preserve"> of that amount </w:t>
      </w:r>
      <w:r w:rsidRPr="002D3EB1">
        <w:rPr>
          <w:rFonts w:ascii="Times New Roman" w:eastAsia="Times New Roman" w:hAnsi="Times New Roman" w:cs="Times New Roman"/>
          <w:b/>
          <w:bCs/>
          <w:kern w:val="0"/>
          <w:sz w:val="24"/>
          <w:szCs w:val="24"/>
          <w14:ligatures w14:val="none"/>
        </w:rPr>
        <w:t>monthly</w:t>
      </w:r>
      <w:r w:rsidRPr="002D3EB1">
        <w:rPr>
          <w:rFonts w:ascii="Times New Roman" w:eastAsia="Times New Roman" w:hAnsi="Times New Roman" w:cs="Times New Roman"/>
          <w:kern w:val="0"/>
          <w:sz w:val="24"/>
          <w:szCs w:val="24"/>
          <w14:ligatures w14:val="none"/>
        </w:rPr>
        <w:t xml:space="preserve"> (~$113.23/month).</w:t>
      </w:r>
    </w:p>
    <w:p w14:paraId="6D74FF2A" w14:textId="77777777" w:rsidR="002D3EB1" w:rsidRPr="002D3EB1" w:rsidRDefault="002D3EB1" w:rsidP="002D3EB1">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Easiest and safest — flat threshold for all.</w:t>
      </w:r>
    </w:p>
    <w:p w14:paraId="3C6DEBC3" w14:textId="77777777" w:rsidR="002D3EB1" w:rsidRPr="002D3EB1" w:rsidRDefault="009E457D" w:rsidP="002D3EB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BC0049F">
          <v:rect id="_x0000_i1026" style="width:0;height:1.5pt" o:hralign="center" o:hrstd="t" o:hr="t" fillcolor="#a0a0a0" stroked="f"/>
        </w:pict>
      </w:r>
    </w:p>
    <w:p w14:paraId="5FFA7B45" w14:textId="77777777" w:rsidR="002D3EB1" w:rsidRPr="002D3EB1" w:rsidRDefault="002D3EB1" w:rsidP="002D3E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3EB1">
        <w:rPr>
          <w:rFonts w:ascii="Segoe UI Emoji" w:eastAsia="Times New Roman" w:hAnsi="Segoe UI Emoji" w:cs="Segoe UI Emoji"/>
          <w:b/>
          <w:bCs/>
          <w:kern w:val="0"/>
          <w:sz w:val="27"/>
          <w:szCs w:val="27"/>
          <w14:ligatures w14:val="none"/>
        </w:rPr>
        <w:t>🧠</w:t>
      </w:r>
      <w:r w:rsidRPr="002D3EB1">
        <w:rPr>
          <w:rFonts w:ascii="Times New Roman" w:eastAsia="Times New Roman" w:hAnsi="Times New Roman" w:cs="Times New Roman"/>
          <w:b/>
          <w:bCs/>
          <w:kern w:val="0"/>
          <w:sz w:val="27"/>
          <w:szCs w:val="27"/>
          <w14:ligatures w14:val="none"/>
        </w:rPr>
        <w:t xml:space="preserve"> How Employers Apply This Practically</w:t>
      </w:r>
    </w:p>
    <w:p w14:paraId="2757E155" w14:textId="77777777" w:rsidR="002D3EB1" w:rsidRPr="002D3EB1" w:rsidRDefault="002D3EB1" w:rsidP="002D3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Let’s say you want to keep it simple and ensure ACA compliance across the board:</w:t>
      </w:r>
    </w:p>
    <w:p w14:paraId="716C367E" w14:textId="77777777" w:rsidR="002D3EB1" w:rsidRPr="002D3EB1" w:rsidRDefault="002D3EB1" w:rsidP="002D3EB1">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Use the </w:t>
      </w:r>
      <w:r w:rsidRPr="002D3EB1">
        <w:rPr>
          <w:rFonts w:ascii="Times New Roman" w:eastAsia="Times New Roman" w:hAnsi="Times New Roman" w:cs="Times New Roman"/>
          <w:b/>
          <w:bCs/>
          <w:kern w:val="0"/>
          <w:sz w:val="24"/>
          <w:szCs w:val="24"/>
          <w14:ligatures w14:val="none"/>
        </w:rPr>
        <w:t>FPL safe harbor</w:t>
      </w:r>
      <w:r w:rsidRPr="002D3EB1">
        <w:rPr>
          <w:rFonts w:ascii="Times New Roman" w:eastAsia="Times New Roman" w:hAnsi="Times New Roman" w:cs="Times New Roman"/>
          <w:kern w:val="0"/>
          <w:sz w:val="24"/>
          <w:szCs w:val="24"/>
          <w14:ligatures w14:val="none"/>
        </w:rPr>
        <w:t xml:space="preserve">: If your </w:t>
      </w:r>
      <w:r w:rsidRPr="002D3EB1">
        <w:rPr>
          <w:rFonts w:ascii="Times New Roman" w:eastAsia="Times New Roman" w:hAnsi="Times New Roman" w:cs="Times New Roman"/>
          <w:b/>
          <w:bCs/>
          <w:kern w:val="0"/>
          <w:sz w:val="24"/>
          <w:szCs w:val="24"/>
          <w14:ligatures w14:val="none"/>
        </w:rPr>
        <w:t>lowest-cost, self-only plan</w:t>
      </w:r>
      <w:r w:rsidRPr="002D3EB1">
        <w:rPr>
          <w:rFonts w:ascii="Times New Roman" w:eastAsia="Times New Roman" w:hAnsi="Times New Roman" w:cs="Times New Roman"/>
          <w:kern w:val="0"/>
          <w:sz w:val="24"/>
          <w:szCs w:val="24"/>
          <w14:ligatures w14:val="none"/>
        </w:rPr>
        <w:t xml:space="preserve"> is </w:t>
      </w:r>
      <w:r w:rsidRPr="002D3EB1">
        <w:rPr>
          <w:rFonts w:ascii="Times New Roman" w:eastAsia="Times New Roman" w:hAnsi="Times New Roman" w:cs="Times New Roman"/>
          <w:b/>
          <w:bCs/>
          <w:kern w:val="0"/>
          <w:sz w:val="24"/>
          <w:szCs w:val="24"/>
          <w14:ligatures w14:val="none"/>
        </w:rPr>
        <w:t>$113.23/month or less</w:t>
      </w:r>
      <w:r w:rsidRPr="002D3EB1">
        <w:rPr>
          <w:rFonts w:ascii="Times New Roman" w:eastAsia="Times New Roman" w:hAnsi="Times New Roman" w:cs="Times New Roman"/>
          <w:kern w:val="0"/>
          <w:sz w:val="24"/>
          <w:szCs w:val="24"/>
          <w14:ligatures w14:val="none"/>
        </w:rPr>
        <w:t>, you’re compliant, no matter what the employee earns.</w:t>
      </w:r>
    </w:p>
    <w:p w14:paraId="5F737DF3" w14:textId="77777777" w:rsidR="002D3EB1" w:rsidRPr="002D3EB1" w:rsidRDefault="002D3EB1" w:rsidP="002D3EB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D3EB1">
        <w:rPr>
          <w:rFonts w:ascii="Times New Roman" w:eastAsia="Times New Roman" w:hAnsi="Times New Roman" w:cs="Times New Roman"/>
          <w:kern w:val="0"/>
          <w:sz w:val="24"/>
          <w:szCs w:val="24"/>
          <w14:ligatures w14:val="none"/>
        </w:rPr>
        <w:t xml:space="preserve">If your premiums are higher than that, you might use the </w:t>
      </w:r>
      <w:r w:rsidRPr="002D3EB1">
        <w:rPr>
          <w:rFonts w:ascii="Times New Roman" w:eastAsia="Times New Roman" w:hAnsi="Times New Roman" w:cs="Times New Roman"/>
          <w:b/>
          <w:bCs/>
          <w:kern w:val="0"/>
          <w:sz w:val="24"/>
          <w:szCs w:val="24"/>
          <w14:ligatures w14:val="none"/>
        </w:rPr>
        <w:t>W-2 or Rate of Pay safe harbor</w:t>
      </w:r>
      <w:r w:rsidRPr="002D3EB1">
        <w:rPr>
          <w:rFonts w:ascii="Times New Roman" w:eastAsia="Times New Roman" w:hAnsi="Times New Roman" w:cs="Times New Roman"/>
          <w:kern w:val="0"/>
          <w:sz w:val="24"/>
          <w:szCs w:val="24"/>
          <w14:ligatures w14:val="none"/>
        </w:rPr>
        <w:t xml:space="preserve"> for more tailored affordability.</w:t>
      </w:r>
    </w:p>
    <w:p w14:paraId="6B5F48CB" w14:textId="77777777" w:rsidR="00055C44" w:rsidRDefault="00055C44"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p>
    <w:p w14:paraId="45A912E0" w14:textId="77777777" w:rsidR="00055C44" w:rsidRDefault="00055C44"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p>
    <w:p w14:paraId="50617636" w14:textId="77777777" w:rsidR="00055C44" w:rsidRDefault="00055C44"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p>
    <w:p w14:paraId="2BA19BF6" w14:textId="77777777" w:rsidR="00055C44" w:rsidRDefault="00055C44"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p>
    <w:p w14:paraId="0FDA1C62" w14:textId="77777777" w:rsidR="00055C44" w:rsidRPr="0030591E" w:rsidRDefault="00055C44"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p>
    <w:p w14:paraId="46161B40" w14:textId="77777777" w:rsidR="0030591E" w:rsidRPr="0030591E" w:rsidRDefault="0030591E" w:rsidP="0030591E">
      <w:pPr>
        <w:shd w:val="clear" w:color="auto" w:fill="FFFFFF"/>
        <w:spacing w:before="100" w:beforeAutospacing="1" w:after="100" w:afterAutospacing="1" w:line="240" w:lineRule="auto"/>
        <w:outlineLvl w:val="1"/>
        <w:rPr>
          <w:rFonts w:ascii="Arial" w:eastAsia="Times New Roman" w:hAnsi="Arial" w:cs="Arial"/>
          <w:color w:val="121A3B"/>
          <w:spacing w:val="-5"/>
          <w:kern w:val="0"/>
          <w:sz w:val="36"/>
          <w:szCs w:val="36"/>
          <w14:ligatures w14:val="none"/>
        </w:rPr>
      </w:pPr>
      <w:r w:rsidRPr="0030591E">
        <w:rPr>
          <w:rFonts w:ascii="Arial" w:eastAsia="Times New Roman" w:hAnsi="Arial" w:cs="Arial"/>
          <w:b/>
          <w:bCs/>
          <w:color w:val="EE0000"/>
          <w:spacing w:val="-5"/>
          <w:kern w:val="0"/>
          <w:sz w:val="36"/>
          <w:szCs w:val="36"/>
          <w14:ligatures w14:val="none"/>
        </w:rPr>
        <w:t>How do I know how my ICHRA Funding Strategy will impact my employees</w:t>
      </w:r>
      <w:r w:rsidRPr="0030591E">
        <w:rPr>
          <w:rFonts w:ascii="Arial" w:eastAsia="Times New Roman" w:hAnsi="Arial" w:cs="Arial"/>
          <w:color w:val="EE0000"/>
          <w:spacing w:val="-5"/>
          <w:kern w:val="0"/>
          <w:sz w:val="36"/>
          <w:szCs w:val="36"/>
          <w14:ligatures w14:val="none"/>
        </w:rPr>
        <w:t>? </w:t>
      </w:r>
    </w:p>
    <w:p w14:paraId="59203034" w14:textId="68BCFC4C"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Current customers can log into their Employer Portal to model scenarios. Our tools will show the economic impact of your ICHRA Funding Strategy on each employee. This can help you anticipate challenges your team might face and fine-tune your contributions accordingly.</w:t>
      </w:r>
    </w:p>
    <w:p w14:paraId="42E61F72" w14:textId="77777777" w:rsidR="0030591E" w:rsidRPr="0030591E" w:rsidRDefault="0030591E" w:rsidP="0030591E">
      <w:pPr>
        <w:shd w:val="clear" w:color="auto" w:fill="FFFFFF"/>
        <w:spacing w:before="100" w:beforeAutospacing="1" w:after="100" w:afterAutospacing="1" w:line="240" w:lineRule="auto"/>
        <w:outlineLvl w:val="1"/>
        <w:rPr>
          <w:rFonts w:ascii="Arial" w:eastAsia="Times New Roman" w:hAnsi="Arial" w:cs="Arial"/>
          <w:b/>
          <w:bCs/>
          <w:color w:val="EE0000"/>
          <w:spacing w:val="-5"/>
          <w:kern w:val="0"/>
          <w:sz w:val="36"/>
          <w:szCs w:val="36"/>
          <w14:ligatures w14:val="none"/>
        </w:rPr>
      </w:pPr>
      <w:r w:rsidRPr="0030591E">
        <w:rPr>
          <w:rFonts w:ascii="Arial" w:eastAsia="Times New Roman" w:hAnsi="Arial" w:cs="Arial"/>
          <w:b/>
          <w:bCs/>
          <w:color w:val="EE0000"/>
          <w:spacing w:val="-5"/>
          <w:kern w:val="0"/>
          <w:sz w:val="36"/>
          <w:szCs w:val="36"/>
          <w14:ligatures w14:val="none"/>
        </w:rPr>
        <w:t>What Does a Good ICHRA Strategy Look Like?</w:t>
      </w:r>
    </w:p>
    <w:p w14:paraId="1151291D"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The answer depends on your specific business needs and goals. For many of our clients, a "good" strategy typically looks like:</w:t>
      </w:r>
    </w:p>
    <w:p w14:paraId="71A3090F" w14:textId="77777777" w:rsidR="0030591E" w:rsidRPr="0030591E" w:rsidRDefault="0030591E" w:rsidP="0030591E">
      <w:pPr>
        <w:shd w:val="clear" w:color="auto" w:fill="FFFFFF"/>
        <w:spacing w:after="100" w:line="240" w:lineRule="auto"/>
        <w:rPr>
          <w:rFonts w:ascii="Arial" w:eastAsia="Times New Roman" w:hAnsi="Arial" w:cs="Arial"/>
          <w:i/>
          <w:iCs/>
          <w:color w:val="121A3B"/>
          <w:kern w:val="0"/>
          <w:sz w:val="24"/>
          <w:szCs w:val="24"/>
          <w14:ligatures w14:val="none"/>
        </w:rPr>
      </w:pPr>
      <w:r w:rsidRPr="0030591E">
        <w:rPr>
          <w:rFonts w:ascii="Arial" w:eastAsia="Times New Roman" w:hAnsi="Arial" w:cs="Arial"/>
          <w:i/>
          <w:iCs/>
          <w:color w:val="121A3B"/>
          <w:kern w:val="0"/>
          <w:sz w:val="24"/>
          <w:szCs w:val="24"/>
          <w14:ligatures w14:val="none"/>
        </w:rPr>
        <w:t>- 80% of the cost of a Gold plan for employees</w:t>
      </w:r>
    </w:p>
    <w:p w14:paraId="169F8840" w14:textId="77777777" w:rsidR="0030591E" w:rsidRPr="0030591E" w:rsidRDefault="0030591E" w:rsidP="0030591E">
      <w:pPr>
        <w:shd w:val="clear" w:color="auto" w:fill="FFFFFF"/>
        <w:spacing w:after="100" w:line="240" w:lineRule="auto"/>
        <w:rPr>
          <w:rFonts w:ascii="Arial" w:eastAsia="Times New Roman" w:hAnsi="Arial" w:cs="Arial"/>
          <w:i/>
          <w:iCs/>
          <w:color w:val="121A3B"/>
          <w:kern w:val="0"/>
          <w:sz w:val="24"/>
          <w:szCs w:val="24"/>
          <w14:ligatures w14:val="none"/>
        </w:rPr>
      </w:pPr>
      <w:r w:rsidRPr="0030591E">
        <w:rPr>
          <w:rFonts w:ascii="Arial" w:eastAsia="Times New Roman" w:hAnsi="Arial" w:cs="Arial"/>
          <w:i/>
          <w:iCs/>
          <w:color w:val="121A3B"/>
          <w:kern w:val="0"/>
          <w:sz w:val="24"/>
          <w:szCs w:val="24"/>
          <w14:ligatures w14:val="none"/>
        </w:rPr>
        <w:t>- 50% of the cost of a Gold Plan for dependents</w:t>
      </w:r>
    </w:p>
    <w:p w14:paraId="013AC636"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However, it's important to remember that "good" is subjective. If you're in a competitive industry where talent is hard to come by, you should fund your ICHRA more generously to attract top candidates. For other businesses, ICHRA offers the chance to provide health benefits for the first time ever. If this describes you, we celebrate you.  Offering even basic coverage can significantly impact employee morale and retention. </w:t>
      </w:r>
    </w:p>
    <w:p w14:paraId="46D2B99E" w14:textId="77777777" w:rsidR="0030591E" w:rsidRPr="0030591E" w:rsidRDefault="0030591E" w:rsidP="0030591E">
      <w:pPr>
        <w:shd w:val="clear" w:color="auto" w:fill="FFFFFF"/>
        <w:spacing w:before="100" w:beforeAutospacing="1" w:after="100" w:afterAutospacing="1" w:line="240" w:lineRule="auto"/>
        <w:outlineLvl w:val="1"/>
        <w:rPr>
          <w:rFonts w:ascii="Arial" w:eastAsia="Times New Roman" w:hAnsi="Arial" w:cs="Arial"/>
          <w:b/>
          <w:bCs/>
          <w:color w:val="EE0000"/>
          <w:spacing w:val="-5"/>
          <w:kern w:val="0"/>
          <w:sz w:val="36"/>
          <w:szCs w:val="36"/>
          <w14:ligatures w14:val="none"/>
        </w:rPr>
      </w:pPr>
      <w:r w:rsidRPr="0030591E">
        <w:rPr>
          <w:rFonts w:ascii="Arial" w:eastAsia="Times New Roman" w:hAnsi="Arial" w:cs="Arial"/>
          <w:b/>
          <w:bCs/>
          <w:color w:val="EE0000"/>
          <w:spacing w:val="-5"/>
          <w:kern w:val="0"/>
          <w:sz w:val="36"/>
          <w:szCs w:val="36"/>
          <w14:ligatures w14:val="none"/>
        </w:rPr>
        <w:t>Other Tips for 2025:</w:t>
      </w:r>
    </w:p>
    <w:p w14:paraId="1D27BE7D"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Reevaluate Your Employee Classifications: If your workforce has changed or you're facing recruitment or retention challenges, it might be time to reassess your employee classes and adjust your ICHRA contributions accordingly.</w:t>
      </w:r>
    </w:p>
    <w:p w14:paraId="18C3896B" w14:textId="77777777"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Consider Local Insurance Market Trends: Rates vary significantly by region, so be aware of local trends when setting your ICHRA budget. Our tools can help you analyze local market shifts and make adjustments.</w:t>
      </w:r>
    </w:p>
    <w:p w14:paraId="207B96B4" w14:textId="6C683781" w:rsidR="0030591E" w:rsidRPr="0030591E" w:rsidRDefault="0030591E" w:rsidP="0030591E">
      <w:pPr>
        <w:shd w:val="clear" w:color="auto" w:fill="FFFFFF"/>
        <w:spacing w:after="100" w:afterAutospacing="1" w:line="240" w:lineRule="auto"/>
        <w:rPr>
          <w:rFonts w:ascii="Arial" w:eastAsia="Times New Roman" w:hAnsi="Arial" w:cs="Arial"/>
          <w:color w:val="121A3B"/>
          <w:kern w:val="0"/>
          <w:sz w:val="24"/>
          <w:szCs w:val="24"/>
          <w14:ligatures w14:val="none"/>
        </w:rPr>
      </w:pPr>
      <w:r w:rsidRPr="0030591E">
        <w:rPr>
          <w:rFonts w:ascii="Arial" w:eastAsia="Times New Roman" w:hAnsi="Arial" w:cs="Arial"/>
          <w:color w:val="121A3B"/>
          <w:kern w:val="0"/>
          <w:sz w:val="24"/>
          <w:szCs w:val="24"/>
          <w14:ligatures w14:val="none"/>
        </w:rPr>
        <w:t xml:space="preserve">As always, the </w:t>
      </w:r>
      <w:r>
        <w:rPr>
          <w:rFonts w:ascii="Arial" w:eastAsia="Times New Roman" w:hAnsi="Arial" w:cs="Arial"/>
          <w:color w:val="121A3B"/>
          <w:kern w:val="0"/>
          <w:sz w:val="24"/>
          <w:szCs w:val="24"/>
          <w14:ligatures w14:val="none"/>
        </w:rPr>
        <w:t>our</w:t>
      </w:r>
      <w:r w:rsidRPr="0030591E">
        <w:rPr>
          <w:rFonts w:ascii="Arial" w:eastAsia="Times New Roman" w:hAnsi="Arial" w:cs="Arial"/>
          <w:color w:val="121A3B"/>
          <w:kern w:val="0"/>
          <w:sz w:val="24"/>
          <w:szCs w:val="24"/>
          <w14:ligatures w14:val="none"/>
        </w:rPr>
        <w:t xml:space="preserve"> team is here to help and can provide additional modeling for your team so that you can feel confident that your ICHRA funding strategy for 2025 not only aligns with your company's financial goals and supports your team's well-being.</w:t>
      </w:r>
    </w:p>
    <w:p w14:paraId="092053D1" w14:textId="7037E730" w:rsidR="0030591E" w:rsidRDefault="009E457D" w:rsidP="009E457D">
      <w:pPr>
        <w:jc w:val="center"/>
      </w:pPr>
      <w:r w:rsidRPr="009E457D">
        <w:drawing>
          <wp:inline distT="0" distB="0" distL="0" distR="0" wp14:anchorId="2BAD154C" wp14:editId="52A8C808">
            <wp:extent cx="4220164" cy="2410161"/>
            <wp:effectExtent l="0" t="0" r="9525" b="9525"/>
            <wp:docPr id="1858416611" name="Picture 1" descr="A close-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16611" name="Picture 1" descr="A close-up of a card&#10;&#10;AI-generated content may be incorrect."/>
                    <pic:cNvPicPr/>
                  </pic:nvPicPr>
                  <pic:blipFill>
                    <a:blip r:embed="rId9"/>
                    <a:stretch>
                      <a:fillRect/>
                    </a:stretch>
                  </pic:blipFill>
                  <pic:spPr>
                    <a:xfrm>
                      <a:off x="0" y="0"/>
                      <a:ext cx="4220164" cy="2410161"/>
                    </a:xfrm>
                    <a:prstGeom prst="rect">
                      <a:avLst/>
                    </a:prstGeom>
                  </pic:spPr>
                </pic:pic>
              </a:graphicData>
            </a:graphic>
          </wp:inline>
        </w:drawing>
      </w:r>
    </w:p>
    <w:sectPr w:rsidR="0030591E" w:rsidSect="0030591E">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04FE"/>
    <w:multiLevelType w:val="multilevel"/>
    <w:tmpl w:val="4EEE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E0BBF"/>
    <w:multiLevelType w:val="multilevel"/>
    <w:tmpl w:val="8510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6306A"/>
    <w:multiLevelType w:val="multilevel"/>
    <w:tmpl w:val="30B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E4353"/>
    <w:multiLevelType w:val="multilevel"/>
    <w:tmpl w:val="106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669991">
    <w:abstractNumId w:val="0"/>
  </w:num>
  <w:num w:numId="2" w16cid:durableId="1511750587">
    <w:abstractNumId w:val="1"/>
  </w:num>
  <w:num w:numId="3" w16cid:durableId="649284015">
    <w:abstractNumId w:val="3"/>
  </w:num>
  <w:num w:numId="4" w16cid:durableId="169942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1E"/>
    <w:rsid w:val="00055C44"/>
    <w:rsid w:val="00212A20"/>
    <w:rsid w:val="002B4014"/>
    <w:rsid w:val="002D3EB1"/>
    <w:rsid w:val="0030591E"/>
    <w:rsid w:val="003A6BA7"/>
    <w:rsid w:val="00587CEC"/>
    <w:rsid w:val="007B5B40"/>
    <w:rsid w:val="009E457D"/>
    <w:rsid w:val="00B32667"/>
    <w:rsid w:val="00E1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350B89"/>
  <w15:chartTrackingRefBased/>
  <w15:docId w15:val="{57CA8F4D-9AAA-4575-9A7A-CEE01A0C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5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9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59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59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5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9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9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9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9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9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91E"/>
    <w:rPr>
      <w:rFonts w:eastAsiaTheme="majorEastAsia" w:cstheme="majorBidi"/>
      <w:color w:val="272727" w:themeColor="text1" w:themeTint="D8"/>
    </w:rPr>
  </w:style>
  <w:style w:type="paragraph" w:styleId="Title">
    <w:name w:val="Title"/>
    <w:basedOn w:val="Normal"/>
    <w:next w:val="Normal"/>
    <w:link w:val="TitleChar"/>
    <w:uiPriority w:val="10"/>
    <w:qFormat/>
    <w:rsid w:val="00305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91E"/>
    <w:pPr>
      <w:spacing w:before="160"/>
      <w:jc w:val="center"/>
    </w:pPr>
    <w:rPr>
      <w:i/>
      <w:iCs/>
      <w:color w:val="404040" w:themeColor="text1" w:themeTint="BF"/>
    </w:rPr>
  </w:style>
  <w:style w:type="character" w:customStyle="1" w:styleId="QuoteChar">
    <w:name w:val="Quote Char"/>
    <w:basedOn w:val="DefaultParagraphFont"/>
    <w:link w:val="Quote"/>
    <w:uiPriority w:val="29"/>
    <w:rsid w:val="0030591E"/>
    <w:rPr>
      <w:i/>
      <w:iCs/>
      <w:color w:val="404040" w:themeColor="text1" w:themeTint="BF"/>
    </w:rPr>
  </w:style>
  <w:style w:type="paragraph" w:styleId="ListParagraph">
    <w:name w:val="List Paragraph"/>
    <w:basedOn w:val="Normal"/>
    <w:uiPriority w:val="34"/>
    <w:qFormat/>
    <w:rsid w:val="0030591E"/>
    <w:pPr>
      <w:ind w:left="720"/>
      <w:contextualSpacing/>
    </w:pPr>
  </w:style>
  <w:style w:type="character" w:styleId="IntenseEmphasis">
    <w:name w:val="Intense Emphasis"/>
    <w:basedOn w:val="DefaultParagraphFont"/>
    <w:uiPriority w:val="21"/>
    <w:qFormat/>
    <w:rsid w:val="0030591E"/>
    <w:rPr>
      <w:i/>
      <w:iCs/>
      <w:color w:val="2F5496" w:themeColor="accent1" w:themeShade="BF"/>
    </w:rPr>
  </w:style>
  <w:style w:type="paragraph" w:styleId="IntenseQuote">
    <w:name w:val="Intense Quote"/>
    <w:basedOn w:val="Normal"/>
    <w:next w:val="Normal"/>
    <w:link w:val="IntenseQuoteChar"/>
    <w:uiPriority w:val="30"/>
    <w:qFormat/>
    <w:rsid w:val="0030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591E"/>
    <w:rPr>
      <w:i/>
      <w:iCs/>
      <w:color w:val="2F5496" w:themeColor="accent1" w:themeShade="BF"/>
    </w:rPr>
  </w:style>
  <w:style w:type="character" w:styleId="IntenseReference">
    <w:name w:val="Intense Reference"/>
    <w:basedOn w:val="DefaultParagraphFont"/>
    <w:uiPriority w:val="32"/>
    <w:qFormat/>
    <w:rsid w:val="00305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56533">
      <w:bodyDiv w:val="1"/>
      <w:marLeft w:val="0"/>
      <w:marRight w:val="0"/>
      <w:marTop w:val="0"/>
      <w:marBottom w:val="0"/>
      <w:divBdr>
        <w:top w:val="none" w:sz="0" w:space="0" w:color="auto"/>
        <w:left w:val="none" w:sz="0" w:space="0" w:color="auto"/>
        <w:bottom w:val="none" w:sz="0" w:space="0" w:color="auto"/>
        <w:right w:val="none" w:sz="0" w:space="0" w:color="auto"/>
      </w:divBdr>
    </w:div>
    <w:div w:id="626740005">
      <w:bodyDiv w:val="1"/>
      <w:marLeft w:val="0"/>
      <w:marRight w:val="0"/>
      <w:marTop w:val="0"/>
      <w:marBottom w:val="0"/>
      <w:divBdr>
        <w:top w:val="none" w:sz="0" w:space="0" w:color="auto"/>
        <w:left w:val="none" w:sz="0" w:space="0" w:color="auto"/>
        <w:bottom w:val="none" w:sz="0" w:space="0" w:color="auto"/>
        <w:right w:val="none" w:sz="0" w:space="0" w:color="auto"/>
      </w:divBdr>
      <w:divsChild>
        <w:div w:id="216940879">
          <w:marLeft w:val="0"/>
          <w:marRight w:val="0"/>
          <w:marTop w:val="0"/>
          <w:marBottom w:val="0"/>
          <w:divBdr>
            <w:top w:val="none" w:sz="0" w:space="0" w:color="auto"/>
            <w:left w:val="none" w:sz="0" w:space="0" w:color="auto"/>
            <w:bottom w:val="none" w:sz="0" w:space="0" w:color="auto"/>
            <w:right w:val="none" w:sz="0" w:space="0" w:color="auto"/>
          </w:divBdr>
          <w:divsChild>
            <w:div w:id="502168819">
              <w:marLeft w:val="0"/>
              <w:marRight w:val="0"/>
              <w:marTop w:val="0"/>
              <w:marBottom w:val="0"/>
              <w:divBdr>
                <w:top w:val="none" w:sz="0" w:space="0" w:color="auto"/>
                <w:left w:val="none" w:sz="0" w:space="0" w:color="auto"/>
                <w:bottom w:val="none" w:sz="0" w:space="0" w:color="auto"/>
                <w:right w:val="none" w:sz="0" w:space="0" w:color="auto"/>
              </w:divBdr>
            </w:div>
            <w:div w:id="684329963">
              <w:marLeft w:val="0"/>
              <w:marRight w:val="0"/>
              <w:marTop w:val="0"/>
              <w:marBottom w:val="0"/>
              <w:divBdr>
                <w:top w:val="none" w:sz="0" w:space="0" w:color="auto"/>
                <w:left w:val="none" w:sz="0" w:space="0" w:color="auto"/>
                <w:bottom w:val="none" w:sz="0" w:space="0" w:color="auto"/>
                <w:right w:val="none" w:sz="0" w:space="0" w:color="auto"/>
              </w:divBdr>
            </w:div>
            <w:div w:id="924613684">
              <w:marLeft w:val="0"/>
              <w:marRight w:val="0"/>
              <w:marTop w:val="0"/>
              <w:marBottom w:val="0"/>
              <w:divBdr>
                <w:top w:val="none" w:sz="0" w:space="0" w:color="auto"/>
                <w:left w:val="none" w:sz="0" w:space="0" w:color="auto"/>
                <w:bottom w:val="none" w:sz="0" w:space="0" w:color="auto"/>
                <w:right w:val="none" w:sz="0" w:space="0" w:color="auto"/>
              </w:divBdr>
            </w:div>
          </w:divsChild>
        </w:div>
        <w:div w:id="252477294">
          <w:marLeft w:val="0"/>
          <w:marRight w:val="0"/>
          <w:marTop w:val="0"/>
          <w:marBottom w:val="0"/>
          <w:divBdr>
            <w:top w:val="none" w:sz="0" w:space="0" w:color="auto"/>
            <w:left w:val="none" w:sz="0" w:space="0" w:color="auto"/>
            <w:bottom w:val="none" w:sz="0" w:space="0" w:color="auto"/>
            <w:right w:val="none" w:sz="0" w:space="0" w:color="auto"/>
          </w:divBdr>
          <w:divsChild>
            <w:div w:id="347606624">
              <w:marLeft w:val="0"/>
              <w:marRight w:val="0"/>
              <w:marTop w:val="0"/>
              <w:marBottom w:val="0"/>
              <w:divBdr>
                <w:top w:val="none" w:sz="0" w:space="0" w:color="auto"/>
                <w:left w:val="none" w:sz="0" w:space="0" w:color="auto"/>
                <w:bottom w:val="none" w:sz="0" w:space="0" w:color="auto"/>
                <w:right w:val="none" w:sz="0" w:space="0" w:color="auto"/>
              </w:divBdr>
            </w:div>
            <w:div w:id="99840889">
              <w:marLeft w:val="0"/>
              <w:marRight w:val="0"/>
              <w:marTop w:val="0"/>
              <w:marBottom w:val="0"/>
              <w:divBdr>
                <w:top w:val="none" w:sz="0" w:space="0" w:color="auto"/>
                <w:left w:val="none" w:sz="0" w:space="0" w:color="auto"/>
                <w:bottom w:val="none" w:sz="0" w:space="0" w:color="auto"/>
                <w:right w:val="none" w:sz="0" w:space="0" w:color="auto"/>
              </w:divBdr>
            </w:div>
          </w:divsChild>
        </w:div>
        <w:div w:id="1237201386">
          <w:marLeft w:val="0"/>
          <w:marRight w:val="0"/>
          <w:marTop w:val="0"/>
          <w:marBottom w:val="0"/>
          <w:divBdr>
            <w:top w:val="none" w:sz="0" w:space="0" w:color="auto"/>
            <w:left w:val="none" w:sz="0" w:space="0" w:color="auto"/>
            <w:bottom w:val="none" w:sz="0" w:space="0" w:color="auto"/>
            <w:right w:val="none" w:sz="0" w:space="0" w:color="auto"/>
          </w:divBdr>
        </w:div>
        <w:div w:id="833030171">
          <w:marLeft w:val="0"/>
          <w:marRight w:val="0"/>
          <w:marTop w:val="0"/>
          <w:marBottom w:val="0"/>
          <w:divBdr>
            <w:top w:val="none" w:sz="0" w:space="0" w:color="auto"/>
            <w:left w:val="none" w:sz="0" w:space="0" w:color="auto"/>
            <w:bottom w:val="none" w:sz="0" w:space="0" w:color="auto"/>
            <w:right w:val="none" w:sz="0" w:space="0" w:color="auto"/>
          </w:divBdr>
          <w:divsChild>
            <w:div w:id="1733503058">
              <w:blockQuote w:val="1"/>
              <w:marLeft w:val="720"/>
              <w:marRight w:val="720"/>
              <w:marTop w:val="100"/>
              <w:marBottom w:val="100"/>
              <w:divBdr>
                <w:top w:val="none" w:sz="0" w:space="0" w:color="auto"/>
                <w:left w:val="single" w:sz="12" w:space="0" w:color="121A3B"/>
                <w:bottom w:val="none" w:sz="0" w:space="0" w:color="auto"/>
                <w:right w:val="none" w:sz="0" w:space="0" w:color="auto"/>
              </w:divBdr>
            </w:div>
            <w:div w:id="1505394114">
              <w:blockQuote w:val="1"/>
              <w:marLeft w:val="720"/>
              <w:marRight w:val="720"/>
              <w:marTop w:val="100"/>
              <w:marBottom w:val="100"/>
              <w:divBdr>
                <w:top w:val="none" w:sz="0" w:space="0" w:color="auto"/>
                <w:left w:val="single" w:sz="12" w:space="0" w:color="121A3B"/>
                <w:bottom w:val="none" w:sz="0" w:space="0" w:color="auto"/>
                <w:right w:val="none" w:sz="0" w:space="0" w:color="auto"/>
              </w:divBdr>
            </w:div>
          </w:divsChild>
        </w:div>
        <w:div w:id="110824600">
          <w:marLeft w:val="0"/>
          <w:marRight w:val="0"/>
          <w:marTop w:val="0"/>
          <w:marBottom w:val="0"/>
          <w:divBdr>
            <w:top w:val="none" w:sz="0" w:space="0" w:color="auto"/>
            <w:left w:val="none" w:sz="0" w:space="0" w:color="auto"/>
            <w:bottom w:val="none" w:sz="0" w:space="0" w:color="auto"/>
            <w:right w:val="none" w:sz="0" w:space="0" w:color="auto"/>
          </w:divBdr>
        </w:div>
      </w:divsChild>
    </w:div>
    <w:div w:id="12183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eur.com/blog/aca-affordability-requirements-for-20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772e38-ad01-4ca3-b7e9-c7c91f6f425b" xsi:nil="true"/>
    <lcf76f155ced4ddcb4097134ff3c332f xmlns="8f996f3f-937b-4843-bb58-dc8b34614d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3147E272450469F0BD1B5405CB504" ma:contentTypeVersion="15" ma:contentTypeDescription="Create a new document." ma:contentTypeScope="" ma:versionID="9ceabd39577743e2c1dd2eb3315206ee">
  <xsd:schema xmlns:xsd="http://www.w3.org/2001/XMLSchema" xmlns:xs="http://www.w3.org/2001/XMLSchema" xmlns:p="http://schemas.microsoft.com/office/2006/metadata/properties" xmlns:ns2="8f996f3f-937b-4843-bb58-dc8b34614da5" xmlns:ns3="e4772e38-ad01-4ca3-b7e9-c7c91f6f425b" targetNamespace="http://schemas.microsoft.com/office/2006/metadata/properties" ma:root="true" ma:fieldsID="a97560a8d5c4bc984eee65ea9e4f403c" ns2:_="" ns3:_="">
    <xsd:import namespace="8f996f3f-937b-4843-bb58-dc8b34614da5"/>
    <xsd:import namespace="e4772e38-ad01-4ca3-b7e9-c7c91f6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96f3f-937b-4843-bb58-dc8b34614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8ea56d-8f0b-4085-ae7c-002de4b6bc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72e38-ad01-4ca3-b7e9-c7c91f6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7a0eb-d955-4225-a430-2bfe93f326b9}" ma:internalName="TaxCatchAll" ma:showField="CatchAllData" ma:web="e4772e38-ad01-4ca3-b7e9-c7c91f6f42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8D497-8638-4D50-ADD0-4BCA0A4029EF}">
  <ds:schemaRefs>
    <ds:schemaRef ds:uri="http://schemas.microsoft.com/office/2006/metadata/properties"/>
    <ds:schemaRef ds:uri="http://schemas.microsoft.com/office/infopath/2007/PartnerControls"/>
    <ds:schemaRef ds:uri="e4772e38-ad01-4ca3-b7e9-c7c91f6f425b"/>
    <ds:schemaRef ds:uri="8f996f3f-937b-4843-bb58-dc8b34614da5"/>
  </ds:schemaRefs>
</ds:datastoreItem>
</file>

<file path=customXml/itemProps2.xml><?xml version="1.0" encoding="utf-8"?>
<ds:datastoreItem xmlns:ds="http://schemas.openxmlformats.org/officeDocument/2006/customXml" ds:itemID="{66B06442-0377-420C-B1B6-A399273F58A0}">
  <ds:schemaRefs>
    <ds:schemaRef ds:uri="http://schemas.microsoft.com/sharepoint/v3/contenttype/forms"/>
  </ds:schemaRefs>
</ds:datastoreItem>
</file>

<file path=customXml/itemProps3.xml><?xml version="1.0" encoding="utf-8"?>
<ds:datastoreItem xmlns:ds="http://schemas.openxmlformats.org/officeDocument/2006/customXml" ds:itemID="{E3EAC380-1681-466E-9183-606C651A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96f3f-937b-4843-bb58-dc8b34614da5"/>
    <ds:schemaRef ds:uri="e4772e38-ad01-4ca3-b7e9-c7c91f6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Clausen</dc:creator>
  <cp:keywords/>
  <dc:description/>
  <cp:lastModifiedBy>Lynne Clausen</cp:lastModifiedBy>
  <cp:revision>9</cp:revision>
  <dcterms:created xsi:type="dcterms:W3CDTF">2025-05-23T15:20:00Z</dcterms:created>
  <dcterms:modified xsi:type="dcterms:W3CDTF">2025-05-23T15:31:00Z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0x0101002D13147E272450469F0BD1B5405CB504</vt:lpwstr>
  </property>
</Properties>
</file>