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95"/>
        <w:gridCol w:w="1401"/>
        <w:gridCol w:w="2163"/>
        <w:gridCol w:w="1841"/>
        <w:gridCol w:w="1323"/>
        <w:gridCol w:w="1283"/>
      </w:tblGrid>
      <w:tr w:rsidR="003B0E73" w:rsidRPr="003B0E73" w14:paraId="710E2036" w14:textId="77777777" w:rsidTr="003B0E73">
        <w:tc>
          <w:tcPr>
            <w:tcW w:w="1413"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04B303AB"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Hazard </w:t>
            </w:r>
          </w:p>
        </w:tc>
        <w:tc>
          <w:tcPr>
            <w:tcW w:w="1928"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62A076F5"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Who might be harmed and how? </w:t>
            </w:r>
          </w:p>
        </w:tc>
        <w:tc>
          <w:tcPr>
            <w:tcW w:w="7456"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41008BEA"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Controls in Place </w:t>
            </w:r>
          </w:p>
        </w:tc>
        <w:tc>
          <w:tcPr>
            <w:tcW w:w="5511"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4D0473F6"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Further Action if required </w:t>
            </w:r>
          </w:p>
        </w:tc>
        <w:tc>
          <w:tcPr>
            <w:tcW w:w="1316"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3EE18A0C"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788"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6D79B47D"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r>
      <w:tr w:rsidR="003B0E73" w:rsidRPr="003B0E73" w14:paraId="0B52A2BC" w14:textId="77777777" w:rsidTr="003B0E73">
        <w:tc>
          <w:tcPr>
            <w:tcW w:w="1413"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45F69ABF"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1928"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209B7737"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7456"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07394D0E"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5511"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3C4DBDEB"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Action required </w:t>
            </w:r>
          </w:p>
        </w:tc>
        <w:tc>
          <w:tcPr>
            <w:tcW w:w="1345"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0D7BC42E"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By whom? </w:t>
            </w:r>
          </w:p>
        </w:tc>
        <w:tc>
          <w:tcPr>
            <w:tcW w:w="1189"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6021CA16"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When? </w:t>
            </w:r>
          </w:p>
        </w:tc>
      </w:tr>
      <w:tr w:rsidR="003B0E73" w:rsidRPr="003B0E73" w14:paraId="2233DE5B" w14:textId="77777777" w:rsidTr="003B0E73">
        <w:tc>
          <w:tcPr>
            <w:tcW w:w="141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39B99F"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Slips and Trips </w:t>
            </w:r>
          </w:p>
        </w:tc>
        <w:tc>
          <w:tcPr>
            <w:tcW w:w="192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D92F2D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Performers, teachers</w:t>
            </w:r>
          </w:p>
        </w:tc>
        <w:tc>
          <w:tcPr>
            <w:tcW w:w="745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97BC38E"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Bottled water only in the dance area.</w:t>
            </w:r>
          </w:p>
          <w:p w14:paraId="3C09EC10"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Restrict dance area to flat, level surfaces. Remove furniture and identify hazards where possible. Ensure all bags and clothing are set aside from the dance space.</w:t>
            </w:r>
          </w:p>
          <w:p w14:paraId="63B1F49B"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Securely tape down any loose cables. </w:t>
            </w:r>
          </w:p>
        </w:tc>
        <w:tc>
          <w:tcPr>
            <w:tcW w:w="554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D01D37F"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Monitor throughout activity. Adapt size/area of space used if required. Ask dancers to return belongings if accessed during the session. </w:t>
            </w:r>
          </w:p>
        </w:tc>
        <w:tc>
          <w:tcPr>
            <w:tcW w:w="131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A1B8C47"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Teacher</w:t>
            </w:r>
          </w:p>
        </w:tc>
        <w:tc>
          <w:tcPr>
            <w:tcW w:w="133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E12ACD"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Monitor throughout </w:t>
            </w:r>
          </w:p>
        </w:tc>
      </w:tr>
      <w:tr w:rsidR="003B0E73" w:rsidRPr="003B0E73" w14:paraId="6F8363D9" w14:textId="77777777" w:rsidTr="003B0E73">
        <w:tc>
          <w:tcPr>
            <w:tcW w:w="141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AE6016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General Injury </w:t>
            </w:r>
          </w:p>
        </w:tc>
        <w:tc>
          <w:tcPr>
            <w:tcW w:w="192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4D0BD0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Performers, teachers</w:t>
            </w:r>
          </w:p>
        </w:tc>
        <w:tc>
          <w:tcPr>
            <w:tcW w:w="745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6F0DC5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Ensure appropriate warm-up is practised prior to all practical activity and maintained if necessary. Monitor ability throughout.</w:t>
            </w:r>
          </w:p>
          <w:p w14:paraId="11418F7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Plan all movement activity in advance of session and consider any potential hazards involved, especially with contact and floor-based movement. Explain and model safe practice throughout. </w:t>
            </w:r>
          </w:p>
        </w:tc>
        <w:tc>
          <w:tcPr>
            <w:tcW w:w="551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B29489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Continually monitor activity. Stop specific movement if required </w:t>
            </w:r>
          </w:p>
        </w:tc>
        <w:tc>
          <w:tcPr>
            <w:tcW w:w="131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9D338A1"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Teacher</w:t>
            </w:r>
          </w:p>
        </w:tc>
        <w:tc>
          <w:tcPr>
            <w:tcW w:w="133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730358E"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Monitor throughout </w:t>
            </w:r>
          </w:p>
        </w:tc>
      </w:tr>
      <w:tr w:rsidR="003B0E73" w:rsidRPr="003B0E73" w14:paraId="1126FBCC" w14:textId="77777777" w:rsidTr="003B0E73">
        <w:tc>
          <w:tcPr>
            <w:tcW w:w="141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E9A5ED1"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Injury due to space </w:t>
            </w:r>
          </w:p>
        </w:tc>
        <w:tc>
          <w:tcPr>
            <w:tcW w:w="192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34297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Performers, teachers</w:t>
            </w:r>
          </w:p>
        </w:tc>
        <w:tc>
          <w:tcPr>
            <w:tcW w:w="745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272374"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Ensure spaces are of an appropriate size for number of dancers and activity undertaken, with enough flat surfaces to move freely on. </w:t>
            </w:r>
          </w:p>
        </w:tc>
        <w:tc>
          <w:tcPr>
            <w:tcW w:w="551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87EA97"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Adapt movement if space becomes unsuitable or move to back up location. </w:t>
            </w:r>
          </w:p>
        </w:tc>
        <w:tc>
          <w:tcPr>
            <w:tcW w:w="134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C3F675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Performers, teachers</w:t>
            </w:r>
          </w:p>
        </w:tc>
        <w:tc>
          <w:tcPr>
            <w:tcW w:w="133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76C4F31"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Monitor throughout </w:t>
            </w:r>
          </w:p>
        </w:tc>
      </w:tr>
    </w:tbl>
    <w:p w14:paraId="1F96714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lastRenderedPageBreak/>
        <w:t xml:space="preserve">Injury to self and </w:t>
      </w:r>
      <w:proofErr w:type="gramStart"/>
      <w:r w:rsidRPr="003B0E73">
        <w:rPr>
          <w:rFonts w:ascii="Calibri" w:eastAsia="Times New Roman" w:hAnsi="Calibri" w:cs="Calibri"/>
          <w:kern w:val="0"/>
          <w:lang w:eastAsia="en-GB"/>
          <w14:ligatures w14:val="none"/>
        </w:rPr>
        <w:t>others</w:t>
      </w:r>
      <w:proofErr w:type="gramEnd"/>
      <w:r w:rsidRPr="003B0E73">
        <w:rPr>
          <w:rFonts w:ascii="Calibri" w:eastAsia="Times New Roman" w:hAnsi="Calibri" w:cs="Calibri"/>
          <w:kern w:val="0"/>
          <w:lang w:eastAsia="en-GB"/>
          <w14:ligatures w14:val="none"/>
        </w:rPr>
        <w:t xml:space="preserve"> Props/Costumes </w:t>
      </w:r>
    </w:p>
    <w:p w14:paraId="6984F5D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Performers, teachers</w:t>
      </w:r>
    </w:p>
    <w:p w14:paraId="2CD8A176"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teachers to discuss expectations and respect of others. Set guidelines for any contact work.</w:t>
      </w:r>
    </w:p>
    <w:p w14:paraId="0DB6E99D"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All props/costumes to be considered in advance and rehearsed with. Dancers briefed on safe use by Artist. </w:t>
      </w:r>
    </w:p>
    <w:p w14:paraId="3D2CD2E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Restrict or adapt movement where necessary.</w:t>
      </w:r>
    </w:p>
    <w:p w14:paraId="7BA48BF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Stop using if the prop/costume restricts movement or poses injury. </w:t>
      </w:r>
    </w:p>
    <w:p w14:paraId="729B441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Monitor throughout </w:t>
      </w:r>
    </w:p>
    <w:p w14:paraId="49904F2B"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Monitor throughout </w:t>
      </w:r>
    </w:p>
    <w:p w14:paraId="403A079A" w14:textId="6AAD548A"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noProof/>
          <w:kern w:val="0"/>
          <w:sz w:val="22"/>
          <w:szCs w:val="22"/>
          <w:lang w:eastAsia="en-GB"/>
          <w14:ligatures w14:val="none"/>
        </w:rPr>
        <w:drawing>
          <wp:inline distT="0" distB="0" distL="0" distR="0" wp14:anchorId="4F9D3145" wp14:editId="59A9D168">
            <wp:extent cx="282575" cy="339090"/>
            <wp:effectExtent l="0" t="0" r="0" b="3810"/>
            <wp:docPr id="718384869" name="Picture 2" descr="page1image45201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5201243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575" cy="339090"/>
                    </a:xfrm>
                    <a:prstGeom prst="rect">
                      <a:avLst/>
                    </a:prstGeom>
                    <a:noFill/>
                    <a:ln>
                      <a:noFill/>
                    </a:ln>
                  </pic:spPr>
                </pic:pic>
              </a:graphicData>
            </a:graphic>
          </wp:inline>
        </w:drawing>
      </w:r>
    </w:p>
    <w:p w14:paraId="0D4276C4" w14:textId="77777777" w:rsidR="003B0E73" w:rsidRPr="003B0E73" w:rsidRDefault="003B0E73" w:rsidP="003B0E73">
      <w:pPr>
        <w:rPr>
          <w:rFonts w:ascii="Calibri" w:eastAsia="Times New Roman" w:hAnsi="Calibri" w:cs="Calibri"/>
          <w:color w:val="565656"/>
          <w:kern w:val="0"/>
          <w:sz w:val="18"/>
          <w:szCs w:val="18"/>
          <w:lang w:eastAsia="en-GB"/>
          <w14:ligatures w14:val="none"/>
        </w:rPr>
      </w:pPr>
      <w:r w:rsidRPr="003B0E73">
        <w:rPr>
          <w:rFonts w:ascii="Calibri" w:eastAsia="Times New Roman" w:hAnsi="Calibri" w:cs="Calibri"/>
          <w:color w:val="565656"/>
          <w:kern w:val="0"/>
          <w:sz w:val="18"/>
          <w:szCs w:val="18"/>
          <w:lang w:eastAsia="en-GB"/>
          <w14:ligatures w14:val="none"/>
        </w:rPr>
        <w:t xml:space="preserve">All content © Blue Moose Dance Company 2020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68"/>
        <w:gridCol w:w="1340"/>
        <w:gridCol w:w="2558"/>
        <w:gridCol w:w="1448"/>
        <w:gridCol w:w="917"/>
        <w:gridCol w:w="1275"/>
      </w:tblGrid>
      <w:tr w:rsidR="003B0E73" w:rsidRPr="003B0E73" w14:paraId="1E82DFF9" w14:textId="77777777" w:rsidTr="003B0E73">
        <w:tc>
          <w:tcPr>
            <w:tcW w:w="1380"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49D2EC2F"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Hazard </w:t>
            </w:r>
          </w:p>
        </w:tc>
        <w:tc>
          <w:tcPr>
            <w:tcW w:w="1597"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3BBB9CA5"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Who might be harmed and how? </w:t>
            </w:r>
          </w:p>
        </w:tc>
        <w:tc>
          <w:tcPr>
            <w:tcW w:w="10369"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27752A0E"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Controls in Place </w:t>
            </w:r>
          </w:p>
        </w:tc>
        <w:tc>
          <w:tcPr>
            <w:tcW w:w="3374"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54DB12D5"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Further Action if required </w:t>
            </w:r>
          </w:p>
        </w:tc>
        <w:tc>
          <w:tcPr>
            <w:tcW w:w="1053"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736E549C"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769"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6AB0DFB4"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r>
      <w:tr w:rsidR="003B0E73" w:rsidRPr="003B0E73" w14:paraId="693DC53F" w14:textId="77777777" w:rsidTr="003B0E73">
        <w:tc>
          <w:tcPr>
            <w:tcW w:w="1380"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1DD7164C"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1597"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5F7F15FC"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10369"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297B3D1D"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3374"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77E44FD5"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Action required </w:t>
            </w:r>
          </w:p>
        </w:tc>
        <w:tc>
          <w:tcPr>
            <w:tcW w:w="1081"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0CD79777"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By whom? </w:t>
            </w:r>
          </w:p>
        </w:tc>
        <w:tc>
          <w:tcPr>
            <w:tcW w:w="1044"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45DA7816"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When? </w:t>
            </w:r>
          </w:p>
        </w:tc>
      </w:tr>
      <w:tr w:rsidR="003B0E73" w:rsidRPr="003B0E73" w14:paraId="0CA98885" w14:textId="77777777" w:rsidTr="003B0E73">
        <w:tc>
          <w:tcPr>
            <w:tcW w:w="140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1C4F940"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Dehydration/ Exhaustion </w:t>
            </w:r>
          </w:p>
        </w:tc>
        <w:tc>
          <w:tcPr>
            <w:tcW w:w="159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9ACD49"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Performers, teachers</w:t>
            </w:r>
          </w:p>
        </w:tc>
        <w:tc>
          <w:tcPr>
            <w:tcW w:w="103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C25CD6"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Dancers to have regular breaks throughout the session. Length of sessions to planned based on dancers’ age/needs. Encourage all dancers to bring water/ or provide access to water where possible. Monitor temperature of rehearsal space if possible and adapt physical exertion level of movement accordingly. In cold environments, access the space prior to the start of the session and turn on radiators/heaters. </w:t>
            </w:r>
          </w:p>
        </w:tc>
        <w:tc>
          <w:tcPr>
            <w:tcW w:w="340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0705D21"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Monitor ongoing use of heaters if used. Identify hazard to dancers. Only artist/site staff to use the equipment. </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1B1773B"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37EDC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Monitor throughout </w:t>
            </w:r>
          </w:p>
        </w:tc>
      </w:tr>
    </w:tbl>
    <w:p w14:paraId="5EE703A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Welfare of Performers, teachers to have access to toilets and regular breaks. N/A N/A N/A Participants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08"/>
        <w:gridCol w:w="1325"/>
        <w:gridCol w:w="2286"/>
        <w:gridCol w:w="1618"/>
        <w:gridCol w:w="1089"/>
        <w:gridCol w:w="1280"/>
      </w:tblGrid>
      <w:tr w:rsidR="003B0E73" w:rsidRPr="003B0E73" w14:paraId="3C6C99AC" w14:textId="77777777" w:rsidTr="003B0E73">
        <w:tc>
          <w:tcPr>
            <w:tcW w:w="2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F83CD0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Travelling to and from sites/spaces </w:t>
            </w:r>
          </w:p>
        </w:tc>
        <w:tc>
          <w:tcPr>
            <w:tcW w:w="13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E5D313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Performers, teachers</w:t>
            </w:r>
          </w:p>
        </w:tc>
        <w:tc>
          <w:tcPr>
            <w:tcW w:w="883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83653F0"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If travelling between venues during the activity, everyone to move as a group, crossing roads in a </w:t>
            </w:r>
            <w:r w:rsidRPr="003B0E73">
              <w:rPr>
                <w:rFonts w:ascii="Calibri" w:eastAsia="Times New Roman" w:hAnsi="Calibri" w:cs="Calibri"/>
                <w:kern w:val="0"/>
                <w:lang w:eastAsia="en-GB"/>
                <w14:ligatures w14:val="none"/>
              </w:rPr>
              <w:lastRenderedPageBreak/>
              <w:t>safe manner (at designated crossings if possible).</w:t>
            </w:r>
          </w:p>
          <w:p w14:paraId="173EFE2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to keep register and count dancers in and out. Dancers responsible for own travel to and from start/end venue. </w:t>
            </w:r>
          </w:p>
        </w:tc>
        <w:tc>
          <w:tcPr>
            <w:tcW w:w="346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6A9AB9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lastRenderedPageBreak/>
              <w:t xml:space="preserve">N/A </w:t>
            </w:r>
          </w:p>
        </w:tc>
        <w:tc>
          <w:tcPr>
            <w:tcW w:w="16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629606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N/A </w:t>
            </w:r>
          </w:p>
        </w:tc>
        <w:tc>
          <w:tcPr>
            <w:tcW w:w="121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C643C5D"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N/A </w:t>
            </w:r>
          </w:p>
        </w:tc>
      </w:tr>
      <w:tr w:rsidR="003B0E73" w:rsidRPr="003B0E73" w14:paraId="16534D62" w14:textId="77777777" w:rsidTr="003B0E73">
        <w:tc>
          <w:tcPr>
            <w:tcW w:w="2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D5025D1"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Lack of support </w:t>
            </w:r>
          </w:p>
        </w:tc>
        <w:tc>
          <w:tcPr>
            <w:tcW w:w="136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6C77D97"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Dancers </w:t>
            </w:r>
          </w:p>
        </w:tc>
        <w:tc>
          <w:tcPr>
            <w:tcW w:w="880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E2A12A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For activities involving participants under 18, appropriate number of adults in attendance at all sessions in accordance with current ratio guidelines. </w:t>
            </w:r>
          </w:p>
        </w:tc>
        <w:tc>
          <w:tcPr>
            <w:tcW w:w="346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F1B4440"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Plan artist support into project prior to activity start date </w:t>
            </w:r>
          </w:p>
        </w:tc>
        <w:tc>
          <w:tcPr>
            <w:tcW w:w="17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4161714"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Project Manager </w:t>
            </w:r>
          </w:p>
        </w:tc>
        <w:tc>
          <w:tcPr>
            <w:tcW w:w="131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802D3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Prior to sessions </w:t>
            </w:r>
          </w:p>
        </w:tc>
      </w:tr>
      <w:tr w:rsidR="003B0E73" w:rsidRPr="003B0E73" w14:paraId="09B4297F" w14:textId="77777777" w:rsidTr="003B0E73">
        <w:tc>
          <w:tcPr>
            <w:tcW w:w="2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4CC5723"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Permissions </w:t>
            </w:r>
          </w:p>
        </w:tc>
        <w:tc>
          <w:tcPr>
            <w:tcW w:w="136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37857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Dancers </w:t>
            </w:r>
          </w:p>
        </w:tc>
        <w:tc>
          <w:tcPr>
            <w:tcW w:w="883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3084FCB"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All dancers to sign photo/film consent forms and Participant Consent Forms prior to activity and artists to follow permissions as advised.</w:t>
            </w:r>
          </w:p>
          <w:p w14:paraId="60E9FAAE"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Under 18’s to have completed an emergency contact/medical form where appropriate. </w:t>
            </w:r>
          </w:p>
        </w:tc>
        <w:tc>
          <w:tcPr>
            <w:tcW w:w="348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B42E08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to </w:t>
            </w:r>
            <w:proofErr w:type="gramStart"/>
            <w:r w:rsidRPr="003B0E73">
              <w:rPr>
                <w:rFonts w:ascii="Calibri" w:eastAsia="Times New Roman" w:hAnsi="Calibri" w:cs="Calibri"/>
                <w:kern w:val="0"/>
                <w:lang w:eastAsia="en-GB"/>
                <w14:ligatures w14:val="none"/>
              </w:rPr>
              <w:t>hold emergency contact and medical details at all times</w:t>
            </w:r>
            <w:proofErr w:type="gramEnd"/>
            <w:r w:rsidRPr="003B0E73">
              <w:rPr>
                <w:rFonts w:ascii="Calibri" w:eastAsia="Times New Roman" w:hAnsi="Calibri" w:cs="Calibri"/>
                <w:kern w:val="0"/>
                <w:lang w:eastAsia="en-GB"/>
                <w14:ligatures w14:val="none"/>
              </w:rPr>
              <w:t xml:space="preserve">. </w:t>
            </w:r>
          </w:p>
        </w:tc>
        <w:tc>
          <w:tcPr>
            <w:tcW w:w="16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FAD0D97"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w:t>
            </w:r>
          </w:p>
        </w:tc>
        <w:tc>
          <w:tcPr>
            <w:tcW w:w="133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CEF0C3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Monitor throughout </w:t>
            </w:r>
          </w:p>
        </w:tc>
      </w:tr>
      <w:tr w:rsidR="003B0E73" w:rsidRPr="003B0E73" w14:paraId="35CD3A9C" w14:textId="77777777" w:rsidTr="003B0E73">
        <w:tc>
          <w:tcPr>
            <w:tcW w:w="218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FA89140"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Cyber Bullying and Grooming </w:t>
            </w:r>
          </w:p>
        </w:tc>
        <w:tc>
          <w:tcPr>
            <w:tcW w:w="136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0D9333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Dancers </w:t>
            </w:r>
          </w:p>
        </w:tc>
        <w:tc>
          <w:tcPr>
            <w:tcW w:w="880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78EC590"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Only Artist (with permission) to take photos/films of participants during sessions.</w:t>
            </w:r>
          </w:p>
          <w:p w14:paraId="0B3DCD1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Photographs and films only to be taken and shared with Parental Consent and in line with Photographic Consent &amp; Child Protection Policy. </w:t>
            </w:r>
          </w:p>
          <w:p w14:paraId="5CF2233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lastRenderedPageBreak/>
              <w:t xml:space="preserve">Artist to monitor any potential bullying behaviour and complete Incident Reporting Form where appropriate, with relevant ongoing reporting if applicable, in line with organisation guidelines. </w:t>
            </w:r>
          </w:p>
        </w:tc>
        <w:tc>
          <w:tcPr>
            <w:tcW w:w="346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3E5E8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lastRenderedPageBreak/>
              <w:t xml:space="preserve">Artist to explain Photographic Consent policy to participants. </w:t>
            </w:r>
          </w:p>
        </w:tc>
        <w:tc>
          <w:tcPr>
            <w:tcW w:w="169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3BD67EB"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N/A </w:t>
            </w:r>
          </w:p>
        </w:tc>
        <w:tc>
          <w:tcPr>
            <w:tcW w:w="121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448540D"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N/A </w:t>
            </w:r>
          </w:p>
        </w:tc>
      </w:tr>
    </w:tbl>
    <w:p w14:paraId="1D4E3BE1"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p w14:paraId="5D5BEBF8" w14:textId="77259F22"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noProof/>
          <w:kern w:val="0"/>
          <w:sz w:val="22"/>
          <w:szCs w:val="22"/>
          <w:lang w:eastAsia="en-GB"/>
          <w14:ligatures w14:val="none"/>
        </w:rPr>
        <w:drawing>
          <wp:inline distT="0" distB="0" distL="0" distR="0" wp14:anchorId="5C780DB7" wp14:editId="169127A0">
            <wp:extent cx="282575" cy="339090"/>
            <wp:effectExtent l="0" t="0" r="0" b="3810"/>
            <wp:docPr id="2106489833" name="Picture 1" descr="page2image45240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4524091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575" cy="339090"/>
                    </a:xfrm>
                    <a:prstGeom prst="rect">
                      <a:avLst/>
                    </a:prstGeom>
                    <a:noFill/>
                    <a:ln>
                      <a:noFill/>
                    </a:ln>
                  </pic:spPr>
                </pic:pic>
              </a:graphicData>
            </a:graphic>
          </wp:inline>
        </w:drawing>
      </w:r>
    </w:p>
    <w:p w14:paraId="2A788301" w14:textId="77777777" w:rsidR="003B0E73" w:rsidRPr="003B0E73" w:rsidRDefault="003B0E73" w:rsidP="003B0E73">
      <w:pPr>
        <w:rPr>
          <w:rFonts w:ascii="Calibri" w:eastAsia="Times New Roman" w:hAnsi="Calibri" w:cs="Calibri"/>
          <w:color w:val="565656"/>
          <w:kern w:val="0"/>
          <w:sz w:val="18"/>
          <w:szCs w:val="18"/>
          <w:lang w:eastAsia="en-GB"/>
          <w14:ligatures w14:val="none"/>
        </w:rPr>
      </w:pPr>
      <w:r w:rsidRPr="003B0E73">
        <w:rPr>
          <w:rFonts w:ascii="Calibri" w:eastAsia="Times New Roman" w:hAnsi="Calibri" w:cs="Calibri"/>
          <w:color w:val="565656"/>
          <w:kern w:val="0"/>
          <w:sz w:val="18"/>
          <w:szCs w:val="18"/>
          <w:lang w:eastAsia="en-GB"/>
          <w14:ligatures w14:val="none"/>
        </w:rPr>
        <w:t xml:space="preserve">All content © Blue Moose Dance Company 2020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31"/>
        <w:gridCol w:w="2441"/>
        <w:gridCol w:w="1570"/>
        <w:gridCol w:w="2024"/>
        <w:gridCol w:w="1172"/>
        <w:gridCol w:w="868"/>
      </w:tblGrid>
      <w:tr w:rsidR="003B0E73" w:rsidRPr="003B0E73" w14:paraId="3FADFE78" w14:textId="77777777" w:rsidTr="003B0E73">
        <w:tc>
          <w:tcPr>
            <w:tcW w:w="988"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6C468524"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Hazard </w:t>
            </w:r>
          </w:p>
        </w:tc>
        <w:tc>
          <w:tcPr>
            <w:tcW w:w="3622"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686EB6BA"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Who might be harmed and how? </w:t>
            </w:r>
          </w:p>
        </w:tc>
        <w:tc>
          <w:tcPr>
            <w:tcW w:w="2019"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7A64F920"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Controls in Place </w:t>
            </w:r>
          </w:p>
        </w:tc>
        <w:tc>
          <w:tcPr>
            <w:tcW w:w="2814"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0EB62EA0"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Further Action if required </w:t>
            </w:r>
          </w:p>
        </w:tc>
        <w:tc>
          <w:tcPr>
            <w:tcW w:w="1354"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7E27561C"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720"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461F73E5"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r>
      <w:tr w:rsidR="003B0E73" w:rsidRPr="003B0E73" w14:paraId="2758EB0F" w14:textId="77777777" w:rsidTr="003B0E73">
        <w:tc>
          <w:tcPr>
            <w:tcW w:w="960"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1108191D"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3594"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7EB82700"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1992"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79BD376A"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2786"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6B03C67B"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Action required </w:t>
            </w:r>
          </w:p>
        </w:tc>
        <w:tc>
          <w:tcPr>
            <w:tcW w:w="1382"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0AE248F5"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By whom? </w:t>
            </w:r>
          </w:p>
        </w:tc>
        <w:tc>
          <w:tcPr>
            <w:tcW w:w="868"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2615A49D"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When? </w:t>
            </w:r>
          </w:p>
        </w:tc>
      </w:tr>
    </w:tbl>
    <w:p w14:paraId="193E77FE"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Losing a Child Dancers </w:t>
      </w:r>
      <w:proofErr w:type="spellStart"/>
      <w:r w:rsidRPr="003B0E73">
        <w:rPr>
          <w:rFonts w:ascii="Calibri" w:eastAsia="Times New Roman" w:hAnsi="Calibri" w:cs="Calibri"/>
          <w:kern w:val="0"/>
          <w:lang w:eastAsia="en-GB"/>
          <w14:ligatures w14:val="none"/>
        </w:rPr>
        <w:t>Dancers</w:t>
      </w:r>
      <w:proofErr w:type="spellEnd"/>
      <w:r w:rsidRPr="003B0E73">
        <w:rPr>
          <w:rFonts w:ascii="Calibri" w:eastAsia="Times New Roman" w:hAnsi="Calibri" w:cs="Calibri"/>
          <w:kern w:val="0"/>
          <w:lang w:eastAsia="en-GB"/>
          <w14:ligatures w14:val="none"/>
        </w:rPr>
        <w:t xml:space="preserve"> not to leave rehearsal space without prior N/A N/A permission. All dancers sign in and out with Artist.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16"/>
        <w:gridCol w:w="992"/>
        <w:gridCol w:w="80"/>
        <w:gridCol w:w="2105"/>
        <w:gridCol w:w="2403"/>
        <w:gridCol w:w="727"/>
        <w:gridCol w:w="1283"/>
      </w:tblGrid>
      <w:tr w:rsidR="003B0E73" w:rsidRPr="003B0E73" w14:paraId="05F02DCA" w14:textId="77777777" w:rsidTr="003B0E73">
        <w:tc>
          <w:tcPr>
            <w:tcW w:w="148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C8E0113"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Fire Evacuation </w:t>
            </w:r>
          </w:p>
        </w:tc>
        <w:tc>
          <w:tcPr>
            <w:tcW w:w="128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ECBF96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Dancers </w:t>
            </w:r>
          </w:p>
        </w:tc>
        <w:tc>
          <w:tcPr>
            <w:tcW w:w="8011" w:type="dxa"/>
            <w:gridSpan w:val="2"/>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2C243C"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to be familiar with and follow Fire evacuation procedures at the venue. Take part in regular Fire Safety drills where required by the venue. </w:t>
            </w:r>
          </w:p>
        </w:tc>
        <w:tc>
          <w:tcPr>
            <w:tcW w:w="582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276EBA2" w14:textId="77777777" w:rsidR="003B0E73" w:rsidRPr="003B0E73" w:rsidRDefault="003B0E73" w:rsidP="003B0E73">
            <w:pPr>
              <w:rPr>
                <w:rFonts w:ascii="Calibri" w:eastAsia="Times New Roman" w:hAnsi="Calibri" w:cs="Calibri"/>
                <w:kern w:val="0"/>
                <w:sz w:val="22"/>
                <w:szCs w:val="22"/>
                <w:lang w:eastAsia="en-GB"/>
                <w14:ligatures w14:val="none"/>
              </w:rPr>
            </w:pPr>
            <w:r w:rsidRPr="003B0E73">
              <w:rPr>
                <w:rFonts w:ascii="Calibri" w:eastAsia="Times New Roman" w:hAnsi="Calibri" w:cs="Calibri"/>
                <w:kern w:val="0"/>
                <w:sz w:val="22"/>
                <w:szCs w:val="22"/>
                <w:lang w:eastAsia="en-GB"/>
                <w14:ligatures w14:val="none"/>
              </w:rPr>
              <w:t> </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73A9DE4"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N/A </w:t>
            </w:r>
          </w:p>
        </w:tc>
        <w:tc>
          <w:tcPr>
            <w:tcW w:w="121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C7E6D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N/A </w:t>
            </w:r>
          </w:p>
        </w:tc>
      </w:tr>
      <w:tr w:rsidR="003B0E73" w:rsidRPr="003B0E73" w14:paraId="0EDDA9B2" w14:textId="77777777" w:rsidTr="003B0E73">
        <w:tc>
          <w:tcPr>
            <w:tcW w:w="151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1943C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Various Emergencies </w:t>
            </w:r>
          </w:p>
        </w:tc>
        <w:tc>
          <w:tcPr>
            <w:tcW w:w="128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649CEE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Dancers </w:t>
            </w:r>
          </w:p>
        </w:tc>
        <w:tc>
          <w:tcPr>
            <w:tcW w:w="8022" w:type="dxa"/>
            <w:gridSpan w:val="2"/>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8937B2A"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to have emergency contact numbers and medical information on hand for all participants in case of emergency. Access to First Aid in the venue. Artist to call 999 in case of emergency. </w:t>
            </w:r>
          </w:p>
        </w:tc>
        <w:tc>
          <w:tcPr>
            <w:tcW w:w="582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CE8CEC8"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to complete Accident/Incident Reporting Form when events occur and follow up reporting in line with organisation guidelines. </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A517DEF"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Artist </w:t>
            </w:r>
          </w:p>
        </w:tc>
        <w:tc>
          <w:tcPr>
            <w:tcW w:w="133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3592B45" w14:textId="77777777" w:rsidR="003B0E73" w:rsidRPr="003B0E73" w:rsidRDefault="003B0E73" w:rsidP="003B0E73">
            <w:pPr>
              <w:rPr>
                <w:rFonts w:ascii="Calibri" w:eastAsia="Times New Roman" w:hAnsi="Calibri" w:cs="Calibri"/>
                <w:kern w:val="0"/>
                <w:lang w:eastAsia="en-GB"/>
                <w14:ligatures w14:val="none"/>
              </w:rPr>
            </w:pPr>
            <w:r w:rsidRPr="003B0E73">
              <w:rPr>
                <w:rFonts w:ascii="Calibri" w:eastAsia="Times New Roman" w:hAnsi="Calibri" w:cs="Calibri"/>
                <w:kern w:val="0"/>
                <w:lang w:eastAsia="en-GB"/>
                <w14:ligatures w14:val="none"/>
              </w:rPr>
              <w:t xml:space="preserve">Monitor throughout </w:t>
            </w:r>
          </w:p>
        </w:tc>
      </w:tr>
      <w:tr w:rsidR="003B0E73" w:rsidRPr="003B0E73" w14:paraId="151FC3B9" w14:textId="77777777" w:rsidTr="003B0E73">
        <w:trPr>
          <w:gridAfter w:val="3"/>
          <w:wAfter w:w="2291" w:type="dxa"/>
        </w:trPr>
        <w:tc>
          <w:tcPr>
            <w:tcW w:w="3344" w:type="dxa"/>
            <w:gridSpan w:val="3"/>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68C3CAE8"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Date of Assessment: 18/10/24</w:t>
            </w:r>
          </w:p>
        </w:tc>
        <w:tc>
          <w:tcPr>
            <w:tcW w:w="3371"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3A4C1DCB"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Completed by: Rebekah Leggatt</w:t>
            </w:r>
          </w:p>
        </w:tc>
      </w:tr>
      <w:tr w:rsidR="003B0E73" w:rsidRPr="003B0E73" w14:paraId="089A0722" w14:textId="77777777" w:rsidTr="003B0E73">
        <w:trPr>
          <w:gridAfter w:val="3"/>
          <w:wAfter w:w="2291" w:type="dxa"/>
        </w:trPr>
        <w:tc>
          <w:tcPr>
            <w:tcW w:w="3316" w:type="dxa"/>
            <w:gridSpan w:val="3"/>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7EA454EA"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 xml:space="preserve">Signed: </w:t>
            </w:r>
            <w:proofErr w:type="spellStart"/>
            <w:r w:rsidRPr="003B0E73">
              <w:rPr>
                <w:rFonts w:ascii="Calibri" w:eastAsia="Times New Roman" w:hAnsi="Calibri" w:cs="Calibri"/>
                <w:b/>
                <w:bCs/>
                <w:color w:val="FFFFFF"/>
                <w:kern w:val="0"/>
                <w:lang w:eastAsia="en-GB"/>
                <w14:ligatures w14:val="none"/>
              </w:rPr>
              <w:t>rleggatt</w:t>
            </w:r>
            <w:proofErr w:type="spellEnd"/>
          </w:p>
        </w:tc>
        <w:tc>
          <w:tcPr>
            <w:tcW w:w="3299" w:type="dxa"/>
            <w:tcBorders>
              <w:top w:val="single" w:sz="8" w:space="0" w:color="A3A3A3"/>
              <w:left w:val="single" w:sz="8" w:space="0" w:color="A3A3A3"/>
              <w:bottom w:val="single" w:sz="8" w:space="0" w:color="A3A3A3"/>
              <w:right w:val="single" w:sz="8" w:space="0" w:color="A3A3A3"/>
            </w:tcBorders>
            <w:shd w:val="clear" w:color="auto" w:fill="1E3563"/>
            <w:tcMar>
              <w:top w:w="80" w:type="dxa"/>
              <w:left w:w="80" w:type="dxa"/>
              <w:bottom w:w="80" w:type="dxa"/>
              <w:right w:w="80" w:type="dxa"/>
            </w:tcMar>
            <w:hideMark/>
          </w:tcPr>
          <w:p w14:paraId="015A8481" w14:textId="77777777" w:rsidR="003B0E73" w:rsidRPr="003B0E73" w:rsidRDefault="003B0E73" w:rsidP="003B0E73">
            <w:pPr>
              <w:rPr>
                <w:rFonts w:ascii="Calibri" w:eastAsia="Times New Roman" w:hAnsi="Calibri" w:cs="Calibri"/>
                <w:color w:val="FFFFFF"/>
                <w:kern w:val="0"/>
                <w:lang w:eastAsia="en-GB"/>
                <w14:ligatures w14:val="none"/>
              </w:rPr>
            </w:pPr>
            <w:r w:rsidRPr="003B0E73">
              <w:rPr>
                <w:rFonts w:ascii="Calibri" w:eastAsia="Times New Roman" w:hAnsi="Calibri" w:cs="Calibri"/>
                <w:b/>
                <w:bCs/>
                <w:color w:val="FFFFFF"/>
                <w:kern w:val="0"/>
                <w:lang w:eastAsia="en-GB"/>
                <w14:ligatures w14:val="none"/>
              </w:rPr>
              <w:t>Position:  Principal</w:t>
            </w:r>
          </w:p>
        </w:tc>
      </w:tr>
    </w:tbl>
    <w:p w14:paraId="143DA85A" w14:textId="77777777" w:rsidR="000103A3" w:rsidRDefault="000103A3"/>
    <w:sectPr w:rsidR="00010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73"/>
    <w:rsid w:val="000103A3"/>
    <w:rsid w:val="003B0E73"/>
    <w:rsid w:val="0045244C"/>
    <w:rsid w:val="005253C3"/>
    <w:rsid w:val="00703E15"/>
    <w:rsid w:val="00B22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F3727D"/>
  <w15:chartTrackingRefBased/>
  <w15:docId w15:val="{52B5A426-ABB7-D64E-B4B7-23A5BC33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E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E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E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E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E73"/>
    <w:rPr>
      <w:rFonts w:eastAsiaTheme="majorEastAsia" w:cstheme="majorBidi"/>
      <w:color w:val="272727" w:themeColor="text1" w:themeTint="D8"/>
    </w:rPr>
  </w:style>
  <w:style w:type="paragraph" w:styleId="Title">
    <w:name w:val="Title"/>
    <w:basedOn w:val="Normal"/>
    <w:next w:val="Normal"/>
    <w:link w:val="TitleChar"/>
    <w:uiPriority w:val="10"/>
    <w:qFormat/>
    <w:rsid w:val="003B0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E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E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0E73"/>
    <w:rPr>
      <w:i/>
      <w:iCs/>
      <w:color w:val="404040" w:themeColor="text1" w:themeTint="BF"/>
    </w:rPr>
  </w:style>
  <w:style w:type="paragraph" w:styleId="ListParagraph">
    <w:name w:val="List Paragraph"/>
    <w:basedOn w:val="Normal"/>
    <w:uiPriority w:val="34"/>
    <w:qFormat/>
    <w:rsid w:val="003B0E73"/>
    <w:pPr>
      <w:ind w:left="720"/>
      <w:contextualSpacing/>
    </w:pPr>
  </w:style>
  <w:style w:type="character" w:styleId="IntenseEmphasis">
    <w:name w:val="Intense Emphasis"/>
    <w:basedOn w:val="DefaultParagraphFont"/>
    <w:uiPriority w:val="21"/>
    <w:qFormat/>
    <w:rsid w:val="003B0E73"/>
    <w:rPr>
      <w:i/>
      <w:iCs/>
      <w:color w:val="0F4761" w:themeColor="accent1" w:themeShade="BF"/>
    </w:rPr>
  </w:style>
  <w:style w:type="paragraph" w:styleId="IntenseQuote">
    <w:name w:val="Intense Quote"/>
    <w:basedOn w:val="Normal"/>
    <w:next w:val="Normal"/>
    <w:link w:val="IntenseQuoteChar"/>
    <w:uiPriority w:val="30"/>
    <w:qFormat/>
    <w:rsid w:val="003B0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E73"/>
    <w:rPr>
      <w:i/>
      <w:iCs/>
      <w:color w:val="0F4761" w:themeColor="accent1" w:themeShade="BF"/>
    </w:rPr>
  </w:style>
  <w:style w:type="character" w:styleId="IntenseReference">
    <w:name w:val="Intense Reference"/>
    <w:basedOn w:val="DefaultParagraphFont"/>
    <w:uiPriority w:val="32"/>
    <w:qFormat/>
    <w:rsid w:val="003B0E73"/>
    <w:rPr>
      <w:b/>
      <w:bCs/>
      <w:smallCaps/>
      <w:color w:val="0F4761" w:themeColor="accent1" w:themeShade="BF"/>
      <w:spacing w:val="5"/>
    </w:rPr>
  </w:style>
  <w:style w:type="paragraph" w:styleId="NormalWeb">
    <w:name w:val="Normal (Web)"/>
    <w:basedOn w:val="Normal"/>
    <w:uiPriority w:val="99"/>
    <w:semiHidden/>
    <w:unhideWhenUsed/>
    <w:rsid w:val="003B0E7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3379">
      <w:bodyDiv w:val="1"/>
      <w:marLeft w:val="0"/>
      <w:marRight w:val="0"/>
      <w:marTop w:val="0"/>
      <w:marBottom w:val="0"/>
      <w:divBdr>
        <w:top w:val="none" w:sz="0" w:space="0" w:color="auto"/>
        <w:left w:val="none" w:sz="0" w:space="0" w:color="auto"/>
        <w:bottom w:val="none" w:sz="0" w:space="0" w:color="auto"/>
        <w:right w:val="none" w:sz="0" w:space="0" w:color="auto"/>
      </w:divBdr>
      <w:divsChild>
        <w:div w:id="773553699">
          <w:marLeft w:val="0"/>
          <w:marRight w:val="0"/>
          <w:marTop w:val="0"/>
          <w:marBottom w:val="0"/>
          <w:divBdr>
            <w:top w:val="none" w:sz="0" w:space="0" w:color="auto"/>
            <w:left w:val="none" w:sz="0" w:space="0" w:color="auto"/>
            <w:bottom w:val="none" w:sz="0" w:space="0" w:color="auto"/>
            <w:right w:val="none" w:sz="0" w:space="0" w:color="auto"/>
          </w:divBdr>
        </w:div>
        <w:div w:id="48458435">
          <w:marLeft w:val="0"/>
          <w:marRight w:val="0"/>
          <w:marTop w:val="0"/>
          <w:marBottom w:val="0"/>
          <w:divBdr>
            <w:top w:val="none" w:sz="0" w:space="0" w:color="auto"/>
            <w:left w:val="none" w:sz="0" w:space="0" w:color="auto"/>
            <w:bottom w:val="none" w:sz="0" w:space="0" w:color="auto"/>
            <w:right w:val="none" w:sz="0" w:space="0" w:color="auto"/>
          </w:divBdr>
        </w:div>
        <w:div w:id="2022778679">
          <w:marLeft w:val="0"/>
          <w:marRight w:val="0"/>
          <w:marTop w:val="0"/>
          <w:marBottom w:val="0"/>
          <w:divBdr>
            <w:top w:val="none" w:sz="0" w:space="0" w:color="auto"/>
            <w:left w:val="none" w:sz="0" w:space="0" w:color="auto"/>
            <w:bottom w:val="none" w:sz="0" w:space="0" w:color="auto"/>
            <w:right w:val="none" w:sz="0" w:space="0" w:color="auto"/>
          </w:divBdr>
        </w:div>
        <w:div w:id="2102098993">
          <w:marLeft w:val="0"/>
          <w:marRight w:val="0"/>
          <w:marTop w:val="0"/>
          <w:marBottom w:val="0"/>
          <w:divBdr>
            <w:top w:val="none" w:sz="0" w:space="0" w:color="auto"/>
            <w:left w:val="none" w:sz="0" w:space="0" w:color="auto"/>
            <w:bottom w:val="none" w:sz="0" w:space="0" w:color="auto"/>
            <w:right w:val="none" w:sz="0" w:space="0" w:color="auto"/>
          </w:divBdr>
        </w:div>
        <w:div w:id="25902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BEX LEGGATT</dc:creator>
  <cp:keywords/>
  <dc:description/>
  <cp:lastModifiedBy>(stu) BEX LEGGATT</cp:lastModifiedBy>
  <cp:revision>1</cp:revision>
  <dcterms:created xsi:type="dcterms:W3CDTF">2024-10-18T13:29:00Z</dcterms:created>
  <dcterms:modified xsi:type="dcterms:W3CDTF">2024-10-18T13:30:00Z</dcterms:modified>
</cp:coreProperties>
</file>