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pPr>
      <w:r>
        <w:rPr>
          <w:rFonts w:ascii="Aptos" w:hAnsi="Aptos"/>
          <w:b/>
          <w:i w:val="0"/>
          <w:color w:val="163A5F"/>
          <w:sz w:val="50"/>
        </w:rPr>
        <w:t>LIHTC HOUSING</w:t>
      </w:r>
    </w:p>
    <w:p>
      <w:pPr>
        <w:spacing w:after="280"/>
      </w:pPr>
      <w:r>
        <w:rPr>
          <w:rFonts w:ascii="Aptos" w:hAnsi="Aptos"/>
          <w:b/>
          <w:i w:val="0"/>
          <w:color w:val="2E74B5"/>
          <w:sz w:val="30"/>
        </w:rPr>
        <w:t>Compliance Cheat Sheet for Property Management Teams</w:t>
      </w:r>
    </w:p>
    <w:p>
      <w:pPr>
        <w:spacing w:after="240"/>
      </w:pPr>
      <w:r>
        <w:rPr>
          <w:rFonts w:ascii="Aptos" w:hAnsi="Aptos"/>
          <w:b w:val="0"/>
          <w:i w:val="0"/>
          <w:color w:val="5B6573"/>
          <w:sz w:val="21"/>
        </w:rPr>
        <w:t>A fast federal reference for applications, certifications, rent, unit status, files, and monitoring.</w:t>
      </w:r>
    </w:p>
    <w:tbl>
      <w:tblPr>
        <w:tblW w:type="dxa" w:w="9360"/>
        <w:tblLayout w:type="fixed"/>
        <w:tblLook w:firstColumn="1" w:firstRow="1" w:lastColumn="0" w:lastRow="0" w:noHBand="0" w:noVBand="1" w:val="04A0"/>
        <w:tblInd w:w="120" w:type="dxa"/>
      </w:tblPr>
      <w:tblGrid>
        <w:gridCol w:w="9360"/>
      </w:tblGrid>
      <w:tr>
        <w:tc>
          <w:tcPr>
            <w:tcW w:type="dxa" w:w="9360"/>
            <w:tcMar>
              <w:top w:w="90" w:type="dxa"/>
              <w:start w:w="120" w:type="dxa"/>
              <w:bottom w:w="90" w:type="dxa"/>
              <w:end w:w="120" w:type="dxa"/>
            </w:tcMar>
            <w:vAlign w:val="center"/>
            <w:shd w:fill="FFF4D6"/>
          </w:tcPr>
          <w:p>
            <w:pPr>
              <w:spacing w:after="0"/>
            </w:pPr>
            <w:r>
              <w:rPr>
                <w:rFonts w:ascii="Aptos" w:hAnsi="Aptos"/>
                <w:b/>
                <w:i w:val="0"/>
                <w:color w:val="7A5A00"/>
                <w:sz w:val="20"/>
              </w:rPr>
              <w:t xml:space="preserve">IMPORTANT  </w:t>
            </w:r>
            <w:r>
              <w:rPr>
                <w:rFonts w:ascii="Aptos" w:hAnsi="Aptos"/>
                <w:b w:val="0"/>
                <w:i w:val="0"/>
                <w:color w:val="1F2937"/>
                <w:sz w:val="20"/>
              </w:rPr>
              <w:t>LIHTC is administered by state housing credit agencies. Always follow the project’s recorded land-use restriction agreement/extended use agreement, Form 8609 elections, regulatory agreement, allocation documents, approved utility allowance method, and state agency compliance manual when they are more restrictive.</w:t>
            </w:r>
          </w:p>
        </w:tc>
      </w:tr>
    </w:tbl>
    <w:p>
      <w:pPr>
        <w:spacing w:after="20"/>
      </w:pPr>
    </w:p>
    <w:p>
      <w:pPr>
        <w:pStyle w:val="Heading1"/>
        <w:keepNext/>
      </w:pPr>
      <w:r>
        <w:t>1. Project facts—confirm before processing a file</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90" w:type="dxa"/>
              <w:start w:w="120" w:type="dxa"/>
              <w:bottom w:w="90" w:type="dxa"/>
              <w:end w:w="120" w:type="dxa"/>
            </w:tcMar>
            <w:vAlign w:val="center"/>
            <w:shd w:fill="163A5F"/>
          </w:tcPr>
          <w:p>
            <w:pPr>
              <w:jc w:val="left"/>
            </w:pPr>
            <w:r>
              <w:rPr>
                <w:rFonts w:ascii="Aptos" w:hAnsi="Aptos"/>
                <w:b/>
                <w:i w:val="0"/>
                <w:color w:val="FFFFFF"/>
                <w:sz w:val="20"/>
              </w:rPr>
              <w:t>Confirm</w:t>
            </w:r>
          </w:p>
        </w:tc>
        <w:tc>
          <w:tcPr>
            <w:tcW w:type="dxa" w:w="6660"/>
            <w:tcMar>
              <w:top w:w="90" w:type="dxa"/>
              <w:start w:w="120" w:type="dxa"/>
              <w:bottom w:w="90" w:type="dxa"/>
              <w:end w:w="120" w:type="dxa"/>
            </w:tcMar>
            <w:vAlign w:val="center"/>
            <w:shd w:fill="163A5F"/>
          </w:tcPr>
          <w:p>
            <w:pPr>
              <w:jc w:val="left"/>
            </w:pPr>
            <w:r>
              <w:rPr>
                <w:rFonts w:ascii="Aptos" w:hAnsi="Aptos"/>
                <w:b/>
                <w:i w:val="0"/>
                <w:color w:val="FFFFFF"/>
                <w:sz w:val="20"/>
              </w:rPr>
              <w:t>Property-specific answer</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Minimum set-aside</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 20–50   ☐ 40–60   ☐ Average Income   ☐ NYC 25–60, if applicable</w:t>
            </w:r>
          </w:p>
        </w:tc>
      </w:tr>
      <w:tr>
        <w:tc>
          <w:tcPr>
            <w:tcW w:type="dxa" w:w="2700"/>
            <w:tcMar>
              <w:top w:w="90" w:type="dxa"/>
              <w:start w:w="120" w:type="dxa"/>
              <w:bottom w:w="90" w:type="dxa"/>
              <w:end w:w="120" w:type="dxa"/>
            </w:tcMar>
            <w:vAlign w:val="center"/>
          </w:tcPr>
          <w:p>
            <w:r>
              <w:rPr>
                <w:rFonts w:ascii="Aptos" w:hAnsi="Aptos"/>
                <w:b/>
                <w:i w:val="0"/>
                <w:color w:val="163A5F"/>
                <w:sz w:val="19"/>
              </w:rPr>
              <w:t>Project structure</w:t>
            </w:r>
          </w:p>
        </w:tc>
        <w:tc>
          <w:tcPr>
            <w:tcW w:type="dxa" w:w="6660"/>
            <w:tcMar>
              <w:top w:w="90" w:type="dxa"/>
              <w:start w:w="120" w:type="dxa"/>
              <w:bottom w:w="90" w:type="dxa"/>
              <w:end w:w="120" w:type="dxa"/>
            </w:tcMar>
            <w:vAlign w:val="center"/>
          </w:tcPr>
          <w:p>
            <w:r>
              <w:rPr>
                <w:rFonts w:ascii="Aptos" w:hAnsi="Aptos"/>
                <w:b w:val="0"/>
                <w:i w:val="0"/>
                <w:color w:val="1F2937"/>
                <w:sz w:val="19"/>
              </w:rPr>
              <w:t>☐ Each building stands alone   ☐ Multiple-building project election</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Credit &amp; compliance</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Credit is generally claimed over 10 years; the federal compliance period is 15 years. The recorded agreement generally establishes an extended-use period of at least 30 years, subject to governing documents and state law.</w:t>
            </w:r>
          </w:p>
        </w:tc>
      </w:tr>
      <w:tr>
        <w:tc>
          <w:tcPr>
            <w:tcW w:type="dxa" w:w="2700"/>
            <w:tcMar>
              <w:top w:w="90" w:type="dxa"/>
              <w:start w:w="120" w:type="dxa"/>
              <w:bottom w:w="90" w:type="dxa"/>
              <w:end w:w="120" w:type="dxa"/>
            </w:tcMar>
            <w:vAlign w:val="center"/>
          </w:tcPr>
          <w:p>
            <w:r>
              <w:rPr>
                <w:rFonts w:ascii="Aptos" w:hAnsi="Aptos"/>
                <w:b/>
                <w:i w:val="0"/>
                <w:color w:val="163A5F"/>
                <w:sz w:val="19"/>
              </w:rPr>
              <w:t>Targeting</w:t>
            </w:r>
          </w:p>
        </w:tc>
        <w:tc>
          <w:tcPr>
            <w:tcW w:type="dxa" w:w="6660"/>
            <w:tcMar>
              <w:top w:w="90" w:type="dxa"/>
              <w:start w:w="120" w:type="dxa"/>
              <w:bottom w:w="90" w:type="dxa"/>
              <w:end w:w="120" w:type="dxa"/>
            </w:tcMar>
            <w:vAlign w:val="center"/>
          </w:tcPr>
          <w:p>
            <w:r>
              <w:rPr>
                <w:rFonts w:ascii="Aptos" w:hAnsi="Aptos"/>
                <w:b w:val="0"/>
                <w:i w:val="0"/>
                <w:color w:val="1F2937"/>
                <w:sz w:val="19"/>
              </w:rPr>
              <w:t>Record each required AMI designation, special set-aside, population preference, accessible-unit obligation, HOME/HUD layer, and deeper rent restriction.</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Source of limits</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Use the correct HUD Multifamily Tax Subsidy Project (MTSP) income and rent limits for the project’s location, effective date, placed-in-service history, and hold-harmless status.</w:t>
            </w:r>
          </w:p>
        </w:tc>
      </w:tr>
    </w:tbl>
    <w:p>
      <w:pPr>
        <w:spacing w:after="20"/>
      </w:pPr>
    </w:p>
    <w:p>
      <w:pPr>
        <w:pStyle w:val="Heading1"/>
        <w:keepNext/>
      </w:pPr>
      <w:r>
        <w:t>2. The federal minimum set-aside tests</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90" w:type="dxa"/>
              <w:start w:w="120" w:type="dxa"/>
              <w:bottom w:w="90" w:type="dxa"/>
              <w:end w:w="120" w:type="dxa"/>
            </w:tcMar>
            <w:vAlign w:val="center"/>
            <w:shd w:fill="163A5F"/>
          </w:tcPr>
          <w:p>
            <w:pPr>
              <w:jc w:val="left"/>
            </w:pPr>
            <w:r>
              <w:rPr>
                <w:rFonts w:ascii="Aptos" w:hAnsi="Aptos"/>
                <w:b/>
                <w:i w:val="0"/>
                <w:color w:val="FFFFFF"/>
                <w:sz w:val="20"/>
              </w:rPr>
              <w:t>Election</w:t>
            </w:r>
          </w:p>
        </w:tc>
        <w:tc>
          <w:tcPr>
            <w:tcW w:type="dxa" w:w="6660"/>
            <w:tcMar>
              <w:top w:w="90" w:type="dxa"/>
              <w:start w:w="120" w:type="dxa"/>
              <w:bottom w:w="90" w:type="dxa"/>
              <w:end w:w="120" w:type="dxa"/>
            </w:tcMar>
            <w:vAlign w:val="center"/>
            <w:shd w:fill="163A5F"/>
          </w:tcPr>
          <w:p>
            <w:pPr>
              <w:jc w:val="left"/>
            </w:pPr>
            <w:r>
              <w:rPr>
                <w:rFonts w:ascii="Aptos" w:hAnsi="Aptos"/>
                <w:b/>
                <w:i w:val="0"/>
                <w:color w:val="FFFFFF"/>
                <w:sz w:val="20"/>
              </w:rPr>
              <w:t>Core requirement</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20–50 test</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At least 20% of residential units must be rent-restricted and occupied by households at or below 50% of area median gross income (AMGI).</w:t>
            </w:r>
          </w:p>
        </w:tc>
      </w:tr>
      <w:tr>
        <w:tc>
          <w:tcPr>
            <w:tcW w:type="dxa" w:w="2700"/>
            <w:tcMar>
              <w:top w:w="90" w:type="dxa"/>
              <w:start w:w="120" w:type="dxa"/>
              <w:bottom w:w="90" w:type="dxa"/>
              <w:end w:w="120" w:type="dxa"/>
            </w:tcMar>
            <w:vAlign w:val="center"/>
          </w:tcPr>
          <w:p>
            <w:r>
              <w:rPr>
                <w:rFonts w:ascii="Aptos" w:hAnsi="Aptos"/>
                <w:b/>
                <w:i w:val="0"/>
                <w:color w:val="163A5F"/>
                <w:sz w:val="19"/>
              </w:rPr>
              <w:t>40–60 test</w:t>
            </w:r>
          </w:p>
        </w:tc>
        <w:tc>
          <w:tcPr>
            <w:tcW w:type="dxa" w:w="6660"/>
            <w:tcMar>
              <w:top w:w="90" w:type="dxa"/>
              <w:start w:w="120" w:type="dxa"/>
              <w:bottom w:w="90" w:type="dxa"/>
              <w:end w:w="120" w:type="dxa"/>
            </w:tcMar>
            <w:vAlign w:val="center"/>
          </w:tcPr>
          <w:p>
            <w:r>
              <w:rPr>
                <w:rFonts w:ascii="Aptos" w:hAnsi="Aptos"/>
                <w:b w:val="0"/>
                <w:i w:val="0"/>
                <w:color w:val="1F2937"/>
                <w:sz w:val="19"/>
              </w:rPr>
              <w:t>At least 40% of residential units must be rent-restricted and occupied by households at or below 60% of AMGI.</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Average Income test</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At least 40% of residential units must be rent-restricted and occupied at designated limits of 20%, 30%, 40%, 50%, 60%, 70%, or 80% of AMGI; the average of designated limits for the units used to satisfy the test may not exceed 60%. Follow the owner’s designations, the state agency’s procedures, and current federal recordkeeping/reporting rules.</w:t>
            </w:r>
          </w:p>
        </w:tc>
      </w:tr>
    </w:tbl>
    <w:p>
      <w:pPr>
        <w:spacing w:after="20"/>
      </w:pPr>
    </w:p>
    <w:tbl>
      <w:tblPr>
        <w:tblW w:type="dxa" w:w="9360"/>
        <w:tblLayout w:type="fixed"/>
        <w:tblLook w:firstColumn="1" w:firstRow="1" w:lastColumn="0" w:lastRow="0" w:noHBand="0" w:noVBand="1" w:val="04A0"/>
        <w:tblInd w:w="120" w:type="dxa"/>
      </w:tblPr>
      <w:tblGrid>
        <w:gridCol w:w="9360"/>
      </w:tblGrid>
      <w:tr>
        <w:tc>
          <w:tcPr>
            <w:tcW w:type="dxa" w:w="9360"/>
            <w:tcMar>
              <w:top w:w="90" w:type="dxa"/>
              <w:start w:w="120" w:type="dxa"/>
              <w:bottom w:w="90" w:type="dxa"/>
              <w:end w:w="120" w:type="dxa"/>
            </w:tcMar>
            <w:vAlign w:val="center"/>
            <w:shd w:fill="FDECEC"/>
          </w:tcPr>
          <w:p>
            <w:pPr>
              <w:spacing w:after="0"/>
            </w:pPr>
            <w:r>
              <w:rPr>
                <w:rFonts w:ascii="Aptos" w:hAnsi="Aptos"/>
                <w:b/>
                <w:i w:val="0"/>
                <w:color w:val="9B1C1C"/>
                <w:sz w:val="20"/>
              </w:rPr>
              <w:t xml:space="preserve">DO NOT GUESS  </w:t>
            </w:r>
            <w:r>
              <w:rPr>
                <w:rFonts w:ascii="Aptos" w:hAnsi="Aptos"/>
                <w:b w:val="0"/>
                <w:i w:val="0"/>
                <w:color w:val="1F2937"/>
                <w:sz w:val="20"/>
              </w:rPr>
              <w:t>The elected minimum set-aside is generally irrevocable. A first-year failure can permanently prevent the project from qualifying. Escalate any minimum-set-aside concern immediately.</w:t>
            </w:r>
          </w:p>
        </w:tc>
      </w:tr>
    </w:tbl>
    <w:p>
      <w:pPr>
        <w:spacing w:after="20"/>
      </w:pPr>
    </w:p>
    <w:p>
      <w:pPr>
        <w:pStyle w:val="Heading1"/>
        <w:keepNext/>
      </w:pPr>
      <w:r>
        <w:t>3. Household eligibility at move-in</w:t>
      </w:r>
    </w:p>
    <w:tbl>
      <w:tblPr>
        <w:tblW w:type="dxa" w:w="9360"/>
        <w:tblLayout w:type="fixed"/>
        <w:tblLook w:firstColumn="1" w:firstRow="1" w:lastColumn="0" w:lastRow="0" w:noHBand="0" w:noVBand="1" w:val="04A0"/>
        <w:tblInd w:w="120" w:type="dxa"/>
      </w:tblPr>
      <w:tblGrid>
        <w:gridCol w:w="620"/>
        <w:gridCol w:w="8740"/>
      </w:tblGrid>
      <w:tr>
        <w:tc>
          <w:tcPr>
            <w:tcW w:type="dxa" w:w="620"/>
            <w:tcMar>
              <w:top w:w="90" w:type="dxa"/>
              <w:start w:w="120" w:type="dxa"/>
              <w:bottom w:w="90" w:type="dxa"/>
              <w:end w:w="120" w:type="dxa"/>
            </w:tcMar>
            <w:vAlign w:val="center"/>
            <w:shd w:fill="F8FAFC"/>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shd w:fill="F8FAFC"/>
          </w:tcPr>
          <w:p>
            <w:r>
              <w:rPr>
                <w:rFonts w:ascii="Aptos" w:hAnsi="Aptos"/>
                <w:b w:val="0"/>
                <w:i w:val="0"/>
                <w:color w:val="1F2937"/>
                <w:sz w:val="19"/>
              </w:rPr>
              <w:t>Use a complete application for every adult household member and identify every anticipated occupant.</w:t>
            </w:r>
          </w:p>
        </w:tc>
      </w:tr>
      <w:tr>
        <w:tc>
          <w:tcPr>
            <w:tcW w:type="dxa" w:w="620"/>
            <w:tcMar>
              <w:top w:w="90" w:type="dxa"/>
              <w:start w:w="120" w:type="dxa"/>
              <w:bottom w:w="90" w:type="dxa"/>
              <w:end w:w="120" w:type="dxa"/>
            </w:tcMar>
            <w:vAlign w:val="center"/>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tcPr>
          <w:p>
            <w:r>
              <w:rPr>
                <w:rFonts w:ascii="Aptos" w:hAnsi="Aptos"/>
                <w:b w:val="0"/>
                <w:i w:val="0"/>
                <w:color w:val="1F2937"/>
                <w:sz w:val="19"/>
              </w:rPr>
              <w:t>Determine household composition, anticipated annual income, assets, student status, and applicable program-layer requirements.</w:t>
            </w:r>
          </w:p>
        </w:tc>
      </w:tr>
      <w:tr>
        <w:tc>
          <w:tcPr>
            <w:tcW w:type="dxa" w:w="620"/>
            <w:tcMar>
              <w:top w:w="90" w:type="dxa"/>
              <w:start w:w="120" w:type="dxa"/>
              <w:bottom w:w="90" w:type="dxa"/>
              <w:end w:w="120" w:type="dxa"/>
            </w:tcMar>
            <w:vAlign w:val="center"/>
            <w:shd w:fill="F8FAFC"/>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shd w:fill="F8FAFC"/>
          </w:tcPr>
          <w:p>
            <w:r>
              <w:rPr>
                <w:rFonts w:ascii="Aptos" w:hAnsi="Aptos"/>
                <w:b w:val="0"/>
                <w:i w:val="0"/>
                <w:color w:val="1F2937"/>
                <w:sz w:val="19"/>
              </w:rPr>
              <w:t>Obtain acceptable third-party or other permitted verification under the state agency’s current verification hierarchy and aging rules.</w:t>
            </w:r>
          </w:p>
        </w:tc>
      </w:tr>
      <w:tr>
        <w:tc>
          <w:tcPr>
            <w:tcW w:type="dxa" w:w="620"/>
            <w:tcMar>
              <w:top w:w="90" w:type="dxa"/>
              <w:start w:w="120" w:type="dxa"/>
              <w:bottom w:w="90" w:type="dxa"/>
              <w:end w:w="120" w:type="dxa"/>
            </w:tcMar>
            <w:vAlign w:val="center"/>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tcPr>
          <w:p>
            <w:r>
              <w:rPr>
                <w:rFonts w:ascii="Aptos" w:hAnsi="Aptos"/>
                <w:b w:val="0"/>
                <w:i w:val="0"/>
                <w:color w:val="1F2937"/>
                <w:sz w:val="19"/>
              </w:rPr>
              <w:t>Calculate anticipated gross annual household income using the method required by Section 42, the state agency, and any layered program.</w:t>
            </w:r>
          </w:p>
        </w:tc>
      </w:tr>
      <w:tr>
        <w:tc>
          <w:tcPr>
            <w:tcW w:type="dxa" w:w="620"/>
            <w:tcMar>
              <w:top w:w="90" w:type="dxa"/>
              <w:start w:w="120" w:type="dxa"/>
              <w:bottom w:w="90" w:type="dxa"/>
              <w:end w:w="120" w:type="dxa"/>
            </w:tcMar>
            <w:vAlign w:val="center"/>
            <w:shd w:fill="F8FAFC"/>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shd w:fill="F8FAFC"/>
          </w:tcPr>
          <w:p>
            <w:r>
              <w:rPr>
                <w:rFonts w:ascii="Aptos" w:hAnsi="Aptos"/>
                <w:b w:val="0"/>
                <w:i w:val="0"/>
                <w:color w:val="1F2937"/>
                <w:sz w:val="19"/>
              </w:rPr>
              <w:t>Compare the verified household income with the correct effective income limit for household size and required unit designation.</w:t>
            </w:r>
          </w:p>
        </w:tc>
      </w:tr>
      <w:tr>
        <w:tc>
          <w:tcPr>
            <w:tcW w:type="dxa" w:w="620"/>
            <w:tcMar>
              <w:top w:w="90" w:type="dxa"/>
              <w:start w:w="120" w:type="dxa"/>
              <w:bottom w:w="90" w:type="dxa"/>
              <w:end w:w="120" w:type="dxa"/>
            </w:tcMar>
            <w:vAlign w:val="center"/>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tcPr>
          <w:p>
            <w:r>
              <w:rPr>
                <w:rFonts w:ascii="Aptos" w:hAnsi="Aptos"/>
                <w:b w:val="0"/>
                <w:i w:val="0"/>
                <w:color w:val="1F2937"/>
                <w:sz w:val="19"/>
              </w:rPr>
              <w:t>Complete and sign the tenant income certification and all required state forms before or at move-in, according to agency policy.</w:t>
            </w:r>
          </w:p>
        </w:tc>
      </w:tr>
      <w:tr>
        <w:tc>
          <w:tcPr>
            <w:tcW w:type="dxa" w:w="620"/>
            <w:tcMar>
              <w:top w:w="90" w:type="dxa"/>
              <w:start w:w="120" w:type="dxa"/>
              <w:bottom w:w="90" w:type="dxa"/>
              <w:end w:w="120" w:type="dxa"/>
            </w:tcMar>
            <w:vAlign w:val="center"/>
            <w:shd w:fill="F8FAFC"/>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shd w:fill="F8FAFC"/>
          </w:tcPr>
          <w:p>
            <w:r>
              <w:rPr>
                <w:rFonts w:ascii="Aptos" w:hAnsi="Aptos"/>
                <w:b w:val="0"/>
                <w:i w:val="0"/>
                <w:color w:val="1F2937"/>
                <w:sz w:val="19"/>
              </w:rPr>
              <w:t>Document why the unit is suitable, including bedroom size, occupancy standard, unit designation, accessibility features, and transfer status.</w:t>
            </w:r>
          </w:p>
        </w:tc>
      </w:tr>
      <w:tr>
        <w:tc>
          <w:tcPr>
            <w:tcW w:type="dxa" w:w="620"/>
            <w:tcMar>
              <w:top w:w="90" w:type="dxa"/>
              <w:start w:w="120" w:type="dxa"/>
              <w:bottom w:w="90" w:type="dxa"/>
              <w:end w:w="120" w:type="dxa"/>
            </w:tcMar>
            <w:vAlign w:val="center"/>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tcPr>
          <w:p>
            <w:r>
              <w:rPr>
                <w:rFonts w:ascii="Aptos" w:hAnsi="Aptos"/>
                <w:b w:val="0"/>
                <w:i w:val="0"/>
                <w:color w:val="1F2937"/>
                <w:sz w:val="19"/>
              </w:rPr>
              <w:t>Confirm gross rent will not exceed the applicable LIHTC maximum after required utility-allowance treatment.</w:t>
            </w:r>
          </w:p>
        </w:tc>
      </w:tr>
    </w:tbl>
    <w:p>
      <w:pPr>
        <w:spacing w:after="20"/>
      </w:pPr>
    </w:p>
    <w:p>
      <w:pPr>
        <w:pStyle w:val="Heading2"/>
        <w:keepNext/>
      </w:pPr>
      <w:r>
        <w:t>Income: quick decision guide</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90" w:type="dxa"/>
              <w:start w:w="120" w:type="dxa"/>
              <w:bottom w:w="90" w:type="dxa"/>
              <w:end w:w="120" w:type="dxa"/>
            </w:tcMar>
            <w:vAlign w:val="center"/>
            <w:shd w:fill="163A5F"/>
          </w:tcPr>
          <w:p>
            <w:pPr>
              <w:jc w:val="left"/>
            </w:pPr>
            <w:r>
              <w:rPr>
                <w:rFonts w:ascii="Aptos" w:hAnsi="Aptos"/>
                <w:b/>
                <w:i w:val="0"/>
                <w:color w:val="FFFFFF"/>
                <w:sz w:val="20"/>
              </w:rPr>
              <w:t>Topic</w:t>
            </w:r>
          </w:p>
        </w:tc>
        <w:tc>
          <w:tcPr>
            <w:tcW w:type="dxa" w:w="6660"/>
            <w:tcMar>
              <w:top w:w="90" w:type="dxa"/>
              <w:start w:w="120" w:type="dxa"/>
              <w:bottom w:w="90" w:type="dxa"/>
              <w:end w:w="120" w:type="dxa"/>
            </w:tcMar>
            <w:vAlign w:val="center"/>
            <w:shd w:fill="163A5F"/>
          </w:tcPr>
          <w:p>
            <w:pPr>
              <w:jc w:val="left"/>
            </w:pPr>
            <w:r>
              <w:rPr>
                <w:rFonts w:ascii="Aptos" w:hAnsi="Aptos"/>
                <w:b/>
                <w:i w:val="0"/>
                <w:color w:val="FFFFFF"/>
                <w:sz w:val="20"/>
              </w:rPr>
              <w:t>Manager reminder</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Count</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Anticipated income from all adult household members and any income attributable to minors when required; wages, recurring benefits, pensions, self-employment, periodic payments, and asset income must be evaluated under the governing rules.</w:t>
            </w:r>
          </w:p>
        </w:tc>
      </w:tr>
      <w:tr>
        <w:tc>
          <w:tcPr>
            <w:tcW w:type="dxa" w:w="2700"/>
            <w:tcMar>
              <w:top w:w="90" w:type="dxa"/>
              <w:start w:w="120" w:type="dxa"/>
              <w:bottom w:w="90" w:type="dxa"/>
              <w:end w:w="120" w:type="dxa"/>
            </w:tcMar>
            <w:vAlign w:val="center"/>
          </w:tcPr>
          <w:p>
            <w:r>
              <w:rPr>
                <w:rFonts w:ascii="Aptos" w:hAnsi="Aptos"/>
                <w:b/>
                <w:i w:val="0"/>
                <w:color w:val="163A5F"/>
                <w:sz w:val="19"/>
              </w:rPr>
              <w:t>Verify</w:t>
            </w:r>
          </w:p>
        </w:tc>
        <w:tc>
          <w:tcPr>
            <w:tcW w:type="dxa" w:w="6660"/>
            <w:tcMar>
              <w:top w:w="90" w:type="dxa"/>
              <w:start w:w="120" w:type="dxa"/>
              <w:bottom w:w="90" w:type="dxa"/>
              <w:end w:w="120" w:type="dxa"/>
            </w:tcMar>
            <w:vAlign w:val="center"/>
          </w:tcPr>
          <w:p>
            <w:r>
              <w:rPr>
                <w:rFonts w:ascii="Aptos" w:hAnsi="Aptos"/>
                <w:b w:val="0"/>
                <w:i w:val="0"/>
                <w:color w:val="1F2937"/>
                <w:sz w:val="19"/>
              </w:rPr>
              <w:t>Resolve discrepancies among application statements, pay information, benefit letters, bank records, prior certifications, and any available program reports. Document the final determination.</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Time period</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Project income for the 12 months following the effective date using known facts and changes that can be anticipated.</w:t>
            </w:r>
          </w:p>
        </w:tc>
      </w:tr>
      <w:tr>
        <w:tc>
          <w:tcPr>
            <w:tcW w:type="dxa" w:w="2700"/>
            <w:tcMar>
              <w:top w:w="90" w:type="dxa"/>
              <w:start w:w="120" w:type="dxa"/>
              <w:bottom w:w="90" w:type="dxa"/>
              <w:end w:w="120" w:type="dxa"/>
            </w:tcMar>
            <w:vAlign w:val="center"/>
          </w:tcPr>
          <w:p>
            <w:r>
              <w:rPr>
                <w:rFonts w:ascii="Aptos" w:hAnsi="Aptos"/>
                <w:b/>
                <w:i w:val="0"/>
                <w:color w:val="163A5F"/>
                <w:sz w:val="19"/>
              </w:rPr>
              <w:t>Assets</w:t>
            </w:r>
          </w:p>
        </w:tc>
        <w:tc>
          <w:tcPr>
            <w:tcW w:type="dxa" w:w="6660"/>
            <w:tcMar>
              <w:top w:w="90" w:type="dxa"/>
              <w:start w:w="120" w:type="dxa"/>
              <w:bottom w:w="90" w:type="dxa"/>
              <w:end w:w="120" w:type="dxa"/>
            </w:tcMar>
            <w:vAlign w:val="center"/>
          </w:tcPr>
          <w:p>
            <w:r>
              <w:rPr>
                <w:rFonts w:ascii="Aptos" w:hAnsi="Aptos"/>
                <w:b w:val="0"/>
                <w:i w:val="0"/>
                <w:color w:val="1F2937"/>
                <w:sz w:val="19"/>
              </w:rPr>
              <w:t>Identify ownership, cash value, income generated, and assets disposed of for less than fair market value when applicable. Apply the project’s current required imputed-income rules and state forms.</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Layered programs</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HUD, HOME, NHTF, RD, bond, or local funds may impose additional definitions, exclusions, asset rules, forms, and recertification requirements. Apply every layer.</w:t>
            </w:r>
          </w:p>
        </w:tc>
      </w:tr>
    </w:tbl>
    <w:p>
      <w:pPr>
        <w:spacing w:after="20"/>
      </w:pPr>
    </w:p>
    <w:p>
      <w:pPr>
        <w:pStyle w:val="Heading1"/>
        <w:keepNext/>
      </w:pPr>
      <w:r>
        <w:t>4. Full-time student rule</w:t>
      </w:r>
    </w:p>
    <w:tbl>
      <w:tblPr>
        <w:tblW w:type="dxa" w:w="9360"/>
        <w:tblLayout w:type="fixed"/>
        <w:tblLook w:firstColumn="1" w:firstRow="1" w:lastColumn="0" w:lastRow="0" w:noHBand="0" w:noVBand="1" w:val="04A0"/>
        <w:tblInd w:w="120" w:type="dxa"/>
      </w:tblPr>
      <w:tblGrid>
        <w:gridCol w:w="9360"/>
      </w:tblGrid>
      <w:tr>
        <w:tc>
          <w:tcPr>
            <w:tcW w:type="dxa" w:w="9360"/>
            <w:tcMar>
              <w:top w:w="90" w:type="dxa"/>
              <w:start w:w="120" w:type="dxa"/>
              <w:bottom w:w="90" w:type="dxa"/>
              <w:end w:w="120" w:type="dxa"/>
            </w:tcMar>
            <w:vAlign w:val="center"/>
            <w:shd w:fill="E8EEF5"/>
          </w:tcPr>
          <w:p>
            <w:pPr>
              <w:spacing w:after="0"/>
            </w:pPr>
            <w:r>
              <w:rPr>
                <w:rFonts w:ascii="Aptos" w:hAnsi="Aptos"/>
                <w:b/>
                <w:i w:val="0"/>
                <w:color w:val="163A5F"/>
                <w:sz w:val="20"/>
              </w:rPr>
              <w:t xml:space="preserve">GENERAL RULE  </w:t>
            </w:r>
            <w:r>
              <w:rPr>
                <w:rFonts w:ascii="Aptos" w:hAnsi="Aptos"/>
                <w:b w:val="0"/>
                <w:i w:val="0"/>
                <w:color w:val="1F2937"/>
                <w:sz w:val="20"/>
              </w:rPr>
              <w:t>A LIHTC household composed entirely of full-time students for five months of the calendar year—months need not be consecutive—does not qualify unless a statutory exception applies and is documented. Confirm how the educational institution defines full-time status.</w:t>
            </w:r>
          </w:p>
        </w:tc>
      </w:tr>
    </w:tbl>
    <w:p>
      <w:pPr>
        <w:spacing w:after="20"/>
      </w:pP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90" w:type="dxa"/>
              <w:start w:w="120" w:type="dxa"/>
              <w:bottom w:w="90" w:type="dxa"/>
              <w:end w:w="120" w:type="dxa"/>
            </w:tcMar>
            <w:vAlign w:val="center"/>
            <w:shd w:fill="163A5F"/>
          </w:tcPr>
          <w:p>
            <w:pPr>
              <w:jc w:val="left"/>
            </w:pPr>
            <w:r>
              <w:rPr>
                <w:rFonts w:ascii="Aptos" w:hAnsi="Aptos"/>
                <w:b/>
                <w:i w:val="0"/>
                <w:color w:val="FFFFFF"/>
                <w:sz w:val="20"/>
              </w:rPr>
              <w:t>Potential exception</w:t>
            </w:r>
          </w:p>
        </w:tc>
        <w:tc>
          <w:tcPr>
            <w:tcW w:type="dxa" w:w="6660"/>
            <w:tcMar>
              <w:top w:w="90" w:type="dxa"/>
              <w:start w:w="120" w:type="dxa"/>
              <w:bottom w:w="90" w:type="dxa"/>
              <w:end w:w="120" w:type="dxa"/>
            </w:tcMar>
            <w:vAlign w:val="center"/>
            <w:shd w:fill="163A5F"/>
          </w:tcPr>
          <w:p>
            <w:pPr>
              <w:jc w:val="left"/>
            </w:pPr>
            <w:r>
              <w:rPr>
                <w:rFonts w:ascii="Aptos" w:hAnsi="Aptos"/>
                <w:b/>
                <w:i w:val="0"/>
                <w:color w:val="FFFFFF"/>
                <w:sz w:val="20"/>
              </w:rPr>
              <w:t>Documentation focus</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TANF exception</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The household receives assistance under Title IV of the Social Security Act (TANF).</w:t>
            </w:r>
          </w:p>
        </w:tc>
      </w:tr>
      <w:tr>
        <w:tc>
          <w:tcPr>
            <w:tcW w:type="dxa" w:w="2700"/>
            <w:tcMar>
              <w:top w:w="90" w:type="dxa"/>
              <w:start w:w="120" w:type="dxa"/>
              <w:bottom w:w="90" w:type="dxa"/>
              <w:end w:w="120" w:type="dxa"/>
            </w:tcMar>
            <w:vAlign w:val="center"/>
          </w:tcPr>
          <w:p>
            <w:r>
              <w:rPr>
                <w:rFonts w:ascii="Aptos" w:hAnsi="Aptos"/>
                <w:b/>
                <w:i w:val="0"/>
                <w:color w:val="163A5F"/>
                <w:sz w:val="19"/>
              </w:rPr>
              <w:t>Job-training exception</w:t>
            </w:r>
          </w:p>
        </w:tc>
        <w:tc>
          <w:tcPr>
            <w:tcW w:type="dxa" w:w="6660"/>
            <w:tcMar>
              <w:top w:w="90" w:type="dxa"/>
              <w:start w:w="120" w:type="dxa"/>
              <w:bottom w:w="90" w:type="dxa"/>
              <w:end w:w="120" w:type="dxa"/>
            </w:tcMar>
            <w:vAlign w:val="center"/>
          </w:tcPr>
          <w:p>
            <w:r>
              <w:rPr>
                <w:rFonts w:ascii="Aptos" w:hAnsi="Aptos"/>
                <w:b w:val="0"/>
                <w:i w:val="0"/>
                <w:color w:val="1F2937"/>
                <w:sz w:val="19"/>
              </w:rPr>
              <w:t>The student is enrolled in a qualifying job-training program receiving assistance under the Workforce Innovation and Opportunity Act or a similar federal, state, or local program.</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Single-parent exception</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The household consists of a single parent and child(ren), and neither the parent nor child is a dependent of another person—except that the children may be dependents of the other parent.</w:t>
            </w:r>
          </w:p>
        </w:tc>
      </w:tr>
      <w:tr>
        <w:tc>
          <w:tcPr>
            <w:tcW w:type="dxa" w:w="2700"/>
            <w:tcMar>
              <w:top w:w="90" w:type="dxa"/>
              <w:start w:w="120" w:type="dxa"/>
              <w:bottom w:w="90" w:type="dxa"/>
              <w:end w:w="120" w:type="dxa"/>
            </w:tcMar>
            <w:vAlign w:val="center"/>
          </w:tcPr>
          <w:p>
            <w:r>
              <w:rPr>
                <w:rFonts w:ascii="Aptos" w:hAnsi="Aptos"/>
                <w:b/>
                <w:i w:val="0"/>
                <w:color w:val="163A5F"/>
                <w:sz w:val="19"/>
              </w:rPr>
              <w:t>Married-filing-jointly exception</w:t>
            </w:r>
          </w:p>
        </w:tc>
        <w:tc>
          <w:tcPr>
            <w:tcW w:type="dxa" w:w="6660"/>
            <w:tcMar>
              <w:top w:w="90" w:type="dxa"/>
              <w:start w:w="120" w:type="dxa"/>
              <w:bottom w:w="90" w:type="dxa"/>
              <w:end w:w="120" w:type="dxa"/>
            </w:tcMar>
            <w:vAlign w:val="center"/>
          </w:tcPr>
          <w:p>
            <w:r>
              <w:rPr>
                <w:rFonts w:ascii="Aptos" w:hAnsi="Aptos"/>
                <w:b w:val="0"/>
                <w:i w:val="0"/>
                <w:color w:val="1F2937"/>
                <w:sz w:val="19"/>
              </w:rPr>
              <w:t>The students are married and eligible to file a joint federal tax return. Verify under current agency guidance; actual filing may not be required.</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Foster-care exception</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At least one student was previously under the care and placement responsibility of a state agency administering foster care.</w:t>
            </w:r>
          </w:p>
        </w:tc>
      </w:tr>
    </w:tbl>
    <w:p>
      <w:pPr>
        <w:spacing w:after="20"/>
      </w:pPr>
    </w:p>
    <w:p>
      <w:pPr>
        <w:pStyle w:val="Heading1"/>
        <w:keepNext/>
      </w:pPr>
      <w:r>
        <w:t>5. Rent, utilities, and fees</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90" w:type="dxa"/>
              <w:start w:w="120" w:type="dxa"/>
              <w:bottom w:w="90" w:type="dxa"/>
              <w:end w:w="120" w:type="dxa"/>
            </w:tcMar>
            <w:vAlign w:val="center"/>
            <w:shd w:fill="163A5F"/>
          </w:tcPr>
          <w:p>
            <w:pPr>
              <w:jc w:val="left"/>
            </w:pPr>
            <w:r>
              <w:rPr>
                <w:rFonts w:ascii="Aptos" w:hAnsi="Aptos"/>
                <w:b/>
                <w:i w:val="0"/>
                <w:color w:val="FFFFFF"/>
                <w:sz w:val="20"/>
              </w:rPr>
              <w:t>Rule</w:t>
            </w:r>
          </w:p>
        </w:tc>
        <w:tc>
          <w:tcPr>
            <w:tcW w:type="dxa" w:w="6660"/>
            <w:tcMar>
              <w:top w:w="90" w:type="dxa"/>
              <w:start w:w="120" w:type="dxa"/>
              <w:bottom w:w="90" w:type="dxa"/>
              <w:end w:w="120" w:type="dxa"/>
            </w:tcMar>
            <w:vAlign w:val="center"/>
            <w:shd w:fill="163A5F"/>
          </w:tcPr>
          <w:p>
            <w:pPr>
              <w:jc w:val="left"/>
            </w:pPr>
            <w:r>
              <w:rPr>
                <w:rFonts w:ascii="Aptos" w:hAnsi="Aptos"/>
                <w:b/>
                <w:i w:val="0"/>
                <w:color w:val="FFFFFF"/>
                <w:sz w:val="20"/>
              </w:rPr>
              <w:t>Operational check</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Gross-rent ceiling</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The LIHTC gross-rent limit is generally 30% of the applicable imputed income limitation, using an assumed family size of 1.5 persons per bedroom; studios use one person. Use the published rent table and project designation.</w:t>
            </w:r>
          </w:p>
        </w:tc>
      </w:tr>
      <w:tr>
        <w:tc>
          <w:tcPr>
            <w:tcW w:type="dxa" w:w="2700"/>
            <w:tcMar>
              <w:top w:w="90" w:type="dxa"/>
              <w:start w:w="120" w:type="dxa"/>
              <w:bottom w:w="90" w:type="dxa"/>
              <w:end w:w="120" w:type="dxa"/>
            </w:tcMar>
            <w:vAlign w:val="center"/>
          </w:tcPr>
          <w:p>
            <w:r>
              <w:rPr>
                <w:rFonts w:ascii="Aptos" w:hAnsi="Aptos"/>
                <w:b/>
                <w:i w:val="0"/>
                <w:color w:val="163A5F"/>
                <w:sz w:val="19"/>
              </w:rPr>
              <w:t>Tenant-paid utilities</w:t>
            </w:r>
          </w:p>
        </w:tc>
        <w:tc>
          <w:tcPr>
            <w:tcW w:type="dxa" w:w="6660"/>
            <w:tcMar>
              <w:top w:w="90" w:type="dxa"/>
              <w:start w:w="120" w:type="dxa"/>
              <w:bottom w:w="90" w:type="dxa"/>
              <w:end w:w="120" w:type="dxa"/>
            </w:tcMar>
            <w:vAlign w:val="center"/>
          </w:tcPr>
          <w:p>
            <w:r>
              <w:rPr>
                <w:rFonts w:ascii="Aptos" w:hAnsi="Aptos"/>
                <w:b w:val="0"/>
                <w:i w:val="0"/>
                <w:color w:val="1F2937"/>
                <w:sz w:val="19"/>
              </w:rPr>
              <w:t>Gross rent includes the tenant-paid utility allowance for utilities other than telephone, cable, and internet. The maximum tenant rent is generally the gross-rent ceiling minus the applicable utility allowance.</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Rental assistance</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Payments made under qualifying rental-assistance programs generally are not counted as tenant-paid gross rent; review special rules for any unusual assistance or supportive-service payment.</w:t>
            </w:r>
          </w:p>
        </w:tc>
      </w:tr>
      <w:tr>
        <w:tc>
          <w:tcPr>
            <w:tcW w:type="dxa" w:w="2700"/>
            <w:tcMar>
              <w:top w:w="90" w:type="dxa"/>
              <w:start w:w="120" w:type="dxa"/>
              <w:bottom w:w="90" w:type="dxa"/>
              <w:end w:w="120" w:type="dxa"/>
            </w:tcMar>
            <w:vAlign w:val="center"/>
          </w:tcPr>
          <w:p>
            <w:r>
              <w:rPr>
                <w:rFonts w:ascii="Aptos" w:hAnsi="Aptos"/>
                <w:b/>
                <w:i w:val="0"/>
                <w:color w:val="163A5F"/>
                <w:sz w:val="19"/>
              </w:rPr>
              <w:t>Mandatory fees</w:t>
            </w:r>
          </w:p>
        </w:tc>
        <w:tc>
          <w:tcPr>
            <w:tcW w:type="dxa" w:w="6660"/>
            <w:tcMar>
              <w:top w:w="90" w:type="dxa"/>
              <w:start w:w="120" w:type="dxa"/>
              <w:bottom w:w="90" w:type="dxa"/>
              <w:end w:w="120" w:type="dxa"/>
            </w:tcMar>
            <w:vAlign w:val="center"/>
          </w:tcPr>
          <w:p>
            <w:r>
              <w:rPr>
                <w:rFonts w:ascii="Aptos" w:hAnsi="Aptos"/>
                <w:b w:val="0"/>
                <w:i w:val="0"/>
                <w:color w:val="1F2937"/>
                <w:sz w:val="19"/>
              </w:rPr>
              <w:t>A mandatory fee or required service may be treated as rent. Do not charge application, amenity, parking, service, or other fees without confirming the governing documents and agency policy.</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Utility changes</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Implement new utility allowances within the required timeframe, provide any required notice, retain the calculation/source, and test every affected unit for rent compliance.</w:t>
            </w:r>
          </w:p>
        </w:tc>
      </w:tr>
      <w:tr>
        <w:tc>
          <w:tcPr>
            <w:tcW w:type="dxa" w:w="2700"/>
            <w:tcMar>
              <w:top w:w="90" w:type="dxa"/>
              <w:start w:w="120" w:type="dxa"/>
              <w:bottom w:w="90" w:type="dxa"/>
              <w:end w:w="120" w:type="dxa"/>
            </w:tcMar>
            <w:vAlign w:val="center"/>
          </w:tcPr>
          <w:p>
            <w:r>
              <w:rPr>
                <w:rFonts w:ascii="Aptos" w:hAnsi="Aptos"/>
                <w:b/>
                <w:i w:val="0"/>
                <w:color w:val="163A5F"/>
                <w:sz w:val="19"/>
              </w:rPr>
              <w:t>Concessions</w:t>
            </w:r>
          </w:p>
        </w:tc>
        <w:tc>
          <w:tcPr>
            <w:tcW w:type="dxa" w:w="6660"/>
            <w:tcMar>
              <w:top w:w="90" w:type="dxa"/>
              <w:start w:w="120" w:type="dxa"/>
              <w:bottom w:w="90" w:type="dxa"/>
              <w:end w:w="120" w:type="dxa"/>
            </w:tcMar>
            <w:vAlign w:val="center"/>
          </w:tcPr>
          <w:p>
            <w:r>
              <w:rPr>
                <w:rFonts w:ascii="Aptos" w:hAnsi="Aptos"/>
                <w:b w:val="0"/>
                <w:i w:val="0"/>
                <w:color w:val="1F2937"/>
                <w:sz w:val="19"/>
              </w:rPr>
              <w:t>Document concessions, credits, specials, and side agreements. Test the effective tenant charge—not only the lease face rent—against agency rules.</w:t>
            </w:r>
          </w:p>
        </w:tc>
      </w:tr>
    </w:tbl>
    <w:p>
      <w:pPr>
        <w:spacing w:after="20"/>
      </w:pPr>
    </w:p>
    <w:p>
      <w:pPr>
        <w:pStyle w:val="Heading2"/>
        <w:keepNext/>
      </w:pPr>
      <w:r>
        <w:t>Maximum tenant-rent formula</w:t>
      </w:r>
    </w:p>
    <w:tbl>
      <w:tblPr>
        <w:tblW w:type="dxa" w:w="9360"/>
        <w:tblLayout w:type="fixed"/>
        <w:tblLook w:firstColumn="1" w:firstRow="1" w:lastColumn="0" w:lastRow="0" w:noHBand="0" w:noVBand="1" w:val="04A0"/>
        <w:tblInd w:w="120" w:type="dxa"/>
      </w:tblPr>
      <w:tblGrid>
        <w:gridCol w:w="9360"/>
      </w:tblGrid>
      <w:tr>
        <w:tc>
          <w:tcPr>
            <w:tcW w:type="dxa" w:w="9360"/>
            <w:tcMar>
              <w:top w:w="90" w:type="dxa"/>
              <w:start w:w="120" w:type="dxa"/>
              <w:bottom w:w="90" w:type="dxa"/>
              <w:end w:w="120" w:type="dxa"/>
            </w:tcMar>
            <w:vAlign w:val="center"/>
            <w:shd w:fill="EAF4EC"/>
          </w:tcPr>
          <w:p>
            <w:pPr>
              <w:spacing w:after="0"/>
            </w:pPr>
            <w:r>
              <w:rPr>
                <w:rFonts w:ascii="Aptos" w:hAnsi="Aptos"/>
                <w:b/>
                <w:i w:val="0"/>
                <w:color w:val="29643B"/>
                <w:sz w:val="20"/>
              </w:rPr>
              <w:t xml:space="preserve">FORMULA  </w:t>
            </w:r>
            <w:r>
              <w:rPr>
                <w:rFonts w:ascii="Aptos" w:hAnsi="Aptos"/>
                <w:b w:val="0"/>
                <w:i w:val="0"/>
                <w:color w:val="1F2937"/>
                <w:sz w:val="20"/>
              </w:rPr>
              <w:t>Maximum allowable tenant rent = applicable LIHTC gross-rent limit − tenant-paid utility allowance − any other required gross-rent adjustments. Never subtract owner-paid utilities. Confirm treatment of rental assistance and mandatory charges.</w:t>
            </w:r>
          </w:p>
        </w:tc>
      </w:tr>
    </w:tbl>
    <w:p>
      <w:pPr>
        <w:spacing w:after="20"/>
      </w:pPr>
    </w:p>
    <w:p>
      <w:pPr>
        <w:pStyle w:val="Heading1"/>
        <w:keepNext/>
      </w:pPr>
      <w:r>
        <w:t>6. Annual recertification and household changes</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90" w:type="dxa"/>
              <w:start w:w="120" w:type="dxa"/>
              <w:bottom w:w="90" w:type="dxa"/>
              <w:end w:w="120" w:type="dxa"/>
            </w:tcMar>
            <w:vAlign w:val="center"/>
            <w:shd w:fill="163A5F"/>
          </w:tcPr>
          <w:p>
            <w:pPr>
              <w:jc w:val="left"/>
            </w:pPr>
            <w:r>
              <w:rPr>
                <w:rFonts w:ascii="Aptos" w:hAnsi="Aptos"/>
                <w:b/>
                <w:i w:val="0"/>
                <w:color w:val="FFFFFF"/>
                <w:sz w:val="20"/>
              </w:rPr>
              <w:t>Event</w:t>
            </w:r>
          </w:p>
        </w:tc>
        <w:tc>
          <w:tcPr>
            <w:tcW w:type="dxa" w:w="6660"/>
            <w:tcMar>
              <w:top w:w="90" w:type="dxa"/>
              <w:start w:w="120" w:type="dxa"/>
              <w:bottom w:w="90" w:type="dxa"/>
              <w:end w:w="120" w:type="dxa"/>
            </w:tcMar>
            <w:vAlign w:val="center"/>
            <w:shd w:fill="163A5F"/>
          </w:tcPr>
          <w:p>
            <w:pPr>
              <w:jc w:val="left"/>
            </w:pPr>
            <w:r>
              <w:rPr>
                <w:rFonts w:ascii="Aptos" w:hAnsi="Aptos"/>
                <w:b/>
                <w:i w:val="0"/>
                <w:color w:val="FFFFFF"/>
                <w:sz w:val="20"/>
              </w:rPr>
              <w:t>Required response</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Annual certification</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Complete annual income recertifications when required by the state agency, governing agreement, or another funding layer. Federal law provides an exception from the annual income-recertification requirement for qualifying 100% low-income buildings, but state or layered requirements may still require updates or certifications.</w:t>
            </w:r>
          </w:p>
        </w:tc>
      </w:tr>
      <w:tr>
        <w:tc>
          <w:tcPr>
            <w:tcW w:type="dxa" w:w="2700"/>
            <w:tcMar>
              <w:top w:w="90" w:type="dxa"/>
              <w:start w:w="120" w:type="dxa"/>
              <w:bottom w:w="90" w:type="dxa"/>
              <w:end w:w="120" w:type="dxa"/>
            </w:tcMar>
            <w:vAlign w:val="center"/>
          </w:tcPr>
          <w:p>
            <w:r>
              <w:rPr>
                <w:rFonts w:ascii="Aptos" w:hAnsi="Aptos"/>
                <w:b/>
                <w:i w:val="0"/>
                <w:color w:val="163A5F"/>
                <w:sz w:val="19"/>
              </w:rPr>
              <w:t>Interim changes</w:t>
            </w:r>
          </w:p>
        </w:tc>
        <w:tc>
          <w:tcPr>
            <w:tcW w:type="dxa" w:w="6660"/>
            <w:tcMar>
              <w:top w:w="90" w:type="dxa"/>
              <w:start w:w="120" w:type="dxa"/>
              <w:bottom w:w="90" w:type="dxa"/>
              <w:end w:w="120" w:type="dxa"/>
            </w:tcMar>
            <w:vAlign w:val="center"/>
          </w:tcPr>
          <w:p>
            <w:r>
              <w:rPr>
                <w:rFonts w:ascii="Aptos" w:hAnsi="Aptos"/>
                <w:b w:val="0"/>
                <w:i w:val="0"/>
                <w:color w:val="1F2937"/>
                <w:sz w:val="19"/>
              </w:rPr>
              <w:t>LIHTC does not create a universal federal interim-recertification system like HUD programs. Follow the state agency and written tenant-selection/management policies for household additions, removals, income changes, and student-status changes.</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Adding members</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Screen and verify additions as required. Before approving an addition, test income, student status, occupancy, and layered-program eligibility. Adding a member cannot be used to cure an originally ineligible household.</w:t>
            </w:r>
          </w:p>
        </w:tc>
      </w:tr>
      <w:tr>
        <w:tc>
          <w:tcPr>
            <w:tcW w:type="dxa" w:w="2700"/>
            <w:tcMar>
              <w:top w:w="90" w:type="dxa"/>
              <w:start w:w="120" w:type="dxa"/>
              <w:bottom w:w="90" w:type="dxa"/>
              <w:end w:w="120" w:type="dxa"/>
            </w:tcMar>
            <w:vAlign w:val="center"/>
          </w:tcPr>
          <w:p>
            <w:r>
              <w:rPr>
                <w:rFonts w:ascii="Aptos" w:hAnsi="Aptos"/>
                <w:b/>
                <w:i w:val="0"/>
                <w:color w:val="163A5F"/>
                <w:sz w:val="19"/>
              </w:rPr>
              <w:t>Over-income</w:t>
            </w:r>
          </w:p>
        </w:tc>
        <w:tc>
          <w:tcPr>
            <w:tcW w:type="dxa" w:w="6660"/>
            <w:tcMar>
              <w:top w:w="90" w:type="dxa"/>
              <w:start w:w="120" w:type="dxa"/>
              <w:bottom w:w="90" w:type="dxa"/>
              <w:end w:w="120" w:type="dxa"/>
            </w:tcMar>
            <w:vAlign w:val="center"/>
          </w:tcPr>
          <w:p>
            <w:r>
              <w:rPr>
                <w:rFonts w:ascii="Aptos" w:hAnsi="Aptos"/>
                <w:b w:val="0"/>
                <w:i w:val="0"/>
                <w:color w:val="1F2937"/>
                <w:sz w:val="19"/>
              </w:rPr>
              <w:t>A household that was initially income-qualified does not automatically lose LIHTC status when income rises. Apply the Next Available Unit Rule and keep the unit rent-restricted.</w:t>
            </w:r>
          </w:p>
        </w:tc>
      </w:tr>
    </w:tbl>
    <w:p>
      <w:pPr>
        <w:spacing w:after="20"/>
      </w:pPr>
    </w:p>
    <w:p>
      <w:pPr>
        <w:pStyle w:val="Heading1"/>
        <w:keepNext/>
      </w:pPr>
      <w:r>
        <w:t>7. Next Available Unit Rule (NAUR)</w:t>
      </w:r>
    </w:p>
    <w:tbl>
      <w:tblPr>
        <w:tblW w:type="dxa" w:w="9360"/>
        <w:tblLayout w:type="fixed"/>
        <w:tblLook w:firstColumn="1" w:firstRow="1" w:lastColumn="0" w:lastRow="0" w:noHBand="0" w:noVBand="1" w:val="04A0"/>
        <w:tblInd w:w="120" w:type="dxa"/>
      </w:tblPr>
      <w:tblGrid>
        <w:gridCol w:w="9360"/>
      </w:tblGrid>
      <w:tr>
        <w:tc>
          <w:tcPr>
            <w:tcW w:type="dxa" w:w="9360"/>
            <w:tcMar>
              <w:top w:w="90" w:type="dxa"/>
              <w:start w:w="120" w:type="dxa"/>
              <w:bottom w:w="90" w:type="dxa"/>
              <w:end w:w="120" w:type="dxa"/>
            </w:tcMar>
            <w:vAlign w:val="center"/>
            <w:shd w:fill="FFF4D6"/>
          </w:tcPr>
          <w:p>
            <w:pPr>
              <w:spacing w:after="0"/>
            </w:pPr>
            <w:r>
              <w:rPr>
                <w:rFonts w:ascii="Aptos" w:hAnsi="Aptos"/>
                <w:b/>
                <w:i w:val="0"/>
                <w:color w:val="7A5A00"/>
                <w:sz w:val="20"/>
              </w:rPr>
              <w:t xml:space="preserve">TRIGGER  </w:t>
            </w:r>
            <w:r>
              <w:rPr>
                <w:rFonts w:ascii="Aptos" w:hAnsi="Aptos"/>
                <w:b w:val="0"/>
                <w:i w:val="0"/>
                <w:color w:val="1F2937"/>
                <w:sz w:val="20"/>
              </w:rPr>
              <w:t>For traditional 20–50 or 40–60 projects, the rule is generally triggered when a previously qualified household’s income exceeds 140% of the applicable income limit. Deep-rent-skewed projects use 170%. Average Income projects have specialized rules—use the current unit-designation plan and agency guidance.</w:t>
            </w:r>
          </w:p>
        </w:tc>
      </w:tr>
    </w:tbl>
    <w:p>
      <w:pPr>
        <w:spacing w:after="20"/>
      </w:pPr>
    </w:p>
    <w:tbl>
      <w:tblPr>
        <w:tblW w:type="dxa" w:w="9360"/>
        <w:tblLayout w:type="fixed"/>
        <w:tblLook w:firstColumn="1" w:firstRow="1" w:lastColumn="0" w:lastRow="0" w:noHBand="0" w:noVBand="1" w:val="04A0"/>
        <w:tblInd w:w="120" w:type="dxa"/>
      </w:tblPr>
      <w:tblGrid>
        <w:gridCol w:w="620"/>
        <w:gridCol w:w="8740"/>
      </w:tblGrid>
      <w:tr>
        <w:tc>
          <w:tcPr>
            <w:tcW w:type="dxa" w:w="620"/>
            <w:tcMar>
              <w:top w:w="90" w:type="dxa"/>
              <w:start w:w="120" w:type="dxa"/>
              <w:bottom w:w="90" w:type="dxa"/>
              <w:end w:w="120" w:type="dxa"/>
            </w:tcMar>
            <w:vAlign w:val="center"/>
            <w:shd w:fill="F8FAFC"/>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shd w:fill="F8FAFC"/>
          </w:tcPr>
          <w:p>
            <w:r>
              <w:rPr>
                <w:rFonts w:ascii="Aptos" w:hAnsi="Aptos"/>
                <w:b w:val="0"/>
                <w:i w:val="0"/>
                <w:color w:val="1F2937"/>
                <w:sz w:val="19"/>
              </w:rPr>
              <w:t>Keep the over-income unit rent-restricted and otherwise LIHTC-compliant.</w:t>
            </w:r>
          </w:p>
        </w:tc>
      </w:tr>
      <w:tr>
        <w:tc>
          <w:tcPr>
            <w:tcW w:type="dxa" w:w="620"/>
            <w:tcMar>
              <w:top w:w="90" w:type="dxa"/>
              <w:start w:w="120" w:type="dxa"/>
              <w:bottom w:w="90" w:type="dxa"/>
              <w:end w:w="120" w:type="dxa"/>
            </w:tcMar>
            <w:vAlign w:val="center"/>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tcPr>
          <w:p>
            <w:r>
              <w:rPr>
                <w:rFonts w:ascii="Aptos" w:hAnsi="Aptos"/>
                <w:b w:val="0"/>
                <w:i w:val="0"/>
                <w:color w:val="1F2937"/>
                <w:sz w:val="19"/>
              </w:rPr>
              <w:t>Rent the next available comparable or smaller unit in the same building to an income-qualified household, as applicable.</w:t>
            </w:r>
          </w:p>
        </w:tc>
      </w:tr>
      <w:tr>
        <w:tc>
          <w:tcPr>
            <w:tcW w:type="dxa" w:w="620"/>
            <w:tcMar>
              <w:top w:w="90" w:type="dxa"/>
              <w:start w:w="120" w:type="dxa"/>
              <w:bottom w:w="90" w:type="dxa"/>
              <w:end w:w="120" w:type="dxa"/>
            </w:tcMar>
            <w:vAlign w:val="center"/>
            <w:shd w:fill="F8FAFC"/>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shd w:fill="F8FAFC"/>
          </w:tcPr>
          <w:p>
            <w:r>
              <w:rPr>
                <w:rFonts w:ascii="Aptos" w:hAnsi="Aptos"/>
                <w:b w:val="0"/>
                <w:i w:val="0"/>
                <w:color w:val="1F2937"/>
                <w:sz w:val="19"/>
              </w:rPr>
              <w:t>Track available units, unit sizes, designation levels, dates, offers, approvals, and move-ins in writing.</w:t>
            </w:r>
          </w:p>
        </w:tc>
      </w:tr>
      <w:tr>
        <w:tc>
          <w:tcPr>
            <w:tcW w:type="dxa" w:w="620"/>
            <w:tcMar>
              <w:top w:w="90" w:type="dxa"/>
              <w:start w:w="120" w:type="dxa"/>
              <w:bottom w:w="90" w:type="dxa"/>
              <w:end w:w="120" w:type="dxa"/>
            </w:tcMar>
            <w:vAlign w:val="center"/>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tcPr>
          <w:p>
            <w:r>
              <w:rPr>
                <w:rFonts w:ascii="Aptos" w:hAnsi="Aptos"/>
                <w:b w:val="0"/>
                <w:i w:val="0"/>
                <w:color w:val="1F2937"/>
                <w:sz w:val="19"/>
              </w:rPr>
              <w:t>Do not rely on a property-wide assumption—the federal NAUR is generally applied by building, subject to specialized Average Income rules.</w:t>
            </w:r>
          </w:p>
        </w:tc>
      </w:tr>
    </w:tbl>
    <w:p>
      <w:pPr>
        <w:spacing w:after="20"/>
      </w:pPr>
    </w:p>
    <w:p>
      <w:pPr>
        <w:pStyle w:val="Heading1"/>
        <w:keepNext/>
      </w:pPr>
      <w:r>
        <w:t>8. Vacant Unit Rule (VUR)</w:t>
      </w:r>
    </w:p>
    <w:tbl>
      <w:tblPr>
        <w:tblW w:type="dxa" w:w="9360"/>
        <w:tblLayout w:type="fixed"/>
        <w:tblLook w:firstColumn="1" w:firstRow="1" w:lastColumn="0" w:lastRow="0" w:noHBand="0" w:noVBand="1" w:val="04A0"/>
        <w:tblInd w:w="120" w:type="dxa"/>
      </w:tblPr>
      <w:tblGrid>
        <w:gridCol w:w="9360"/>
      </w:tblGrid>
      <w:tr>
        <w:tc>
          <w:tcPr>
            <w:tcW w:type="dxa" w:w="9360"/>
            <w:tcMar>
              <w:top w:w="90" w:type="dxa"/>
              <w:start w:w="120" w:type="dxa"/>
              <w:bottom w:w="90" w:type="dxa"/>
              <w:end w:w="120" w:type="dxa"/>
            </w:tcMar>
            <w:vAlign w:val="center"/>
            <w:shd w:fill="E8EEF5"/>
          </w:tcPr>
          <w:p>
            <w:pPr>
              <w:spacing w:after="0"/>
            </w:pPr>
            <w:r>
              <w:rPr>
                <w:rFonts w:ascii="Aptos" w:hAnsi="Aptos"/>
                <w:b/>
                <w:i w:val="0"/>
                <w:color w:val="163A5F"/>
                <w:sz w:val="20"/>
              </w:rPr>
              <w:t xml:space="preserve">CORE RULE  </w:t>
            </w:r>
            <w:r>
              <w:rPr>
                <w:rFonts w:ascii="Aptos" w:hAnsi="Aptos"/>
                <w:b w:val="0"/>
                <w:i w:val="0"/>
                <w:color w:val="1F2937"/>
                <w:sz w:val="20"/>
              </w:rPr>
              <w:t>A previously qualified low-income unit may generally continue to be treated as a low-income unit while vacant if reasonable attempts are made to rent it and the owner does not rent available comparable or smaller units to nonqualified households. The unit must remain suitable for occupancy.</w:t>
            </w:r>
          </w:p>
        </w:tc>
      </w:tr>
    </w:tbl>
    <w:p>
      <w:pPr>
        <w:spacing w:after="20"/>
      </w:pPr>
    </w:p>
    <w:tbl>
      <w:tblPr>
        <w:tblW w:type="dxa" w:w="9360"/>
        <w:tblLayout w:type="fixed"/>
        <w:tblLook w:firstColumn="1" w:firstRow="1" w:lastColumn="0" w:lastRow="0" w:noHBand="0" w:noVBand="1" w:val="04A0"/>
        <w:tblInd w:w="120" w:type="dxa"/>
      </w:tblPr>
      <w:tblGrid>
        <w:gridCol w:w="620"/>
        <w:gridCol w:w="8740"/>
      </w:tblGrid>
      <w:tr>
        <w:tc>
          <w:tcPr>
            <w:tcW w:type="dxa" w:w="620"/>
            <w:tcMar>
              <w:top w:w="90" w:type="dxa"/>
              <w:start w:w="120" w:type="dxa"/>
              <w:bottom w:w="90" w:type="dxa"/>
              <w:end w:w="120" w:type="dxa"/>
            </w:tcMar>
            <w:vAlign w:val="center"/>
            <w:shd w:fill="F8FAFC"/>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shd w:fill="F8FAFC"/>
          </w:tcPr>
          <w:p>
            <w:r>
              <w:rPr>
                <w:rFonts w:ascii="Aptos" w:hAnsi="Aptos"/>
                <w:b w:val="0"/>
                <w:i w:val="0"/>
                <w:color w:val="1F2937"/>
                <w:sz w:val="19"/>
              </w:rPr>
              <w:t>Retain advertising, waiting-list, referral, showing, application, rejection, and follow-up evidence.</w:t>
            </w:r>
          </w:p>
        </w:tc>
      </w:tr>
      <w:tr>
        <w:tc>
          <w:tcPr>
            <w:tcW w:type="dxa" w:w="620"/>
            <w:tcMar>
              <w:top w:w="90" w:type="dxa"/>
              <w:start w:w="120" w:type="dxa"/>
              <w:bottom w:w="90" w:type="dxa"/>
              <w:end w:w="120" w:type="dxa"/>
            </w:tcMar>
            <w:vAlign w:val="center"/>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tcPr>
          <w:p>
            <w:r>
              <w:rPr>
                <w:rFonts w:ascii="Aptos" w:hAnsi="Aptos"/>
                <w:b w:val="0"/>
                <w:i w:val="0"/>
                <w:color w:val="1F2937"/>
                <w:sz w:val="19"/>
              </w:rPr>
              <w:t>Keep the vacant unit ready and suitable for occupancy; document repairs, casualty events, and downtime.</w:t>
            </w:r>
          </w:p>
        </w:tc>
      </w:tr>
      <w:tr>
        <w:tc>
          <w:tcPr>
            <w:tcW w:type="dxa" w:w="620"/>
            <w:tcMar>
              <w:top w:w="90" w:type="dxa"/>
              <w:start w:w="120" w:type="dxa"/>
              <w:bottom w:w="90" w:type="dxa"/>
              <w:end w:w="120" w:type="dxa"/>
            </w:tcMar>
            <w:vAlign w:val="center"/>
            <w:shd w:fill="F8FAFC"/>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shd w:fill="F8FAFC"/>
          </w:tcPr>
          <w:p>
            <w:r>
              <w:rPr>
                <w:rFonts w:ascii="Aptos" w:hAnsi="Aptos"/>
                <w:b w:val="0"/>
                <w:i w:val="0"/>
                <w:color w:val="1F2937"/>
                <w:sz w:val="19"/>
              </w:rPr>
              <w:t>Coordinate VUR tracking with the NAUR, applicable fraction, unit-designation plan, and transfers.</w:t>
            </w:r>
          </w:p>
        </w:tc>
      </w:tr>
      <w:tr>
        <w:tc>
          <w:tcPr>
            <w:tcW w:type="dxa" w:w="620"/>
            <w:tcMar>
              <w:top w:w="90" w:type="dxa"/>
              <w:start w:w="120" w:type="dxa"/>
              <w:bottom w:w="90" w:type="dxa"/>
              <w:end w:w="120" w:type="dxa"/>
            </w:tcMar>
            <w:vAlign w:val="center"/>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tcPr>
          <w:p>
            <w:r>
              <w:rPr>
                <w:rFonts w:ascii="Aptos" w:hAnsi="Aptos"/>
                <w:b w:val="0"/>
                <w:i w:val="0"/>
                <w:color w:val="1F2937"/>
                <w:sz w:val="19"/>
              </w:rPr>
              <w:t>Before leasing a market-rate or higher-designated unit, confirm that doing so will not violate VUR, NAUR, or Average Income requirements.</w:t>
            </w:r>
          </w:p>
        </w:tc>
      </w:tr>
    </w:tbl>
    <w:p>
      <w:pPr>
        <w:spacing w:after="20"/>
      </w:pPr>
    </w:p>
    <w:p>
      <w:pPr>
        <w:pStyle w:val="Heading1"/>
        <w:keepNext/>
      </w:pPr>
      <w:r>
        <w:t>9. Transfers and unit designations</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90" w:type="dxa"/>
              <w:start w:w="120" w:type="dxa"/>
              <w:bottom w:w="90" w:type="dxa"/>
              <w:end w:w="120" w:type="dxa"/>
            </w:tcMar>
            <w:vAlign w:val="center"/>
            <w:shd w:fill="163A5F"/>
          </w:tcPr>
          <w:p>
            <w:pPr>
              <w:jc w:val="left"/>
            </w:pPr>
            <w:r>
              <w:rPr>
                <w:rFonts w:ascii="Aptos" w:hAnsi="Aptos"/>
                <w:b/>
                <w:i w:val="0"/>
                <w:color w:val="FFFFFF"/>
                <w:sz w:val="20"/>
              </w:rPr>
              <w:t>Situation</w:t>
            </w:r>
          </w:p>
        </w:tc>
        <w:tc>
          <w:tcPr>
            <w:tcW w:type="dxa" w:w="6660"/>
            <w:tcMar>
              <w:top w:w="90" w:type="dxa"/>
              <w:start w:w="120" w:type="dxa"/>
              <w:bottom w:w="90" w:type="dxa"/>
              <w:end w:w="120" w:type="dxa"/>
            </w:tcMar>
            <w:vAlign w:val="center"/>
            <w:shd w:fill="163A5F"/>
          </w:tcPr>
          <w:p>
            <w:pPr>
              <w:jc w:val="left"/>
            </w:pPr>
            <w:r>
              <w:rPr>
                <w:rFonts w:ascii="Aptos" w:hAnsi="Aptos"/>
                <w:b/>
                <w:i w:val="0"/>
                <w:color w:val="FFFFFF"/>
                <w:sz w:val="20"/>
              </w:rPr>
              <w:t>Compliance reminder</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Same-building transfer</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The household generally carries its qualification status to another unit in the same building, but documentation, rent, unit designation, student status, and layered-program rules must still be reviewed.</w:t>
            </w:r>
          </w:p>
        </w:tc>
      </w:tr>
      <w:tr>
        <w:tc>
          <w:tcPr>
            <w:tcW w:type="dxa" w:w="2700"/>
            <w:tcMar>
              <w:top w:w="90" w:type="dxa"/>
              <w:start w:w="120" w:type="dxa"/>
              <w:bottom w:w="90" w:type="dxa"/>
              <w:end w:w="120" w:type="dxa"/>
            </w:tcMar>
            <w:vAlign w:val="center"/>
          </w:tcPr>
          <w:p>
            <w:r>
              <w:rPr>
                <w:rFonts w:ascii="Aptos" w:hAnsi="Aptos"/>
                <w:b/>
                <w:i w:val="0"/>
                <w:color w:val="163A5F"/>
                <w:sz w:val="19"/>
              </w:rPr>
              <w:t>Different-building transfer</w:t>
            </w:r>
          </w:p>
        </w:tc>
        <w:tc>
          <w:tcPr>
            <w:tcW w:type="dxa" w:w="6660"/>
            <w:tcMar>
              <w:top w:w="90" w:type="dxa"/>
              <w:start w:w="120" w:type="dxa"/>
              <w:bottom w:w="90" w:type="dxa"/>
              <w:end w:w="120" w:type="dxa"/>
            </w:tcMar>
            <w:vAlign w:val="center"/>
          </w:tcPr>
          <w:p>
            <w:r>
              <w:rPr>
                <w:rFonts w:ascii="Aptos" w:hAnsi="Aptos"/>
                <w:b w:val="0"/>
                <w:i w:val="0"/>
                <w:color w:val="1F2937"/>
                <w:sz w:val="19"/>
              </w:rPr>
              <w:t>Do not assume qualification carries across buildings. Treatment depends on whether buildings are part of the same project, the household’s current income, first-year status, NAUR, Average Income designations, and state policy. Obtain approval when required.</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Average Income</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Never change a unit’s income designation casually. Maintain the owner-approved designation record and follow federal and state procedures for redesignations, mitigation, and reporting.</w:t>
            </w:r>
          </w:p>
        </w:tc>
      </w:tr>
      <w:tr>
        <w:tc>
          <w:tcPr>
            <w:tcW w:type="dxa" w:w="2700"/>
            <w:tcMar>
              <w:top w:w="90" w:type="dxa"/>
              <w:start w:w="120" w:type="dxa"/>
              <w:bottom w:w="90" w:type="dxa"/>
              <w:end w:w="120" w:type="dxa"/>
            </w:tcMar>
            <w:vAlign w:val="center"/>
          </w:tcPr>
          <w:p>
            <w:r>
              <w:rPr>
                <w:rFonts w:ascii="Aptos" w:hAnsi="Aptos"/>
                <w:b/>
                <w:i w:val="0"/>
                <w:color w:val="163A5F"/>
                <w:sz w:val="19"/>
              </w:rPr>
              <w:t>Accessible units</w:t>
            </w:r>
          </w:p>
        </w:tc>
        <w:tc>
          <w:tcPr>
            <w:tcW w:type="dxa" w:w="6660"/>
            <w:tcMar>
              <w:top w:w="90" w:type="dxa"/>
              <w:start w:w="120" w:type="dxa"/>
              <w:bottom w:w="90" w:type="dxa"/>
              <w:end w:w="120" w:type="dxa"/>
            </w:tcMar>
            <w:vAlign w:val="center"/>
          </w:tcPr>
          <w:p>
            <w:r>
              <w:rPr>
                <w:rFonts w:ascii="Aptos" w:hAnsi="Aptos"/>
                <w:b w:val="0"/>
                <w:i w:val="0"/>
                <w:color w:val="1F2937"/>
                <w:sz w:val="19"/>
              </w:rPr>
              <w:t>Follow fair housing, Section 504 when applicable, state accessibility requirements, and the property’s accessible-unit transfer/waiting-list procedures.</w:t>
            </w:r>
          </w:p>
        </w:tc>
      </w:tr>
    </w:tbl>
    <w:p>
      <w:pPr>
        <w:spacing w:after="20"/>
      </w:pPr>
    </w:p>
    <w:p>
      <w:pPr>
        <w:pStyle w:val="Heading1"/>
        <w:keepNext/>
      </w:pPr>
      <w:r>
        <w:t>10. Resident file—minimum desk-review checklist</w:t>
      </w:r>
    </w:p>
    <w:tbl>
      <w:tblPr>
        <w:tblW w:type="dxa" w:w="9360"/>
        <w:tblLayout w:type="fixed"/>
        <w:tblLook w:firstColumn="1" w:firstRow="1" w:lastColumn="0" w:lastRow="0" w:noHBand="0" w:noVBand="1" w:val="04A0"/>
        <w:tblInd w:w="120" w:type="dxa"/>
      </w:tblPr>
      <w:tblGrid>
        <w:gridCol w:w="620"/>
        <w:gridCol w:w="8740"/>
      </w:tblGrid>
      <w:tr>
        <w:tc>
          <w:tcPr>
            <w:tcW w:type="dxa" w:w="620"/>
            <w:tcMar>
              <w:top w:w="90" w:type="dxa"/>
              <w:start w:w="120" w:type="dxa"/>
              <w:bottom w:w="90" w:type="dxa"/>
              <w:end w:w="120" w:type="dxa"/>
            </w:tcMar>
            <w:vAlign w:val="center"/>
            <w:shd w:fill="F8FAFC"/>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shd w:fill="F8FAFC"/>
          </w:tcPr>
          <w:p>
            <w:r>
              <w:rPr>
                <w:rFonts w:ascii="Aptos" w:hAnsi="Aptos"/>
                <w:b w:val="0"/>
                <w:i w:val="0"/>
                <w:color w:val="1F2937"/>
                <w:sz w:val="19"/>
              </w:rPr>
              <w:t>Application is complete, dated, signed, and consistent with household composition.</w:t>
            </w:r>
          </w:p>
        </w:tc>
      </w:tr>
      <w:tr>
        <w:tc>
          <w:tcPr>
            <w:tcW w:type="dxa" w:w="620"/>
            <w:tcMar>
              <w:top w:w="90" w:type="dxa"/>
              <w:start w:w="120" w:type="dxa"/>
              <w:bottom w:w="90" w:type="dxa"/>
              <w:end w:w="120" w:type="dxa"/>
            </w:tcMar>
            <w:vAlign w:val="center"/>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tcPr>
          <w:p>
            <w:r>
              <w:rPr>
                <w:rFonts w:ascii="Aptos" w:hAnsi="Aptos"/>
                <w:b w:val="0"/>
                <w:i w:val="0"/>
                <w:color w:val="1F2937"/>
                <w:sz w:val="19"/>
              </w:rPr>
              <w:t>Identity, age, Social Security number/documentation, citizenship/immigration status, or other identifiers are collected only when required by an applicable program.</w:t>
            </w:r>
          </w:p>
        </w:tc>
      </w:tr>
      <w:tr>
        <w:tc>
          <w:tcPr>
            <w:tcW w:type="dxa" w:w="620"/>
            <w:tcMar>
              <w:top w:w="90" w:type="dxa"/>
              <w:start w:w="120" w:type="dxa"/>
              <w:bottom w:w="90" w:type="dxa"/>
              <w:end w:w="120" w:type="dxa"/>
            </w:tcMar>
            <w:vAlign w:val="center"/>
            <w:shd w:fill="F8FAFC"/>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shd w:fill="F8FAFC"/>
          </w:tcPr>
          <w:p>
            <w:r>
              <w:rPr>
                <w:rFonts w:ascii="Aptos" w:hAnsi="Aptos"/>
                <w:b w:val="0"/>
                <w:i w:val="0"/>
                <w:color w:val="1F2937"/>
                <w:sz w:val="19"/>
              </w:rPr>
              <w:t>All income, asset, and student-status questions are answered and supported.</w:t>
            </w:r>
          </w:p>
        </w:tc>
      </w:tr>
      <w:tr>
        <w:tc>
          <w:tcPr>
            <w:tcW w:type="dxa" w:w="620"/>
            <w:tcMar>
              <w:top w:w="90" w:type="dxa"/>
              <w:start w:w="120" w:type="dxa"/>
              <w:bottom w:w="90" w:type="dxa"/>
              <w:end w:w="120" w:type="dxa"/>
            </w:tcMar>
            <w:vAlign w:val="center"/>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tcPr>
          <w:p>
            <w:r>
              <w:rPr>
                <w:rFonts w:ascii="Aptos" w:hAnsi="Aptos"/>
                <w:b w:val="0"/>
                <w:i w:val="0"/>
                <w:color w:val="1F2937"/>
                <w:sz w:val="19"/>
              </w:rPr>
              <w:t>Verifications are acceptable, current, calculated correctly, and reconciled with discrepancies.</w:t>
            </w:r>
          </w:p>
        </w:tc>
      </w:tr>
      <w:tr>
        <w:tc>
          <w:tcPr>
            <w:tcW w:type="dxa" w:w="620"/>
            <w:tcMar>
              <w:top w:w="90" w:type="dxa"/>
              <w:start w:w="120" w:type="dxa"/>
              <w:bottom w:w="90" w:type="dxa"/>
              <w:end w:w="120" w:type="dxa"/>
            </w:tcMar>
            <w:vAlign w:val="center"/>
            <w:shd w:fill="F8FAFC"/>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shd w:fill="F8FAFC"/>
          </w:tcPr>
          <w:p>
            <w:r>
              <w:rPr>
                <w:rFonts w:ascii="Aptos" w:hAnsi="Aptos"/>
                <w:b w:val="0"/>
                <w:i w:val="0"/>
                <w:color w:val="1F2937"/>
                <w:sz w:val="19"/>
              </w:rPr>
              <w:t>Tenant income certification is accurate, signed, dated, and effective on the correct date.</w:t>
            </w:r>
          </w:p>
        </w:tc>
      </w:tr>
      <w:tr>
        <w:tc>
          <w:tcPr>
            <w:tcW w:type="dxa" w:w="620"/>
            <w:tcMar>
              <w:top w:w="90" w:type="dxa"/>
              <w:start w:w="120" w:type="dxa"/>
              <w:bottom w:w="90" w:type="dxa"/>
              <w:end w:w="120" w:type="dxa"/>
            </w:tcMar>
            <w:vAlign w:val="center"/>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tcPr>
          <w:p>
            <w:r>
              <w:rPr>
                <w:rFonts w:ascii="Aptos" w:hAnsi="Aptos"/>
                <w:b w:val="0"/>
                <w:i w:val="0"/>
                <w:color w:val="1F2937"/>
                <w:sz w:val="19"/>
              </w:rPr>
              <w:t>Income limit, unit designation, bedroom size, utility allowance, and maximum rent are correct.</w:t>
            </w:r>
          </w:p>
        </w:tc>
      </w:tr>
      <w:tr>
        <w:tc>
          <w:tcPr>
            <w:tcW w:type="dxa" w:w="620"/>
            <w:tcMar>
              <w:top w:w="90" w:type="dxa"/>
              <w:start w:w="120" w:type="dxa"/>
              <w:bottom w:w="90" w:type="dxa"/>
              <w:end w:w="120" w:type="dxa"/>
            </w:tcMar>
            <w:vAlign w:val="center"/>
            <w:shd w:fill="F8FAFC"/>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shd w:fill="F8FAFC"/>
          </w:tcPr>
          <w:p>
            <w:r>
              <w:rPr>
                <w:rFonts w:ascii="Aptos" w:hAnsi="Aptos"/>
                <w:b w:val="0"/>
                <w:i w:val="0"/>
                <w:color w:val="1F2937"/>
                <w:sz w:val="19"/>
              </w:rPr>
              <w:t>Lease, addenda, rent schedule, deposits, fees, concessions, and assistance documents agree.</w:t>
            </w:r>
          </w:p>
        </w:tc>
      </w:tr>
      <w:tr>
        <w:tc>
          <w:tcPr>
            <w:tcW w:type="dxa" w:w="620"/>
            <w:tcMar>
              <w:top w:w="90" w:type="dxa"/>
              <w:start w:w="120" w:type="dxa"/>
              <w:bottom w:w="90" w:type="dxa"/>
              <w:end w:w="120" w:type="dxa"/>
            </w:tcMar>
            <w:vAlign w:val="center"/>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tcPr>
          <w:p>
            <w:r>
              <w:rPr>
                <w:rFonts w:ascii="Aptos" w:hAnsi="Aptos"/>
                <w:b w:val="0"/>
                <w:i w:val="0"/>
                <w:color w:val="1F2937"/>
                <w:sz w:val="19"/>
              </w:rPr>
              <w:t>Required notices, releases, privacy forms, VAWA documents where applicable, fair-housing forms, and state forms are present.</w:t>
            </w:r>
          </w:p>
        </w:tc>
      </w:tr>
      <w:tr>
        <w:tc>
          <w:tcPr>
            <w:tcW w:type="dxa" w:w="620"/>
            <w:tcMar>
              <w:top w:w="90" w:type="dxa"/>
              <w:start w:w="120" w:type="dxa"/>
              <w:bottom w:w="90" w:type="dxa"/>
              <w:end w:w="120" w:type="dxa"/>
            </w:tcMar>
            <w:vAlign w:val="center"/>
            <w:shd w:fill="F8FAFC"/>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shd w:fill="F8FAFC"/>
          </w:tcPr>
          <w:p>
            <w:r>
              <w:rPr>
                <w:rFonts w:ascii="Aptos" w:hAnsi="Aptos"/>
                <w:b w:val="0"/>
                <w:i w:val="0"/>
                <w:color w:val="1F2937"/>
                <w:sz w:val="19"/>
              </w:rPr>
              <w:t>Move-in inspection and any required physical-condition documents are complete.</w:t>
            </w:r>
          </w:p>
        </w:tc>
      </w:tr>
      <w:tr>
        <w:tc>
          <w:tcPr>
            <w:tcW w:type="dxa" w:w="620"/>
            <w:tcMar>
              <w:top w:w="90" w:type="dxa"/>
              <w:start w:w="120" w:type="dxa"/>
              <w:bottom w:w="90" w:type="dxa"/>
              <w:end w:w="120" w:type="dxa"/>
            </w:tcMar>
            <w:vAlign w:val="center"/>
          </w:tcPr>
          <w:p>
            <w:pPr>
              <w:jc w:val="center"/>
            </w:pPr>
            <w:r>
              <w:rPr>
                <w:rFonts w:ascii="Aptos" w:hAnsi="Aptos"/>
                <w:b w:val="0"/>
                <w:i w:val="0"/>
                <w:color w:val="2E74B5"/>
                <w:sz w:val="26"/>
              </w:rPr>
              <w:t>☐</w:t>
            </w:r>
          </w:p>
        </w:tc>
        <w:tc>
          <w:tcPr>
            <w:tcW w:type="dxa" w:w="8740"/>
            <w:tcMar>
              <w:top w:w="90" w:type="dxa"/>
              <w:start w:w="120" w:type="dxa"/>
              <w:bottom w:w="90" w:type="dxa"/>
              <w:end w:w="120" w:type="dxa"/>
            </w:tcMar>
            <w:vAlign w:val="center"/>
          </w:tcPr>
          <w:p>
            <w:r>
              <w:rPr>
                <w:rFonts w:ascii="Aptos" w:hAnsi="Aptos"/>
                <w:b w:val="0"/>
                <w:i w:val="0"/>
                <w:color w:val="1F2937"/>
                <w:sz w:val="19"/>
              </w:rPr>
              <w:t>Approval, corrections, clarifications, and reviewer sign-off are dated and retained.</w:t>
            </w:r>
          </w:p>
        </w:tc>
      </w:tr>
    </w:tbl>
    <w:p>
      <w:pPr>
        <w:spacing w:after="20"/>
      </w:pPr>
    </w:p>
    <w:p>
      <w:pPr>
        <w:pStyle w:val="Heading1"/>
        <w:keepNext/>
      </w:pPr>
      <w:r>
        <w:t>11. Property-level compliance controls</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90" w:type="dxa"/>
              <w:start w:w="120" w:type="dxa"/>
              <w:bottom w:w="90" w:type="dxa"/>
              <w:end w:w="120" w:type="dxa"/>
            </w:tcMar>
            <w:vAlign w:val="center"/>
            <w:shd w:fill="163A5F"/>
          </w:tcPr>
          <w:p>
            <w:pPr>
              <w:jc w:val="left"/>
            </w:pPr>
            <w:r>
              <w:rPr>
                <w:rFonts w:ascii="Aptos" w:hAnsi="Aptos"/>
                <w:b/>
                <w:i w:val="0"/>
                <w:color w:val="FFFFFF"/>
                <w:sz w:val="20"/>
              </w:rPr>
              <w:t>Control</w:t>
            </w:r>
          </w:p>
        </w:tc>
        <w:tc>
          <w:tcPr>
            <w:tcW w:type="dxa" w:w="6660"/>
            <w:tcMar>
              <w:top w:w="90" w:type="dxa"/>
              <w:start w:w="120" w:type="dxa"/>
              <w:bottom w:w="90" w:type="dxa"/>
              <w:end w:w="120" w:type="dxa"/>
            </w:tcMar>
            <w:vAlign w:val="center"/>
            <w:shd w:fill="163A5F"/>
          </w:tcPr>
          <w:p>
            <w:pPr>
              <w:jc w:val="left"/>
            </w:pPr>
            <w:r>
              <w:rPr>
                <w:rFonts w:ascii="Aptos" w:hAnsi="Aptos"/>
                <w:b/>
                <w:i w:val="0"/>
                <w:color w:val="FFFFFF"/>
                <w:sz w:val="20"/>
              </w:rPr>
              <w:t>What to maintain</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Unit tracking</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Maintain a current unit-status report by building: address/BIN, unit number, bedroom size, LIHTC/market status, AMI designation, household effective date, rent, utility allowance, student status, over-income status, vacancy, and transfer history.</w:t>
            </w:r>
          </w:p>
        </w:tc>
      </w:tr>
      <w:tr>
        <w:tc>
          <w:tcPr>
            <w:tcW w:type="dxa" w:w="2700"/>
            <w:tcMar>
              <w:top w:w="90" w:type="dxa"/>
              <w:start w:w="120" w:type="dxa"/>
              <w:bottom w:w="90" w:type="dxa"/>
              <w:end w:w="120" w:type="dxa"/>
            </w:tcMar>
            <w:vAlign w:val="center"/>
          </w:tcPr>
          <w:p>
            <w:r>
              <w:rPr>
                <w:rFonts w:ascii="Aptos" w:hAnsi="Aptos"/>
                <w:b/>
                <w:i w:val="0"/>
                <w:color w:val="163A5F"/>
                <w:sz w:val="19"/>
              </w:rPr>
              <w:t>First-year records</w:t>
            </w:r>
          </w:p>
        </w:tc>
        <w:tc>
          <w:tcPr>
            <w:tcW w:type="dxa" w:w="6660"/>
            <w:tcMar>
              <w:top w:w="90" w:type="dxa"/>
              <w:start w:w="120" w:type="dxa"/>
              <w:bottom w:w="90" w:type="dxa"/>
              <w:end w:w="120" w:type="dxa"/>
            </w:tcMar>
            <w:vAlign w:val="center"/>
          </w:tcPr>
          <w:p>
            <w:r>
              <w:rPr>
                <w:rFonts w:ascii="Aptos" w:hAnsi="Aptos"/>
                <w:b w:val="0"/>
                <w:i w:val="0"/>
                <w:color w:val="1F2937"/>
                <w:sz w:val="19"/>
              </w:rPr>
              <w:t>Protect first-year qualified-basis and lease-up records. They support the project’s applicable fraction and may have unusually long retention requirements.</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Physical condition</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Correct health, safety, and building-code issues promptly. Maintain inspection reports, work orders, invoices, photos, and completion evidence.</w:t>
            </w:r>
          </w:p>
        </w:tc>
      </w:tr>
      <w:tr>
        <w:tc>
          <w:tcPr>
            <w:tcW w:type="dxa" w:w="2700"/>
            <w:tcMar>
              <w:top w:w="90" w:type="dxa"/>
              <w:start w:w="120" w:type="dxa"/>
              <w:bottom w:w="90" w:type="dxa"/>
              <w:end w:w="120" w:type="dxa"/>
            </w:tcMar>
            <w:vAlign w:val="center"/>
          </w:tcPr>
          <w:p>
            <w:r>
              <w:rPr>
                <w:rFonts w:ascii="Aptos" w:hAnsi="Aptos"/>
                <w:b/>
                <w:i w:val="0"/>
                <w:color w:val="163A5F"/>
                <w:sz w:val="19"/>
              </w:rPr>
              <w:t>Annual owner certification</w:t>
            </w:r>
          </w:p>
        </w:tc>
        <w:tc>
          <w:tcPr>
            <w:tcW w:type="dxa" w:w="6660"/>
            <w:tcMar>
              <w:top w:w="90" w:type="dxa"/>
              <w:start w:w="120" w:type="dxa"/>
              <w:bottom w:w="90" w:type="dxa"/>
              <w:end w:w="120" w:type="dxa"/>
            </w:tcMar>
            <w:vAlign w:val="center"/>
          </w:tcPr>
          <w:p>
            <w:r>
              <w:rPr>
                <w:rFonts w:ascii="Aptos" w:hAnsi="Aptos"/>
                <w:b w:val="0"/>
                <w:i w:val="0"/>
                <w:color w:val="1F2937"/>
                <w:sz w:val="19"/>
              </w:rPr>
              <w:t>Submit the agency’s annual certification and required reports accurately and on time. Report changes in applicable fraction, ownership, management, unit mix, casualty loss, fees, utility allowances, or compliance status as required.</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General public use</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Operate under fair housing requirements and do not provide prohibited transient housing. Apply written policies consistently and document permitted preferences or special-needs commitments.</w:t>
            </w:r>
          </w:p>
        </w:tc>
      </w:tr>
      <w:tr>
        <w:tc>
          <w:tcPr>
            <w:tcW w:type="dxa" w:w="2700"/>
            <w:tcMar>
              <w:top w:w="90" w:type="dxa"/>
              <w:start w:w="120" w:type="dxa"/>
              <w:bottom w:w="90" w:type="dxa"/>
              <w:end w:w="120" w:type="dxa"/>
            </w:tcMar>
            <w:vAlign w:val="center"/>
          </w:tcPr>
          <w:p>
            <w:r>
              <w:rPr>
                <w:rFonts w:ascii="Aptos" w:hAnsi="Aptos"/>
                <w:b/>
                <w:i w:val="0"/>
                <w:color w:val="163A5F"/>
                <w:sz w:val="19"/>
              </w:rPr>
              <w:t>Record retention</w:t>
            </w:r>
          </w:p>
        </w:tc>
        <w:tc>
          <w:tcPr>
            <w:tcW w:type="dxa" w:w="6660"/>
            <w:tcMar>
              <w:top w:w="90" w:type="dxa"/>
              <w:start w:w="120" w:type="dxa"/>
              <w:bottom w:w="90" w:type="dxa"/>
              <w:end w:w="120" w:type="dxa"/>
            </w:tcMar>
            <w:vAlign w:val="center"/>
          </w:tcPr>
          <w:p>
            <w:r>
              <w:rPr>
                <w:rFonts w:ascii="Aptos" w:hAnsi="Aptos"/>
                <w:b w:val="0"/>
                <w:i w:val="0"/>
                <w:color w:val="1F2937"/>
                <w:sz w:val="19"/>
              </w:rPr>
              <w:t>Federal monitoring rules generally require annual records for at least six years after the due date (including extensions) of that year’s federal return; first-year records must generally be retained at least six years beyond the due date of the return for the final year of the 15-year compliance period. Longer state, agreement, tax, litigation-hold, or layered-program rules control.</w:t>
            </w:r>
          </w:p>
        </w:tc>
      </w:tr>
    </w:tbl>
    <w:p>
      <w:pPr>
        <w:spacing w:after="20"/>
      </w:pPr>
    </w:p>
    <w:p>
      <w:pPr>
        <w:pStyle w:val="Heading1"/>
        <w:keepNext/>
      </w:pPr>
      <w:r>
        <w:t>12. High-risk red flags—stop and escalate</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90" w:type="dxa"/>
              <w:start w:w="120" w:type="dxa"/>
              <w:bottom w:w="90" w:type="dxa"/>
              <w:end w:w="120" w:type="dxa"/>
            </w:tcMar>
            <w:vAlign w:val="center"/>
            <w:shd w:fill="163A5F"/>
          </w:tcPr>
          <w:p>
            <w:pPr>
              <w:jc w:val="left"/>
            </w:pPr>
            <w:r>
              <w:rPr>
                <w:rFonts w:ascii="Aptos" w:hAnsi="Aptos"/>
                <w:b/>
                <w:i w:val="0"/>
                <w:color w:val="FFFFFF"/>
                <w:sz w:val="20"/>
              </w:rPr>
              <w:t>Category</w:t>
            </w:r>
          </w:p>
        </w:tc>
        <w:tc>
          <w:tcPr>
            <w:tcW w:type="dxa" w:w="6660"/>
            <w:tcMar>
              <w:top w:w="90" w:type="dxa"/>
              <w:start w:w="120" w:type="dxa"/>
              <w:bottom w:w="90" w:type="dxa"/>
              <w:end w:w="120" w:type="dxa"/>
            </w:tcMar>
            <w:vAlign w:val="center"/>
            <w:shd w:fill="163A5F"/>
          </w:tcPr>
          <w:p>
            <w:pPr>
              <w:jc w:val="left"/>
            </w:pPr>
            <w:r>
              <w:rPr>
                <w:rFonts w:ascii="Aptos" w:hAnsi="Aptos"/>
                <w:b/>
                <w:i w:val="0"/>
                <w:color w:val="FFFFFF"/>
                <w:sz w:val="20"/>
              </w:rPr>
              <w:t>Examples</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Eligibility</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Over-income at initial occupancy; missing member; unexplained income discrepancy; unsupported zero income; unresolved assets; inaccurate household size; all-student household without documented exception.</w:t>
            </w:r>
          </w:p>
        </w:tc>
      </w:tr>
      <w:tr>
        <w:tc>
          <w:tcPr>
            <w:tcW w:type="dxa" w:w="2700"/>
            <w:tcMar>
              <w:top w:w="90" w:type="dxa"/>
              <w:start w:w="120" w:type="dxa"/>
              <w:bottom w:w="90" w:type="dxa"/>
              <w:end w:w="120" w:type="dxa"/>
            </w:tcMar>
            <w:vAlign w:val="center"/>
          </w:tcPr>
          <w:p>
            <w:r>
              <w:rPr>
                <w:rFonts w:ascii="Aptos" w:hAnsi="Aptos"/>
                <w:b/>
                <w:i w:val="0"/>
                <w:color w:val="163A5F"/>
                <w:sz w:val="19"/>
              </w:rPr>
              <w:t>Rent</w:t>
            </w:r>
          </w:p>
        </w:tc>
        <w:tc>
          <w:tcPr>
            <w:tcW w:type="dxa" w:w="6660"/>
            <w:tcMar>
              <w:top w:w="90" w:type="dxa"/>
              <w:start w:w="120" w:type="dxa"/>
              <w:bottom w:w="90" w:type="dxa"/>
              <w:end w:w="120" w:type="dxa"/>
            </w:tcMar>
            <w:vAlign w:val="center"/>
          </w:tcPr>
          <w:p>
            <w:r>
              <w:rPr>
                <w:rFonts w:ascii="Aptos" w:hAnsi="Aptos"/>
                <w:b w:val="0"/>
                <w:i w:val="0"/>
                <w:color w:val="1F2937"/>
                <w:sz w:val="19"/>
              </w:rPr>
              <w:t>Tenant charge plus utility allowance over the limit; outdated allowance; mandatory fee; side payment; unreported concession; incorrect AMI designation.</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Unit status</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Market unit rented while NAUR/VUR is active; unauthorized unit redesignation; cross-building transfer without analysis; unit offline or unsuitable; employee/security unit handled incorrectly.</w:t>
            </w:r>
          </w:p>
        </w:tc>
      </w:tr>
      <w:tr>
        <w:tc>
          <w:tcPr>
            <w:tcW w:type="dxa" w:w="2700"/>
            <w:tcMar>
              <w:top w:w="90" w:type="dxa"/>
              <w:start w:w="120" w:type="dxa"/>
              <w:bottom w:w="90" w:type="dxa"/>
              <w:end w:w="120" w:type="dxa"/>
            </w:tcMar>
            <w:vAlign w:val="center"/>
          </w:tcPr>
          <w:p>
            <w:r>
              <w:rPr>
                <w:rFonts w:ascii="Aptos" w:hAnsi="Aptos"/>
                <w:b/>
                <w:i w:val="0"/>
                <w:color w:val="163A5F"/>
                <w:sz w:val="19"/>
              </w:rPr>
              <w:t>Documents</w:t>
            </w:r>
          </w:p>
        </w:tc>
        <w:tc>
          <w:tcPr>
            <w:tcW w:type="dxa" w:w="6660"/>
            <w:tcMar>
              <w:top w:w="90" w:type="dxa"/>
              <w:start w:w="120" w:type="dxa"/>
              <w:bottom w:w="90" w:type="dxa"/>
              <w:end w:w="120" w:type="dxa"/>
            </w:tcMar>
            <w:vAlign w:val="center"/>
          </w:tcPr>
          <w:p>
            <w:r>
              <w:rPr>
                <w:rFonts w:ascii="Aptos" w:hAnsi="Aptos"/>
                <w:b w:val="0"/>
                <w:i w:val="0"/>
                <w:color w:val="1F2937"/>
                <w:sz w:val="19"/>
              </w:rPr>
              <w:t>Backdated signatures; altered verification; missing first-year certification; certification effective after occupancy; inconsistent lease and TIC; unapproved correction fluid or unexplained edits.</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Property</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Minimum set-aside risk; applicable-fraction drop; casualty loss; change in ownership/management; discrimination finding; prohibited transient use; uncorrected health/safety issue.</w:t>
            </w:r>
          </w:p>
        </w:tc>
      </w:tr>
    </w:tbl>
    <w:p>
      <w:pPr>
        <w:spacing w:after="20"/>
      </w:pPr>
    </w:p>
    <w:p>
      <w:pPr>
        <w:pStyle w:val="Heading1"/>
        <w:keepNext/>
      </w:pPr>
      <w:r>
        <w:t>13. Five-minute file quality-control sequence</w:t>
      </w:r>
    </w:p>
    <w:tbl>
      <w:tblPr>
        <w:tblW w:type="dxa" w:w="9360"/>
        <w:jc w:val="left"/>
        <w:tblLayout w:type="fixed"/>
        <w:tblLook w:firstColumn="1" w:firstRow="1" w:lastColumn="0" w:lastRow="0" w:noHBand="0" w:noVBand="1" w:val="04A0"/>
        <w:tblInd w:w="120" w:type="dxa"/>
      </w:tblPr>
      <w:tblGrid>
        <w:gridCol w:w="2700"/>
        <w:gridCol w:w="6660"/>
      </w:tblGrid>
      <w:tr>
        <w:tc>
          <w:tcPr>
            <w:tcW w:type="dxa" w:w="2700"/>
            <w:tcMar>
              <w:top w:w="90" w:type="dxa"/>
              <w:start w:w="120" w:type="dxa"/>
              <w:bottom w:w="90" w:type="dxa"/>
              <w:end w:w="120" w:type="dxa"/>
            </w:tcMar>
            <w:vAlign w:val="center"/>
            <w:shd w:fill="163A5F"/>
          </w:tcPr>
          <w:p>
            <w:pPr>
              <w:jc w:val="left"/>
            </w:pPr>
            <w:r>
              <w:rPr>
                <w:rFonts w:ascii="Aptos" w:hAnsi="Aptos"/>
                <w:b/>
                <w:i w:val="0"/>
                <w:color w:val="FFFFFF"/>
                <w:sz w:val="20"/>
              </w:rPr>
              <w:t>Check</w:t>
            </w:r>
          </w:p>
        </w:tc>
        <w:tc>
          <w:tcPr>
            <w:tcW w:type="dxa" w:w="6660"/>
            <w:tcMar>
              <w:top w:w="90" w:type="dxa"/>
              <w:start w:w="120" w:type="dxa"/>
              <w:bottom w:w="90" w:type="dxa"/>
              <w:end w:w="120" w:type="dxa"/>
            </w:tcMar>
            <w:vAlign w:val="center"/>
            <w:shd w:fill="163A5F"/>
          </w:tcPr>
          <w:p>
            <w:pPr>
              <w:jc w:val="left"/>
            </w:pPr>
            <w:r>
              <w:rPr>
                <w:rFonts w:ascii="Aptos" w:hAnsi="Aptos"/>
                <w:b/>
                <w:i w:val="0"/>
                <w:color w:val="FFFFFF"/>
                <w:sz w:val="20"/>
              </w:rPr>
              <w:t>Question</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1 — Household</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Do the application, lease, TIC, and verifications show the same people and effective date?</w:t>
            </w:r>
          </w:p>
        </w:tc>
      </w:tr>
      <w:tr>
        <w:tc>
          <w:tcPr>
            <w:tcW w:type="dxa" w:w="2700"/>
            <w:tcMar>
              <w:top w:w="90" w:type="dxa"/>
              <w:start w:w="120" w:type="dxa"/>
              <w:bottom w:w="90" w:type="dxa"/>
              <w:end w:w="120" w:type="dxa"/>
            </w:tcMar>
            <w:vAlign w:val="center"/>
          </w:tcPr>
          <w:p>
            <w:r>
              <w:rPr>
                <w:rFonts w:ascii="Aptos" w:hAnsi="Aptos"/>
                <w:b/>
                <w:i w:val="0"/>
                <w:color w:val="163A5F"/>
                <w:sz w:val="19"/>
              </w:rPr>
              <w:t>2 — Eligibility</w:t>
            </w:r>
          </w:p>
        </w:tc>
        <w:tc>
          <w:tcPr>
            <w:tcW w:type="dxa" w:w="6660"/>
            <w:tcMar>
              <w:top w:w="90" w:type="dxa"/>
              <w:start w:w="120" w:type="dxa"/>
              <w:bottom w:w="90" w:type="dxa"/>
              <w:end w:w="120" w:type="dxa"/>
            </w:tcMar>
            <w:vAlign w:val="center"/>
          </w:tcPr>
          <w:p>
            <w:r>
              <w:rPr>
                <w:rFonts w:ascii="Aptos" w:hAnsi="Aptos"/>
                <w:b w:val="0"/>
                <w:i w:val="0"/>
                <w:color w:val="1F2937"/>
                <w:sz w:val="19"/>
              </w:rPr>
              <w:t>Is annual income supported and below the correct limit at initial occupancy? Is the student rule satisfied?</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3 — Rent</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Is the unit’s designation correct, and does tenant rent plus the applicable utility allowance stay within the limit?</w:t>
            </w:r>
          </w:p>
        </w:tc>
      </w:tr>
      <w:tr>
        <w:tc>
          <w:tcPr>
            <w:tcW w:type="dxa" w:w="2700"/>
            <w:tcMar>
              <w:top w:w="90" w:type="dxa"/>
              <w:start w:w="120" w:type="dxa"/>
              <w:bottom w:w="90" w:type="dxa"/>
              <w:end w:w="120" w:type="dxa"/>
            </w:tcMar>
            <w:vAlign w:val="center"/>
          </w:tcPr>
          <w:p>
            <w:r>
              <w:rPr>
                <w:rFonts w:ascii="Aptos" w:hAnsi="Aptos"/>
                <w:b/>
                <w:i w:val="0"/>
                <w:color w:val="163A5F"/>
                <w:sz w:val="19"/>
              </w:rPr>
              <w:t>4 — Timing</w:t>
            </w:r>
          </w:p>
        </w:tc>
        <w:tc>
          <w:tcPr>
            <w:tcW w:type="dxa" w:w="6660"/>
            <w:tcMar>
              <w:top w:w="90" w:type="dxa"/>
              <w:start w:w="120" w:type="dxa"/>
              <w:bottom w:w="90" w:type="dxa"/>
              <w:end w:w="120" w:type="dxa"/>
            </w:tcMar>
            <w:vAlign w:val="center"/>
          </w:tcPr>
          <w:p>
            <w:r>
              <w:rPr>
                <w:rFonts w:ascii="Aptos" w:hAnsi="Aptos"/>
                <w:b w:val="0"/>
                <w:i w:val="0"/>
                <w:color w:val="1F2937"/>
                <w:sz w:val="19"/>
              </w:rPr>
              <w:t>Were documents obtained, calculated, signed, and effective within required timeframes?</w:t>
            </w:r>
          </w:p>
        </w:tc>
      </w:tr>
      <w:tr>
        <w:tc>
          <w:tcPr>
            <w:tcW w:type="dxa" w:w="2700"/>
            <w:tcMar>
              <w:top w:w="90" w:type="dxa"/>
              <w:start w:w="120" w:type="dxa"/>
              <w:bottom w:w="90" w:type="dxa"/>
              <w:end w:w="120" w:type="dxa"/>
            </w:tcMar>
            <w:vAlign w:val="center"/>
            <w:shd w:fill="F8FAFC"/>
          </w:tcPr>
          <w:p>
            <w:r>
              <w:rPr>
                <w:rFonts w:ascii="Aptos" w:hAnsi="Aptos"/>
                <w:b/>
                <w:i w:val="0"/>
                <w:color w:val="163A5F"/>
                <w:sz w:val="19"/>
              </w:rPr>
              <w:t>5 — Status</w:t>
            </w:r>
          </w:p>
        </w:tc>
        <w:tc>
          <w:tcPr>
            <w:tcW w:type="dxa" w:w="6660"/>
            <w:tcMar>
              <w:top w:w="90" w:type="dxa"/>
              <w:start w:w="120" w:type="dxa"/>
              <w:bottom w:w="90" w:type="dxa"/>
              <w:end w:w="120" w:type="dxa"/>
            </w:tcMar>
            <w:vAlign w:val="center"/>
            <w:shd w:fill="F8FAFC"/>
          </w:tcPr>
          <w:p>
            <w:r>
              <w:rPr>
                <w:rFonts w:ascii="Aptos" w:hAnsi="Aptos"/>
                <w:b w:val="0"/>
                <w:i w:val="0"/>
                <w:color w:val="1F2937"/>
                <w:sz w:val="19"/>
              </w:rPr>
              <w:t>Do transfer, vacancy, over-income, NAUR/VUR, and building-level tracking records agree?</w:t>
            </w:r>
          </w:p>
        </w:tc>
      </w:tr>
    </w:tbl>
    <w:p>
      <w:pPr>
        <w:spacing w:after="20"/>
      </w:pPr>
    </w:p>
    <w:p>
      <w:pPr>
        <w:pStyle w:val="Heading1"/>
        <w:keepNext/>
      </w:pPr>
      <w:r>
        <w:t>Authoritative federal references</w:t>
      </w:r>
    </w:p>
    <w:tbl>
      <w:tblPr>
        <w:tblW w:type="dxa" w:w="9360"/>
        <w:jc w:val="left"/>
        <w:tblLayout w:type="fixed"/>
        <w:tblLook w:firstColumn="1" w:firstRow="1" w:lastColumn="0" w:lastRow="0" w:noHBand="0" w:noVBand="1" w:val="04A0"/>
        <w:tblInd w:w="120" w:type="dxa"/>
      </w:tblPr>
      <w:tblGrid>
        <w:gridCol w:w="2600"/>
        <w:gridCol w:w="6760"/>
      </w:tblGrid>
      <w:tr>
        <w:tc>
          <w:tcPr>
            <w:tcW w:type="dxa" w:w="2600"/>
            <w:tcMar>
              <w:top w:w="90" w:type="dxa"/>
              <w:start w:w="120" w:type="dxa"/>
              <w:bottom w:w="90" w:type="dxa"/>
              <w:end w:w="120" w:type="dxa"/>
            </w:tcMar>
            <w:vAlign w:val="center"/>
            <w:shd w:fill="163A5F"/>
          </w:tcPr>
          <w:p>
            <w:pPr>
              <w:jc w:val="left"/>
            </w:pPr>
            <w:r>
              <w:rPr>
                <w:rFonts w:ascii="Aptos" w:hAnsi="Aptos"/>
                <w:b/>
                <w:i w:val="0"/>
                <w:color w:val="FFFFFF"/>
                <w:sz w:val="20"/>
              </w:rPr>
              <w:t>Reference</w:t>
            </w:r>
          </w:p>
        </w:tc>
        <w:tc>
          <w:tcPr>
            <w:tcW w:type="dxa" w:w="6760"/>
            <w:tcMar>
              <w:top w:w="90" w:type="dxa"/>
              <w:start w:w="120" w:type="dxa"/>
              <w:bottom w:w="90" w:type="dxa"/>
              <w:end w:w="120" w:type="dxa"/>
            </w:tcMar>
            <w:vAlign w:val="center"/>
            <w:shd w:fill="163A5F"/>
          </w:tcPr>
          <w:p>
            <w:pPr>
              <w:jc w:val="left"/>
            </w:pPr>
            <w:r>
              <w:rPr>
                <w:rFonts w:ascii="Aptos" w:hAnsi="Aptos"/>
                <w:b/>
                <w:i w:val="0"/>
                <w:color w:val="FFFFFF"/>
                <w:sz w:val="20"/>
              </w:rPr>
              <w:t>Use</w:t>
            </w:r>
          </w:p>
        </w:tc>
      </w:tr>
      <w:tr>
        <w:tc>
          <w:tcPr>
            <w:tcW w:type="dxa" w:w="2600"/>
            <w:tcMar>
              <w:top w:w="90" w:type="dxa"/>
              <w:start w:w="120" w:type="dxa"/>
              <w:bottom w:w="90" w:type="dxa"/>
              <w:end w:w="120" w:type="dxa"/>
            </w:tcMar>
            <w:vAlign w:val="center"/>
            <w:shd w:fill="F8FAFC"/>
          </w:tcPr>
          <w:p>
            <w:r>
              <w:rPr>
                <w:rFonts w:ascii="Aptos" w:hAnsi="Aptos"/>
                <w:b/>
                <w:i w:val="0"/>
                <w:color w:val="163A5F"/>
                <w:sz w:val="19"/>
              </w:rPr>
              <w:t>26 CFR §1.42-5</w:t>
            </w:r>
          </w:p>
        </w:tc>
        <w:tc>
          <w:tcPr>
            <w:tcW w:type="dxa" w:w="6760"/>
            <w:tcMar>
              <w:top w:w="90" w:type="dxa"/>
              <w:start w:w="120" w:type="dxa"/>
              <w:bottom w:w="90" w:type="dxa"/>
              <w:end w:w="120" w:type="dxa"/>
            </w:tcMar>
            <w:vAlign w:val="center"/>
            <w:shd w:fill="F8FAFC"/>
          </w:tcPr>
          <w:p>
            <w:r>
              <w:rPr>
                <w:rFonts w:ascii="Aptos" w:hAnsi="Aptos"/>
                <w:b w:val="0"/>
                <w:i w:val="0"/>
                <w:color w:val="1F2937"/>
                <w:sz w:val="19"/>
              </w:rPr>
              <w:t>Compliance monitoring, owner certifications, inspections, and record retention — https://www.ecfr.gov/current/title-26/chapter-I/subchapter-A/part-1/section-1.42-5</w:t>
            </w:r>
          </w:p>
        </w:tc>
      </w:tr>
      <w:tr>
        <w:tc>
          <w:tcPr>
            <w:tcW w:type="dxa" w:w="2600"/>
            <w:tcMar>
              <w:top w:w="90" w:type="dxa"/>
              <w:start w:w="120" w:type="dxa"/>
              <w:bottom w:w="90" w:type="dxa"/>
              <w:end w:w="120" w:type="dxa"/>
            </w:tcMar>
            <w:vAlign w:val="center"/>
          </w:tcPr>
          <w:p>
            <w:r>
              <w:rPr>
                <w:rFonts w:ascii="Aptos" w:hAnsi="Aptos"/>
                <w:b/>
                <w:i w:val="0"/>
                <w:color w:val="163A5F"/>
                <w:sz w:val="19"/>
              </w:rPr>
              <w:t>26 CFR Part 1, §1.42</w:t>
            </w:r>
          </w:p>
        </w:tc>
        <w:tc>
          <w:tcPr>
            <w:tcW w:type="dxa" w:w="6760"/>
            <w:tcMar>
              <w:top w:w="90" w:type="dxa"/>
              <w:start w:w="120" w:type="dxa"/>
              <w:bottom w:w="90" w:type="dxa"/>
              <w:end w:w="120" w:type="dxa"/>
            </w:tcMar>
            <w:vAlign w:val="center"/>
          </w:tcPr>
          <w:p>
            <w:r>
              <w:rPr>
                <w:rFonts w:ascii="Aptos" w:hAnsi="Aptos"/>
                <w:b w:val="0"/>
                <w:i w:val="0"/>
                <w:color w:val="1F2937"/>
                <w:sz w:val="19"/>
              </w:rPr>
              <w:t>Federal LIHTC regulations, including general public use, utility allowances, services, NAUR, and Average Income rules — https://www.ecfr.gov/current/title-26/chapter-I/subchapter-A/part-1</w:t>
            </w:r>
          </w:p>
        </w:tc>
      </w:tr>
      <w:tr>
        <w:tc>
          <w:tcPr>
            <w:tcW w:type="dxa" w:w="2600"/>
            <w:tcMar>
              <w:top w:w="90" w:type="dxa"/>
              <w:start w:w="120" w:type="dxa"/>
              <w:bottom w:w="90" w:type="dxa"/>
              <w:end w:w="120" w:type="dxa"/>
            </w:tcMar>
            <w:vAlign w:val="center"/>
            <w:shd w:fill="F8FAFC"/>
          </w:tcPr>
          <w:p>
            <w:r>
              <w:rPr>
                <w:rFonts w:ascii="Aptos" w:hAnsi="Aptos"/>
                <w:b/>
                <w:i w:val="0"/>
                <w:color w:val="163A5F"/>
                <w:sz w:val="19"/>
              </w:rPr>
              <w:t>IRS Form 8823</w:t>
            </w:r>
          </w:p>
        </w:tc>
        <w:tc>
          <w:tcPr>
            <w:tcW w:type="dxa" w:w="6760"/>
            <w:tcMar>
              <w:top w:w="90" w:type="dxa"/>
              <w:start w:w="120" w:type="dxa"/>
              <w:bottom w:w="90" w:type="dxa"/>
              <w:end w:w="120" w:type="dxa"/>
            </w:tcMar>
            <w:vAlign w:val="center"/>
            <w:shd w:fill="F8FAFC"/>
          </w:tcPr>
          <w:p>
            <w:r>
              <w:rPr>
                <w:rFonts w:ascii="Aptos" w:hAnsi="Aptos"/>
                <w:b w:val="0"/>
                <w:i w:val="0"/>
                <w:color w:val="1F2937"/>
                <w:sz w:val="19"/>
              </w:rPr>
              <w:t>Report of noncompliance categories and instructions — https://www.irs.gov/forms-pubs/about-form-8823</w:t>
            </w:r>
          </w:p>
        </w:tc>
      </w:tr>
      <w:tr>
        <w:tc>
          <w:tcPr>
            <w:tcW w:type="dxa" w:w="2600"/>
            <w:tcMar>
              <w:top w:w="90" w:type="dxa"/>
              <w:start w:w="120" w:type="dxa"/>
              <w:bottom w:w="90" w:type="dxa"/>
              <w:end w:w="120" w:type="dxa"/>
            </w:tcMar>
            <w:vAlign w:val="center"/>
          </w:tcPr>
          <w:p>
            <w:r>
              <w:rPr>
                <w:rFonts w:ascii="Aptos" w:hAnsi="Aptos"/>
                <w:b/>
                <w:i w:val="0"/>
                <w:color w:val="163A5F"/>
                <w:sz w:val="19"/>
              </w:rPr>
              <w:t>IRS Form 8609 / 8609-A</w:t>
            </w:r>
          </w:p>
        </w:tc>
        <w:tc>
          <w:tcPr>
            <w:tcW w:type="dxa" w:w="6760"/>
            <w:tcMar>
              <w:top w:w="90" w:type="dxa"/>
              <w:start w:w="120" w:type="dxa"/>
              <w:bottom w:w="90" w:type="dxa"/>
              <w:end w:w="120" w:type="dxa"/>
            </w:tcMar>
            <w:vAlign w:val="center"/>
          </w:tcPr>
          <w:p>
            <w:r>
              <w:rPr>
                <w:rFonts w:ascii="Aptos" w:hAnsi="Aptos"/>
                <w:b w:val="0"/>
                <w:i w:val="0"/>
                <w:color w:val="1F2937"/>
                <w:sz w:val="19"/>
              </w:rPr>
              <w:t>Building allocation, elections, annual statement, and compliance-period reporting — https://www.irs.gov/forms-pubs/about-form-8609 and https://www.irs.gov/forms-pubs/about-form-8609-a</w:t>
            </w:r>
          </w:p>
        </w:tc>
      </w:tr>
      <w:tr>
        <w:tc>
          <w:tcPr>
            <w:tcW w:type="dxa" w:w="2600"/>
            <w:tcMar>
              <w:top w:w="90" w:type="dxa"/>
              <w:start w:w="120" w:type="dxa"/>
              <w:bottom w:w="90" w:type="dxa"/>
              <w:end w:w="120" w:type="dxa"/>
            </w:tcMar>
            <w:vAlign w:val="center"/>
            <w:shd w:fill="F8FAFC"/>
          </w:tcPr>
          <w:p>
            <w:r>
              <w:rPr>
                <w:rFonts w:ascii="Aptos" w:hAnsi="Aptos"/>
                <w:b/>
                <w:i w:val="0"/>
                <w:color w:val="163A5F"/>
                <w:sz w:val="19"/>
              </w:rPr>
              <w:t>Average Income final regulations</w:t>
            </w:r>
          </w:p>
        </w:tc>
        <w:tc>
          <w:tcPr>
            <w:tcW w:type="dxa" w:w="6760"/>
            <w:tcMar>
              <w:top w:w="90" w:type="dxa"/>
              <w:start w:w="120" w:type="dxa"/>
              <w:bottom w:w="90" w:type="dxa"/>
              <w:end w:w="120" w:type="dxa"/>
            </w:tcMar>
            <w:vAlign w:val="center"/>
            <w:shd w:fill="F8FAFC"/>
          </w:tcPr>
          <w:p>
            <w:r>
              <w:rPr>
                <w:rFonts w:ascii="Aptos" w:hAnsi="Aptos"/>
                <w:b w:val="0"/>
                <w:i w:val="0"/>
                <w:color w:val="1F2937"/>
                <w:sz w:val="19"/>
              </w:rPr>
              <w:t>Treasury Decision 9968 and subsequent recordkeeping/reporting rules — https://www.irs.gov/irb/2022-44_IRB and https://www.irs.gov/irb/2025-43_IRB</w:t>
            </w:r>
          </w:p>
        </w:tc>
      </w:tr>
      <w:tr>
        <w:tc>
          <w:tcPr>
            <w:tcW w:type="dxa" w:w="2600"/>
            <w:tcMar>
              <w:top w:w="90" w:type="dxa"/>
              <w:start w:w="120" w:type="dxa"/>
              <w:bottom w:w="90" w:type="dxa"/>
              <w:end w:w="120" w:type="dxa"/>
            </w:tcMar>
            <w:vAlign w:val="center"/>
          </w:tcPr>
          <w:p>
            <w:r>
              <w:rPr>
                <w:rFonts w:ascii="Aptos" w:hAnsi="Aptos"/>
                <w:b/>
                <w:i w:val="0"/>
                <w:color w:val="163A5F"/>
                <w:sz w:val="19"/>
              </w:rPr>
              <w:t>HUD income limits</w:t>
            </w:r>
          </w:p>
        </w:tc>
        <w:tc>
          <w:tcPr>
            <w:tcW w:type="dxa" w:w="6760"/>
            <w:tcMar>
              <w:top w:w="90" w:type="dxa"/>
              <w:start w:w="120" w:type="dxa"/>
              <w:bottom w:w="90" w:type="dxa"/>
              <w:end w:w="120" w:type="dxa"/>
            </w:tcMar>
            <w:vAlign w:val="center"/>
          </w:tcPr>
          <w:p>
            <w:r>
              <w:rPr>
                <w:rFonts w:ascii="Aptos" w:hAnsi="Aptos"/>
                <w:b w:val="0"/>
                <w:i w:val="0"/>
                <w:color w:val="1F2937"/>
                <w:sz w:val="19"/>
              </w:rPr>
              <w:t>Current MTSP income-limit resources — https://www.huduser.gov/portal/datasets/mtsp.html</w:t>
            </w:r>
          </w:p>
        </w:tc>
      </w:tr>
    </w:tbl>
    <w:p>
      <w:pPr>
        <w:spacing w:after="20"/>
      </w:pPr>
    </w:p>
    <w:tbl>
      <w:tblPr>
        <w:tblW w:type="dxa" w:w="9360"/>
        <w:tblLayout w:type="fixed"/>
        <w:tblLook w:firstColumn="1" w:firstRow="1" w:lastColumn="0" w:lastRow="0" w:noHBand="0" w:noVBand="1" w:val="04A0"/>
        <w:tblInd w:w="120" w:type="dxa"/>
      </w:tblPr>
      <w:tblGrid>
        <w:gridCol w:w="9360"/>
      </w:tblGrid>
      <w:tr>
        <w:tc>
          <w:tcPr>
            <w:tcW w:type="dxa" w:w="9360"/>
            <w:tcMar>
              <w:top w:w="90" w:type="dxa"/>
              <w:start w:w="120" w:type="dxa"/>
              <w:bottom w:w="90" w:type="dxa"/>
              <w:end w:w="120" w:type="dxa"/>
            </w:tcMar>
            <w:vAlign w:val="center"/>
            <w:shd w:fill="F4F6F9"/>
          </w:tcPr>
          <w:p>
            <w:pPr>
              <w:spacing w:after="0"/>
            </w:pPr>
            <w:r>
              <w:rPr>
                <w:rFonts w:ascii="Aptos" w:hAnsi="Aptos"/>
                <w:b/>
                <w:i w:val="0"/>
                <w:color w:val="5B6573"/>
                <w:sz w:val="20"/>
              </w:rPr>
              <w:t xml:space="preserve">DISCLAIMER  </w:t>
            </w:r>
            <w:r>
              <w:rPr>
                <w:rFonts w:ascii="Aptos" w:hAnsi="Aptos"/>
                <w:b w:val="0"/>
                <w:i w:val="0"/>
                <w:color w:val="1F2937"/>
                <w:sz w:val="20"/>
              </w:rPr>
              <w:t>This educational cheat sheet is a general federal reference, not legal, tax, accounting, or project-specific compliance advice. Requirements change and may differ by allocation year, state agency, financing layer, governing agreement, and property. Confirm current rules before acting.</w:t>
            </w:r>
          </w:p>
        </w:tc>
      </w:tr>
    </w:tbl>
    <w:p>
      <w:pPr>
        <w:spacing w:after="20"/>
      </w:pPr>
    </w:p>
    <w:sectPr w:rsidR="00FC693F" w:rsidRPr="0006063C" w:rsidSect="00034616">
      <w:headerReference w:type="default" r:id="rId9"/>
      <w:footerReference w:type="default" r:id="rId10"/>
      <w:pgSz w:w="12240" w:h="15840"/>
      <w:pgMar w:top="1037" w:right="1440" w:bottom="1037" w:left="1440" w:header="504" w:footer="54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5B6573"/>
        <w:sz w:val="17"/>
      </w:rPr>
      <w:t>Published by Housing Consultants of America  •  www.HousingConsultantsOfAmerica.com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5B6573"/>
        <w:sz w:val="17"/>
      </w:rPr>
      <w:t>HOUSING CONSULTANTS OF AMERICA  |  LIHTC QUICK REFERENCE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ptos" w:hAnsi="Aptos"/>
      <w:color w:val="1F293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Aptos Display" w:hAnsi="Aptos Display"/>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Display" w:hAnsi="Aptos Display"/>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b/>
      <w:bCs/>
      <w:color w:val="163A5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LIHTC Housing Compliance Cheat Sheet</dc:title>
  <dc:subject>Affordable housing compliance quick reference</dc:subject>
  <dc:creator>Housing Consultants of America</dc:creator>
  <cp:keywords>LIHTC, Section 42, compliance, affordable housing, property management</cp:keywords>
  <dc:description>generated by python-docx</dc:description>
  <cp:lastModifiedBy/>
  <cp:revision>1</cp:revision>
  <dcterms:created xsi:type="dcterms:W3CDTF">2013-12-23T23:15:00Z</dcterms:created>
  <dcterms:modified xsi:type="dcterms:W3CDTF">2013-12-23T23:15:00Z</dcterms:modified>
  <cp:category/>
</cp:coreProperties>
</file>