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17365D"/>
            <w:tcMar>
              <w:top w:w="170" w:type="dxa"/>
              <w:start w:w="180" w:type="dxa"/>
              <w:bottom w:w="160" w:type="dxa"/>
              <w:end w:w="18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44"/>
              </w:rPr>
              <w:t>SECTION 8 HOUSING</w:t>
              <w:br/>
              <w:t>COMPLIANCE CHEAT SHEET</w:t>
            </w:r>
          </w:p>
          <w:p>
            <w:pPr>
              <w:jc w:val="center"/>
            </w:pPr>
            <w:r>
              <w:rPr>
                <w:rFonts w:ascii="Calibri" w:hAnsi="Calibri"/>
                <w:i/>
                <w:color w:val="DCE6F1"/>
                <w:sz w:val="21"/>
              </w:rPr>
              <w:t>A practical desk reference for HUD-assisted multifamily property teams</w:t>
            </w:r>
          </w:p>
        </w:tc>
      </w:tr>
    </w:tbl>
    <w:p>
      <w:pPr>
        <w:spacing w:before="100" w:after="120"/>
        <w:jc w:val="center"/>
      </w:pPr>
      <w:r>
        <w:rPr>
          <w:b/>
          <w:color w:val="17365D"/>
        </w:rPr>
        <w:t>Published by Housing Consultants of America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166"/>
            <w:shd w:fill="FFF6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40"/>
            </w:pPr>
            <w:r>
              <w:rPr>
                <w:rFonts w:ascii="Calibri" w:hAnsi="Calibri"/>
                <w:b/>
                <w:color w:val="7A5A00"/>
              </w:rPr>
              <w:t xml:space="preserve">SCOPE:  </w:t>
            </w:r>
            <w:r>
              <w:rPr>
                <w:rFonts w:ascii="Calibri" w:hAnsi="Calibri"/>
              </w:rPr>
              <w:t>This guide is designed primarily for project-based Section 8 multifamily housing. Housing Choice Voucher (tenant-based) and Public Housing rules differ; always follow the controlling HUD regulations, notices, HAP contract, lease, management documents, and PHA Administrative Plan when applicable.</w:t>
            </w:r>
          </w:p>
        </w:tc>
      </w:tr>
    </w:tbl>
    <w:p>
      <w:pPr>
        <w:spacing w:after="0"/>
      </w:pPr>
    </w:p>
    <w:p>
      <w:pPr>
        <w:pStyle w:val="Heading1"/>
      </w:pPr>
      <w:r>
        <w:t>1. The Core Compliance Formula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333"/>
            <w:shd w:fill="E8EEF5"/>
            <w:tcMar>
              <w:top w:w="11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17365D"/>
                <w:sz w:val="20"/>
              </w:rPr>
              <w:t>ELIGIBILITY</w:t>
              <w:br/>
            </w:r>
            <w:r>
              <w:rPr>
                <w:rFonts w:ascii="Calibri" w:hAnsi="Calibri"/>
              </w:rPr>
              <w:t>Household qualifies</w:t>
            </w:r>
          </w:p>
        </w:tc>
        <w:tc>
          <w:tcPr>
            <w:tcW w:type="dxa" w:w="2563"/>
            <w:shd w:fill="E8EEF5"/>
            <w:tcMar>
              <w:top w:w="11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17365D"/>
                <w:sz w:val="20"/>
              </w:rPr>
              <w:t>VERIFICATION</w:t>
              <w:br/>
            </w:r>
            <w:r>
              <w:rPr>
                <w:rFonts w:ascii="Calibri" w:hAnsi="Calibri"/>
              </w:rPr>
              <w:t>Facts are documented</w:t>
            </w:r>
          </w:p>
        </w:tc>
        <w:tc>
          <w:tcPr>
            <w:tcW w:type="dxa" w:w="2563"/>
            <w:shd w:fill="E8EEF5"/>
            <w:tcMar>
              <w:top w:w="11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17365D"/>
                <w:sz w:val="20"/>
              </w:rPr>
              <w:t>CALCULATION</w:t>
              <w:br/>
            </w:r>
            <w:r>
              <w:rPr>
                <w:rFonts w:ascii="Calibri" w:hAnsi="Calibri"/>
              </w:rPr>
              <w:t>Rent/subsidy is correct</w:t>
            </w:r>
          </w:p>
        </w:tc>
        <w:tc>
          <w:tcPr>
            <w:tcW w:type="dxa" w:w="2621"/>
            <w:shd w:fill="E8EEF5"/>
            <w:tcMar>
              <w:top w:w="11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17365D"/>
                <w:sz w:val="20"/>
              </w:rPr>
              <w:t>TIMING</w:t>
              <w:br/>
            </w:r>
            <w:r>
              <w:rPr>
                <w:rFonts w:ascii="Calibri" w:hAnsi="Calibri"/>
              </w:rPr>
              <w:t>Actions are completed on time</w:t>
            </w:r>
          </w:p>
        </w:tc>
      </w:tr>
    </w:tbl>
    <w:p>
      <w:pPr>
        <w:pStyle w:val="Heading1"/>
      </w:pPr>
      <w:r>
        <w:t>2. Applicant Eligibility &amp; Move-In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Confirm the household meets project eligibility, income-limit, occupancy, citizenship/eligible immigration status, and student-rule requirements.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Follow the current Tenant Selection Plan consistently: waiting-list order, preferences, screening standards, reasonable accommodations, and rejection procedures.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Document Social Security number requirements and obtain required consent/authorization forms before accessing verification systems.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Verify identity, household composition, anticipated income, assets, deductions, and allowances using acceptable HUD verification methods.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Complete screening without using prohibited criteria or discriminatory practices; apply VAWA protections and Fair Housing requirements.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Confirm the unit is ready, the required inspection is complete, the HUD model lease and approved attachments are executed, and all signatures/dates are present.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Submit an accurate move-in certification through approved software/TRACS and resolve fatal errors or discrepancies promptly.</w:t>
      </w:r>
    </w:p>
    <w:p>
      <w:pPr>
        <w:pStyle w:val="Heading1"/>
      </w:pPr>
      <w:r>
        <w:t>3. Annual &amp; Interim Recertifications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Start annual recertification processing early enough to meet all interview, verification, notice, certification, signature, and transmission deadlines.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Send required reminder/notices on schedule and retain copies plus proof of delivery in the tenant file.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Reconfirm household composition, income, assets, student status, deductions, allowances, citizenship status changes, and any live-in aide arrangement.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Use EIV and independent third-party verification in the required order; document why a lower-level method was used when applicable.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Investigate discrepancies, document tenant explanations, calculate retroactive adjustments when required, and establish repayment agreements when appropriate.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Process interim reexaminations under current HUD/HOTMA rules and the property's written policies; document effective dates and required tenant notices.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Compare the final certification to source documents before signatures and transmission; correct TRACS errors and keep the accepted record.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166"/>
            <w:shd w:fill="FFF6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40"/>
            </w:pPr>
            <w:r>
              <w:rPr>
                <w:rFonts w:ascii="Calibri" w:hAnsi="Calibri"/>
                <w:b/>
                <w:color w:val="7A5A00"/>
              </w:rPr>
              <w:t xml:space="preserve">2026 HOTMA ALERT:  </w:t>
            </w:r>
            <w:r>
              <w:rPr>
                <w:rFonts w:ascii="Calibri" w:hAnsi="Calibri"/>
              </w:rPr>
              <w:t>For HUD Multifamily Housing, HUD extended mandatory full compliance with HOTMA Sections 102 and 104 and revised income/asset documentation standards to January 1, 2027. Owners must follow the implementation status and instructions applicable to their property and software—not mix legacy and HOTMA rules within a certification.</w:t>
            </w:r>
          </w:p>
        </w:tc>
      </w:tr>
    </w:tbl>
    <w:p>
      <w:pPr>
        <w:spacing w:after="0"/>
      </w:pPr>
    </w:p>
    <w:p>
      <w:pPr>
        <w:pStyle w:val="Heading1"/>
      </w:pPr>
      <w:r>
        <w:t>4. Income, Assets &amp; Deductions — Quick Review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7200"/>
      </w:tblGrid>
      <w:tr>
        <w:trPr>
          <w:tblHeader w:val="true"/>
        </w:trPr>
        <w:tc>
          <w:tcPr>
            <w:tcW w:type="dxa" w:w="5083"/>
            <w:shd w:fill="17365D"/>
            <w:tcMar>
              <w:top w:w="70" w:type="dxa"/>
              <w:start w:w="95" w:type="dxa"/>
              <w:bottom w:w="70" w:type="dxa"/>
              <w:end w:w="95" w:type="dxa"/>
            </w:tcMar>
          </w:tcPr>
          <w:p>
            <w:r>
              <w:rPr>
                <w:rFonts w:ascii="Calibri" w:hAnsi="Calibri"/>
                <w:b/>
                <w:color w:val="FFFFFF"/>
              </w:rPr>
              <w:t>REVIEW AREA</w:t>
            </w:r>
          </w:p>
        </w:tc>
        <w:tc>
          <w:tcPr>
            <w:tcW w:type="dxa" w:w="5083"/>
            <w:shd w:fill="17365D"/>
            <w:tcMar>
              <w:top w:w="70" w:type="dxa"/>
              <w:start w:w="95" w:type="dxa"/>
              <w:bottom w:w="70" w:type="dxa"/>
              <w:end w:w="95" w:type="dxa"/>
            </w:tcMar>
          </w:tcPr>
          <w:p>
            <w:r>
              <w:rPr>
                <w:rFonts w:ascii="Calibri" w:hAnsi="Calibri"/>
                <w:b/>
                <w:color w:val="FFFFFF"/>
              </w:rPr>
              <w:t>COMPLIANCE CHECK</w:t>
            </w:r>
          </w:p>
        </w:tc>
      </w:tr>
      <w:tr>
        <w:tc>
          <w:tcPr>
            <w:tcW w:type="dxa" w:w="2880"/>
            <w:tcMar>
              <w:top w:w="70" w:type="dxa"/>
              <w:start w:w="95" w:type="dxa"/>
              <w:bottom w:w="70" w:type="dxa"/>
              <w:end w:w="95" w:type="dxa"/>
            </w:tcMar>
            <w:vAlign w:val="top"/>
          </w:tcPr>
          <w:p>
            <w:r>
              <w:rPr>
                <w:rFonts w:ascii="Calibri" w:hAnsi="Calibri"/>
                <w:b/>
                <w:color w:val="17365D"/>
              </w:rPr>
              <w:t>Wages &amp; employment</w:t>
            </w:r>
          </w:p>
        </w:tc>
        <w:tc>
          <w:tcPr>
            <w:tcW w:type="dxa" w:w="7200"/>
            <w:tcMar>
              <w:top w:w="70" w:type="dxa"/>
              <w:start w:w="95" w:type="dxa"/>
              <w:bottom w:w="70" w:type="dxa"/>
              <w:end w:w="95" w:type="dxa"/>
            </w:tcMar>
            <w:vAlign w:val="top"/>
          </w:tcPr>
          <w:p>
            <w:r>
              <w:rPr>
                <w:rFonts w:ascii="Calibri" w:hAnsi="Calibri"/>
              </w:rPr>
              <w:t>Current employment status, pay frequency, overtime, tips, bonuses, anticipated changes, and year-to-date reasonableness.</w:t>
            </w:r>
          </w:p>
        </w:tc>
      </w:tr>
      <w:tr>
        <w:tc>
          <w:tcPr>
            <w:tcW w:type="dxa" w:w="2880"/>
            <w:shd w:fill="F4F6F9"/>
            <w:tcMar>
              <w:top w:w="70" w:type="dxa"/>
              <w:start w:w="95" w:type="dxa"/>
              <w:bottom w:w="70" w:type="dxa"/>
              <w:end w:w="95" w:type="dxa"/>
            </w:tcMar>
            <w:vAlign w:val="top"/>
          </w:tcPr>
          <w:p>
            <w:r>
              <w:rPr>
                <w:rFonts w:ascii="Calibri" w:hAnsi="Calibri"/>
                <w:b/>
                <w:color w:val="17365D"/>
              </w:rPr>
              <w:t>Benefits</w:t>
            </w:r>
          </w:p>
        </w:tc>
        <w:tc>
          <w:tcPr>
            <w:tcW w:type="dxa" w:w="7200"/>
            <w:shd w:fill="F4F6F9"/>
            <w:tcMar>
              <w:top w:w="70" w:type="dxa"/>
              <w:start w:w="95" w:type="dxa"/>
              <w:bottom w:w="70" w:type="dxa"/>
              <w:end w:w="95" w:type="dxa"/>
            </w:tcMar>
            <w:vAlign w:val="top"/>
          </w:tcPr>
          <w:p>
            <w:r>
              <w:rPr>
                <w:rFonts w:ascii="Calibri" w:hAnsi="Calibri"/>
              </w:rPr>
              <w:t>Social Security, SSI, pensions, unemployment, workers' compensation, public assistance, periodic payments, and applicable exclusions.</w:t>
            </w:r>
          </w:p>
        </w:tc>
      </w:tr>
      <w:tr>
        <w:tc>
          <w:tcPr>
            <w:tcW w:type="dxa" w:w="2880"/>
            <w:tcMar>
              <w:top w:w="70" w:type="dxa"/>
              <w:start w:w="95" w:type="dxa"/>
              <w:bottom w:w="70" w:type="dxa"/>
              <w:end w:w="95" w:type="dxa"/>
            </w:tcMar>
            <w:vAlign w:val="top"/>
          </w:tcPr>
          <w:p>
            <w:r>
              <w:rPr>
                <w:rFonts w:ascii="Calibri" w:hAnsi="Calibri"/>
                <w:b/>
                <w:color w:val="17365D"/>
              </w:rPr>
              <w:t>Self-employment</w:t>
            </w:r>
          </w:p>
        </w:tc>
        <w:tc>
          <w:tcPr>
            <w:tcW w:type="dxa" w:w="7200"/>
            <w:tcMar>
              <w:top w:w="70" w:type="dxa"/>
              <w:start w:w="95" w:type="dxa"/>
              <w:bottom w:w="70" w:type="dxa"/>
              <w:end w:w="95" w:type="dxa"/>
            </w:tcMar>
            <w:vAlign w:val="top"/>
          </w:tcPr>
          <w:p>
            <w:r>
              <w:rPr>
                <w:rFonts w:ascii="Calibri" w:hAnsi="Calibri"/>
              </w:rPr>
              <w:t>Gross receipts, allowable business expenses, current records, prior tax information, and a documented projection of net income.</w:t>
            </w:r>
          </w:p>
        </w:tc>
      </w:tr>
      <w:tr>
        <w:tc>
          <w:tcPr>
            <w:tcW w:type="dxa" w:w="2880"/>
            <w:shd w:fill="F4F6F9"/>
            <w:tcMar>
              <w:top w:w="70" w:type="dxa"/>
              <w:start w:w="95" w:type="dxa"/>
              <w:bottom w:w="70" w:type="dxa"/>
              <w:end w:w="95" w:type="dxa"/>
            </w:tcMar>
            <w:vAlign w:val="top"/>
          </w:tcPr>
          <w:p>
            <w:r>
              <w:rPr>
                <w:rFonts w:ascii="Calibri" w:hAnsi="Calibri"/>
                <w:b/>
                <w:color w:val="17365D"/>
              </w:rPr>
              <w:t>Assets</w:t>
            </w:r>
          </w:p>
        </w:tc>
        <w:tc>
          <w:tcPr>
            <w:tcW w:type="dxa" w:w="7200"/>
            <w:shd w:fill="F4F6F9"/>
            <w:tcMar>
              <w:top w:w="70" w:type="dxa"/>
              <w:start w:w="95" w:type="dxa"/>
              <w:bottom w:w="70" w:type="dxa"/>
              <w:end w:w="95" w:type="dxa"/>
            </w:tcMar>
            <w:vAlign w:val="top"/>
          </w:tcPr>
          <w:p>
            <w:r>
              <w:rPr>
                <w:rFonts w:ascii="Calibri" w:hAnsi="Calibri"/>
              </w:rPr>
              <w:t>All accounts and property; ownership, value, income, dispositions, exclusions, and any applicable asset limitation under current rules.</w:t>
            </w:r>
          </w:p>
        </w:tc>
      </w:tr>
      <w:tr>
        <w:tc>
          <w:tcPr>
            <w:tcW w:type="dxa" w:w="2880"/>
            <w:tcMar>
              <w:top w:w="70" w:type="dxa"/>
              <w:start w:w="95" w:type="dxa"/>
              <w:bottom w:w="70" w:type="dxa"/>
              <w:end w:w="95" w:type="dxa"/>
            </w:tcMar>
            <w:vAlign w:val="top"/>
          </w:tcPr>
          <w:p>
            <w:r>
              <w:rPr>
                <w:rFonts w:ascii="Calibri" w:hAnsi="Calibri"/>
                <w:b/>
                <w:color w:val="17365D"/>
              </w:rPr>
              <w:t>Other income</w:t>
            </w:r>
          </w:p>
        </w:tc>
        <w:tc>
          <w:tcPr>
            <w:tcW w:type="dxa" w:w="7200"/>
            <w:tcMar>
              <w:top w:w="70" w:type="dxa"/>
              <w:start w:w="95" w:type="dxa"/>
              <w:bottom w:w="70" w:type="dxa"/>
              <w:end w:w="95" w:type="dxa"/>
            </w:tcMar>
            <w:vAlign w:val="top"/>
          </w:tcPr>
          <w:p>
            <w:r>
              <w:rPr>
                <w:rFonts w:ascii="Calibri" w:hAnsi="Calibri"/>
              </w:rPr>
              <w:t>Child support/alimony actually received, recurring contributions, trust distributions, and other countable sources.</w:t>
            </w:r>
          </w:p>
        </w:tc>
      </w:tr>
      <w:tr>
        <w:tc>
          <w:tcPr>
            <w:tcW w:type="dxa" w:w="2880"/>
            <w:shd w:fill="F4F6F9"/>
            <w:tcMar>
              <w:top w:w="70" w:type="dxa"/>
              <w:start w:w="95" w:type="dxa"/>
              <w:bottom w:w="70" w:type="dxa"/>
              <w:end w:w="95" w:type="dxa"/>
            </w:tcMar>
            <w:vAlign w:val="top"/>
          </w:tcPr>
          <w:p>
            <w:r>
              <w:rPr>
                <w:rFonts w:ascii="Calibri" w:hAnsi="Calibri"/>
                <w:b/>
                <w:color w:val="17365D"/>
              </w:rPr>
              <w:t>Deductions</w:t>
            </w:r>
          </w:p>
        </w:tc>
        <w:tc>
          <w:tcPr>
            <w:tcW w:type="dxa" w:w="7200"/>
            <w:shd w:fill="F4F6F9"/>
            <w:tcMar>
              <w:top w:w="70" w:type="dxa"/>
              <w:start w:w="95" w:type="dxa"/>
              <w:bottom w:w="70" w:type="dxa"/>
              <w:end w:w="95" w:type="dxa"/>
            </w:tcMar>
            <w:vAlign w:val="top"/>
          </w:tcPr>
          <w:p>
            <w:r>
              <w:rPr>
                <w:rFonts w:ascii="Calibri" w:hAnsi="Calibri"/>
              </w:rPr>
              <w:t>Household qualifies for each deduction; expenses are eligible, unreimbursed, anticipated, and supported by documentation.</w:t>
            </w:r>
          </w:p>
        </w:tc>
      </w:tr>
      <w:tr>
        <w:tc>
          <w:tcPr>
            <w:tcW w:type="dxa" w:w="2880"/>
            <w:tcMar>
              <w:top w:w="70" w:type="dxa"/>
              <w:start w:w="95" w:type="dxa"/>
              <w:bottom w:w="70" w:type="dxa"/>
              <w:end w:w="95" w:type="dxa"/>
            </w:tcMar>
            <w:vAlign w:val="top"/>
          </w:tcPr>
          <w:p>
            <w:r>
              <w:rPr>
                <w:rFonts w:ascii="Calibri" w:hAnsi="Calibri"/>
                <w:b/>
                <w:color w:val="17365D"/>
              </w:rPr>
              <w:t>Zero income</w:t>
            </w:r>
          </w:p>
        </w:tc>
        <w:tc>
          <w:tcPr>
            <w:tcW w:type="dxa" w:w="7200"/>
            <w:tcMar>
              <w:top w:w="70" w:type="dxa"/>
              <w:start w:w="95" w:type="dxa"/>
              <w:bottom w:w="70" w:type="dxa"/>
              <w:end w:w="95" w:type="dxa"/>
            </w:tcMar>
            <w:vAlign w:val="top"/>
          </w:tcPr>
          <w:p>
            <w:r>
              <w:rPr>
                <w:rFonts w:ascii="Calibri" w:hAnsi="Calibri"/>
              </w:rPr>
              <w:t>Complete required certifications and verify possible sources; monitor according to HUD and property procedures.</w:t>
            </w:r>
          </w:p>
        </w:tc>
      </w:tr>
    </w:tbl>
    <w:p>
      <w:pPr>
        <w:pStyle w:val="Heading1"/>
      </w:pPr>
      <w:r>
        <w:t>5. EIV — Minimum Control Points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Use EIV only for authorized purposes; restrict access to trained, approved users and safeguard printed/electronic reports.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Maintain current access authorizations, annual security awareness training, Rules of Behavior, and required access recertifications.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Run and review required tenant and master-file reports at the prescribed frequency; retain evidence of review and follow-up.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Resolve income, identity, deceased-tenant, multiple-subsidy, and immigration-status discrepancies; never treat an EIV mismatch as self-proving fraud.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Do not place EIV data in an applicant file before move-in when use is not authorized; follow HUD rules for applicants and existing tenants.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Destroy EIV information securely according to the property's retention and disposal procedures.</w:t>
      </w:r>
    </w:p>
    <w:p>
      <w:pPr>
        <w:pStyle w:val="Heading1"/>
      </w:pPr>
      <w:r>
        <w:t>6. Rent, Assistance &amp; Billing Accuracy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Confirm annual income, adjusted income, deductions, allowances, utility allowance, minimum rent, and applicable rent formula.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Verify the correct effective date and provide the tenant notice required for a rent or assistance change.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Ensure gross rent, tenant rent, utility reimbursement, assistance payment, and special claims are supported and agree across the certification, ledger, and voucher.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Reconcile TRACS certifications, voucher submissions, unapplied credits, repayment agreements, and subsidy adjustments monthly.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Document corrections; never overwrite the audit trail or use unsupported manual adjustments.</w:t>
      </w:r>
    </w:p>
    <w:p>
      <w:pPr>
        <w:pStyle w:val="Heading1"/>
      </w:pPr>
      <w:r>
        <w:t>7. Tenant File — Recommended Order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r>
              <w:rPr>
                <w:rFonts w:ascii="Calibri" w:hAnsi="Calibri"/>
              </w:rPr>
              <w:t>☐  File review cover sheet / certification checklist</w:t>
            </w:r>
          </w:p>
        </w:tc>
        <w:tc>
          <w:tcPr>
            <w:tcW w:type="dxa" w:w="5040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r>
              <w:rPr>
                <w:rFonts w:ascii="Calibri" w:hAnsi="Calibri"/>
              </w:rPr>
              <w:t>☐  Current and prior HUD certifications</w:t>
            </w:r>
          </w:p>
        </w:tc>
      </w:tr>
      <w:tr>
        <w:tc>
          <w:tcPr>
            <w:tcW w:type="dxa" w:w="5040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r>
              <w:rPr>
                <w:rFonts w:ascii="Calibri" w:hAnsi="Calibri"/>
              </w:rPr>
              <w:t>☐  Applications and eligibility documentation</w:t>
            </w:r>
          </w:p>
        </w:tc>
        <w:tc>
          <w:tcPr>
            <w:tcW w:type="dxa" w:w="5040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r>
              <w:rPr>
                <w:rFonts w:ascii="Calibri" w:hAnsi="Calibri"/>
              </w:rPr>
              <w:t>☐  Household composition, identity, SSN, and citizenship documentation</w:t>
            </w:r>
          </w:p>
        </w:tc>
      </w:tr>
      <w:tr>
        <w:tc>
          <w:tcPr>
            <w:tcW w:type="dxa" w:w="5040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r>
              <w:rPr>
                <w:rFonts w:ascii="Calibri" w:hAnsi="Calibri"/>
              </w:rPr>
              <w:t>☐  Income and asset verifications</w:t>
            </w:r>
          </w:p>
        </w:tc>
        <w:tc>
          <w:tcPr>
            <w:tcW w:type="dxa" w:w="5040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r>
              <w:rPr>
                <w:rFonts w:ascii="Calibri" w:hAnsi="Calibri"/>
              </w:rPr>
              <w:t>☐  Deduction and allowance support</w:t>
            </w:r>
          </w:p>
        </w:tc>
      </w:tr>
      <w:tr>
        <w:tc>
          <w:tcPr>
            <w:tcW w:type="dxa" w:w="5040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r>
              <w:rPr>
                <w:rFonts w:ascii="Calibri" w:hAnsi="Calibri"/>
              </w:rPr>
              <w:t>☐  EIV reports, discrepancy resolution, and follow-up</w:t>
            </w:r>
          </w:p>
        </w:tc>
        <w:tc>
          <w:tcPr>
            <w:tcW w:type="dxa" w:w="5040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r>
              <w:rPr>
                <w:rFonts w:ascii="Calibri" w:hAnsi="Calibri"/>
              </w:rPr>
              <w:t>☐  Student eligibility documentation</w:t>
            </w:r>
          </w:p>
        </w:tc>
      </w:tr>
      <w:tr>
        <w:tc>
          <w:tcPr>
            <w:tcW w:type="dxa" w:w="5040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r>
              <w:rPr>
                <w:rFonts w:ascii="Calibri" w:hAnsi="Calibri"/>
              </w:rPr>
              <w:t>☐  Lease, addenda, house rules, and move-in inspection</w:t>
            </w:r>
          </w:p>
        </w:tc>
        <w:tc>
          <w:tcPr>
            <w:tcW w:type="dxa" w:w="5040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r>
              <w:rPr>
                <w:rFonts w:ascii="Calibri" w:hAnsi="Calibri"/>
              </w:rPr>
              <w:t>☐  Notices, correspondence, reasonable accommodation records, VAWA-related records (confidentially maintained as required)</w:t>
            </w:r>
          </w:p>
        </w:tc>
      </w:tr>
      <w:tr>
        <w:tc>
          <w:tcPr>
            <w:tcW w:type="dxa" w:w="5040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r>
              <w:rPr>
                <w:rFonts w:ascii="Calibri" w:hAnsi="Calibri"/>
              </w:rPr>
              <w:t>☐  Repayment agreements, fraud/overpayment documentation, and termination actions</w:t>
            </w:r>
          </w:p>
        </w:tc>
        <w:tc>
          <w:tcPr>
            <w:tcW w:type="dxa" w:w="5040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r>
              <w:rPr>
                <w:rFonts w:ascii="Calibri" w:hAnsi="Calibri"/>
              </w:rPr>
              <w:t>☐  TRACS error reports and evidence of correction</w:t>
            </w:r>
          </w:p>
        </w:tc>
      </w:tr>
    </w:tbl>
    <w:p>
      <w:pPr>
        <w:pStyle w:val="Heading1"/>
      </w:pPr>
      <w:r>
        <w:t>8. Notices, Fair Housing &amp; Resident Protections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Use HUD-approved notices and deliver them within the required timeframe; keep the notice and proof of delivery.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Provide meaningful access for persons with limited English proficiency and effective communication for persons with disabilities.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Process reasonable accommodation/modification requests promptly through an interactive, confidential process.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Apply VAWA protections, emergency-transfer procedures, confidentiality rules, and required notices/forms.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Follow grievance/appeal, termination-of-assistance, and termination-of-tenancy requirements; assistance termination and tenancy termination are not the same action.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Apply policies consistently regardless of protected class; document legitimate, nondiscriminatory reasons for decisions.</w:t>
      </w:r>
    </w:p>
    <w:p>
      <w:pPr>
        <w:pStyle w:val="Heading1"/>
      </w:pPr>
      <w:r>
        <w:t>9. NSPIRE &amp; Physical Compliance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Maintain safe, habitable units and common areas every day—not only before an inspection.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Prioritize health and safety: smoke/CO alarms, electrical hazards, fire safety, egress, leaks/moisture, infestation, sanitation, structural hazards, and inoperable essential systems.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Document work orders from report through completion, including resident notification, entry, photos when appropriate, and verification of correction.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Track life-threatening and severe deficiencies for correction within the applicable HUD timeframe; retain evidence of completed repairs.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Complete required unit inspections and follow-up; ensure inspection records align with maintenance logs and resident complaints.</w:t>
      </w:r>
    </w:p>
    <w:p>
      <w:pPr>
        <w:pStyle w:val="Heading1"/>
      </w:pPr>
      <w:r>
        <w:t>10. MOR / Audit-Ready Monthly Check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Sample tenant files for eligibility, verification hierarchy, calculations, signatures, notices, effective dates, and TRACS acceptance.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Review late recertifications, missing certifications, uncorrected TRACS errors, EIV discrepancies, and open repayment agreements.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Reconcile subsidy billing to certifications and tenant ledgers; research unexplained variances.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Check waiting-list activity and rejection/withdrawal files against the Tenant Selection Plan.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Confirm required posters, policies, plans, logs, forms, and staff training are current.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Review open work orders, inspection deficiencies, resident complaints, reasonable accommodations, and VAWA requests for timely action.</w:t>
      </w:r>
    </w:p>
    <w:p>
      <w:pPr>
        <w:spacing w:after="50"/>
        <w:ind w:left="0" w:hanging="288"/>
      </w:pPr>
      <w:r>
        <w:rPr>
          <w:rFonts w:ascii="Arial Unicode MS" w:hAnsi="Arial Unicode MS"/>
          <w:sz w:val="20"/>
        </w:rPr>
        <w:t xml:space="preserve">☐  </w:t>
      </w:r>
      <w:r>
        <w:t>Create a corrective-action log with owner, deadline, status, evidence, and closure date.</w:t>
      </w:r>
    </w:p>
    <w:p>
      <w:pPr>
        <w:pStyle w:val="Heading1"/>
      </w:pPr>
      <w:r>
        <w:t>11. Common Findings to Prevent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40"/>
        <w:gridCol w:w="3240"/>
        <w:gridCol w:w="3600"/>
      </w:tblGrid>
      <w:tr>
        <w:trPr>
          <w:tblHeader w:val="true"/>
        </w:trPr>
        <w:tc>
          <w:tcPr>
            <w:tcW w:type="dxa" w:w="3389"/>
            <w:shd w:fill="17365D"/>
            <w:tcMar>
              <w:top w:w="70" w:type="dxa"/>
              <w:start w:w="95" w:type="dxa"/>
              <w:bottom w:w="70" w:type="dxa"/>
              <w:end w:w="95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</w:rPr>
              <w:t>FILE / ELIGIBILITY</w:t>
            </w:r>
          </w:p>
        </w:tc>
        <w:tc>
          <w:tcPr>
            <w:tcW w:type="dxa" w:w="3389"/>
            <w:shd w:fill="17365D"/>
            <w:tcMar>
              <w:top w:w="70" w:type="dxa"/>
              <w:start w:w="95" w:type="dxa"/>
              <w:bottom w:w="70" w:type="dxa"/>
              <w:end w:w="95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</w:rPr>
              <w:t>RENT / SYSTEMS</w:t>
            </w:r>
          </w:p>
        </w:tc>
        <w:tc>
          <w:tcPr>
            <w:tcW w:type="dxa" w:w="3389"/>
            <w:shd w:fill="17365D"/>
            <w:tcMar>
              <w:top w:w="70" w:type="dxa"/>
              <w:start w:w="95" w:type="dxa"/>
              <w:bottom w:w="70" w:type="dxa"/>
              <w:end w:w="95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</w:rPr>
              <w:t>OPERATIONS</w:t>
            </w:r>
          </w:p>
        </w:tc>
      </w:tr>
      <w:tr>
        <w:tc>
          <w:tcPr>
            <w:tcW w:type="dxa" w:w="324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/>
            </w:pPr>
            <w:r>
              <w:rPr>
                <w:rFonts w:ascii="Calibri" w:hAnsi="Calibri"/>
              </w:rPr>
              <w:t>• Missing or stale verifications</w:t>
            </w:r>
          </w:p>
          <w:p>
            <w:pPr>
              <w:spacing w:after="40"/>
            </w:pPr>
            <w:r>
              <w:rPr>
                <w:rFonts w:ascii="Calibri" w:hAnsi="Calibri"/>
              </w:rPr>
              <w:t>• Incorrect household composition</w:t>
            </w:r>
          </w:p>
          <w:p>
            <w:pPr>
              <w:spacing w:after="40"/>
            </w:pPr>
            <w:r>
              <w:rPr>
                <w:rFonts w:ascii="Calibri" w:hAnsi="Calibri"/>
              </w:rPr>
              <w:t>• Unsupported deductions</w:t>
            </w:r>
          </w:p>
          <w:p>
            <w:pPr>
              <w:spacing w:after="40"/>
            </w:pPr>
            <w:r>
              <w:rPr>
                <w:rFonts w:ascii="Calibri" w:hAnsi="Calibri"/>
              </w:rPr>
              <w:t>• Student-rule errors</w:t>
            </w:r>
          </w:p>
          <w:p>
            <w:pPr>
              <w:spacing w:after="40"/>
            </w:pPr>
            <w:r>
              <w:rPr>
                <w:rFonts w:ascii="Calibri" w:hAnsi="Calibri"/>
              </w:rPr>
              <w:t>• Late/missing signatures</w:t>
            </w:r>
          </w:p>
        </w:tc>
        <w:tc>
          <w:tcPr>
            <w:tcW w:type="dxa" w:w="324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/>
            </w:pPr>
            <w:r>
              <w:rPr>
                <w:rFonts w:ascii="Calibri" w:hAnsi="Calibri"/>
              </w:rPr>
              <w:t>• Incorrect income projection</w:t>
            </w:r>
          </w:p>
          <w:p>
            <w:pPr>
              <w:spacing w:after="40"/>
            </w:pPr>
            <w:r>
              <w:rPr>
                <w:rFonts w:ascii="Calibri" w:hAnsi="Calibri"/>
              </w:rPr>
              <w:t>• Wrong effective date</w:t>
            </w:r>
          </w:p>
          <w:p>
            <w:pPr>
              <w:spacing w:after="40"/>
            </w:pPr>
            <w:r>
              <w:rPr>
                <w:rFonts w:ascii="Calibri" w:hAnsi="Calibri"/>
              </w:rPr>
              <w:t>• Utility allowance errors</w:t>
            </w:r>
          </w:p>
          <w:p>
            <w:pPr>
              <w:spacing w:after="40"/>
            </w:pPr>
            <w:r>
              <w:rPr>
                <w:rFonts w:ascii="Calibri" w:hAnsi="Calibri"/>
              </w:rPr>
              <w:t>• Unresolved TRACS errors</w:t>
            </w:r>
          </w:p>
          <w:p>
            <w:pPr>
              <w:spacing w:after="40"/>
            </w:pPr>
            <w:r>
              <w:rPr>
                <w:rFonts w:ascii="Calibri" w:hAnsi="Calibri"/>
              </w:rPr>
              <w:t>• Ledger/voucher mismatch</w:t>
            </w:r>
          </w:p>
        </w:tc>
        <w:tc>
          <w:tcPr>
            <w:tcW w:type="dxa" w:w="36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/>
            </w:pPr>
            <w:r>
              <w:rPr>
                <w:rFonts w:ascii="Calibri" w:hAnsi="Calibri"/>
              </w:rPr>
              <w:t>• Inconsistent waiting-list actions</w:t>
            </w:r>
          </w:p>
          <w:p>
            <w:pPr>
              <w:spacing w:after="40"/>
            </w:pPr>
            <w:r>
              <w:rPr>
                <w:rFonts w:ascii="Calibri" w:hAnsi="Calibri"/>
              </w:rPr>
              <w:t>• Missing notices/proof</w:t>
            </w:r>
          </w:p>
          <w:p>
            <w:pPr>
              <w:spacing w:after="40"/>
            </w:pPr>
            <w:r>
              <w:rPr>
                <w:rFonts w:ascii="Calibri" w:hAnsi="Calibri"/>
              </w:rPr>
              <w:t>• Unresolved EIV discrepancies</w:t>
            </w:r>
          </w:p>
          <w:p>
            <w:pPr>
              <w:spacing w:after="40"/>
            </w:pPr>
            <w:r>
              <w:rPr>
                <w:rFonts w:ascii="Calibri" w:hAnsi="Calibri"/>
              </w:rPr>
              <w:t>• Late repairs</w:t>
            </w:r>
          </w:p>
          <w:p>
            <w:pPr>
              <w:spacing w:after="40"/>
            </w:pPr>
            <w:r>
              <w:rPr>
                <w:rFonts w:ascii="Calibri" w:hAnsi="Calibri"/>
              </w:rPr>
              <w:t>• Outdated policies/training</w:t>
            </w:r>
          </w:p>
        </w:tc>
      </w:tr>
    </w:tbl>
    <w:p>
      <w:pPr>
        <w:pStyle w:val="Heading1"/>
      </w:pPr>
      <w:r>
        <w:t>12. Fast Final Review Before You Certify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r>
              <w:rPr>
                <w:rFonts w:ascii="Calibri" w:hAnsi="Calibri"/>
              </w:rPr>
              <w:t>☐  Household members and unit are correct</w:t>
            </w:r>
          </w:p>
        </w:tc>
        <w:tc>
          <w:tcPr>
            <w:tcW w:type="dxa" w:w="504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r>
              <w:rPr>
                <w:rFonts w:ascii="Calibri" w:hAnsi="Calibri"/>
              </w:rPr>
              <w:t>☐  Income/asset sources are complete</w:t>
            </w:r>
          </w:p>
        </w:tc>
      </w:tr>
      <w:tr>
        <w:tc>
          <w:tcPr>
            <w:tcW w:type="dxa" w:w="5040"/>
            <w:tcMar>
              <w:top w:w="75" w:type="dxa"/>
              <w:start w:w="100" w:type="dxa"/>
              <w:bottom w:w="75" w:type="dxa"/>
              <w:end w:w="100" w:type="dxa"/>
            </w:tcMar>
            <w:shd w:fill="F4F6F9"/>
          </w:tcPr>
          <w:p>
            <w:r>
              <w:rPr>
                <w:rFonts w:ascii="Calibri" w:hAnsi="Calibri"/>
              </w:rPr>
              <w:t>☐  Verification method is acceptable</w:t>
            </w:r>
          </w:p>
        </w:tc>
        <w:tc>
          <w:tcPr>
            <w:tcW w:type="dxa" w:w="5040"/>
            <w:tcMar>
              <w:top w:w="75" w:type="dxa"/>
              <w:start w:w="100" w:type="dxa"/>
              <w:bottom w:w="75" w:type="dxa"/>
              <w:end w:w="100" w:type="dxa"/>
            </w:tcMar>
            <w:shd w:fill="F4F6F9"/>
          </w:tcPr>
          <w:p>
            <w:r>
              <w:rPr>
                <w:rFonts w:ascii="Calibri" w:hAnsi="Calibri"/>
              </w:rPr>
              <w:t>☐  Calculations have been independently checked</w:t>
            </w:r>
          </w:p>
        </w:tc>
      </w:tr>
      <w:tr>
        <w:tc>
          <w:tcPr>
            <w:tcW w:type="dxa" w:w="504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r>
              <w:rPr>
                <w:rFonts w:ascii="Calibri" w:hAnsi="Calibri"/>
              </w:rPr>
              <w:t>☐  Deductions are eligible and supported</w:t>
            </w:r>
          </w:p>
        </w:tc>
        <w:tc>
          <w:tcPr>
            <w:tcW w:type="dxa" w:w="504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r>
              <w:rPr>
                <w:rFonts w:ascii="Calibri" w:hAnsi="Calibri"/>
              </w:rPr>
              <w:t>☐  Effective date is correct</w:t>
            </w:r>
          </w:p>
        </w:tc>
      </w:tr>
      <w:tr>
        <w:tc>
          <w:tcPr>
            <w:tcW w:type="dxa" w:w="5040"/>
            <w:tcMar>
              <w:top w:w="75" w:type="dxa"/>
              <w:start w:w="100" w:type="dxa"/>
              <w:bottom w:w="75" w:type="dxa"/>
              <w:end w:w="100" w:type="dxa"/>
            </w:tcMar>
            <w:shd w:fill="F4F6F9"/>
          </w:tcPr>
          <w:p>
            <w:r>
              <w:rPr>
                <w:rFonts w:ascii="Calibri" w:hAnsi="Calibri"/>
              </w:rPr>
              <w:t>☐  Required notices were issued</w:t>
            </w:r>
          </w:p>
        </w:tc>
        <w:tc>
          <w:tcPr>
            <w:tcW w:type="dxa" w:w="5040"/>
            <w:tcMar>
              <w:top w:w="75" w:type="dxa"/>
              <w:start w:w="100" w:type="dxa"/>
              <w:bottom w:w="75" w:type="dxa"/>
              <w:end w:w="100" w:type="dxa"/>
            </w:tcMar>
            <w:shd w:fill="F4F6F9"/>
          </w:tcPr>
          <w:p>
            <w:r>
              <w:rPr>
                <w:rFonts w:ascii="Calibri" w:hAnsi="Calibri"/>
              </w:rPr>
              <w:t>☐  Tenant/owner signatures and dates are complete</w:t>
            </w:r>
          </w:p>
        </w:tc>
      </w:tr>
      <w:tr>
        <w:tc>
          <w:tcPr>
            <w:tcW w:type="dxa" w:w="504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r>
              <w:rPr>
                <w:rFonts w:ascii="Calibri" w:hAnsi="Calibri"/>
              </w:rPr>
              <w:t>☐  TRACS submission is accepted</w:t>
            </w:r>
          </w:p>
        </w:tc>
        <w:tc>
          <w:tcPr>
            <w:tcW w:type="dxa" w:w="504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r>
              <w:rPr>
                <w:rFonts w:ascii="Calibri" w:hAnsi="Calibri"/>
              </w:rPr>
              <w:t>☐  File tells a clear, chronological story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166"/>
            <w:shd w:fill="E8EEF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40"/>
            </w:pPr>
            <w:r>
              <w:rPr>
                <w:rFonts w:ascii="Calibri" w:hAnsi="Calibri"/>
                <w:b/>
                <w:color w:val="17365D"/>
              </w:rPr>
              <w:t xml:space="preserve">GOLDEN RULE:  </w:t>
            </w:r>
            <w:r>
              <w:rPr>
                <w:rFonts w:ascii="Calibri" w:hAnsi="Calibri"/>
              </w:rPr>
              <w:t>If a reviewer cannot determine what happened, why it happened, when it happened, and which documentation supports it, the file is not audit-ready.</w:t>
            </w:r>
          </w:p>
        </w:tc>
      </w:tr>
    </w:tbl>
    <w:p>
      <w:pPr>
        <w:spacing w:after="0"/>
      </w:pPr>
    </w:p>
    <w:p>
      <w:pPr>
        <w:pStyle w:val="Heading1"/>
      </w:pPr>
      <w:r>
        <w:t>Official HUD Resources</w:t>
      </w:r>
    </w:p>
    <w:p>
      <w:pPr>
        <w:spacing w:after="40"/>
      </w:pPr>
      <w:r>
        <w:t xml:space="preserve">• </w:t>
      </w:r>
      <w:hyperlink r:id="rId11">
        <w:r>
          <w:rPr>
            <w:color w:val="2E74B5"/>
            <w:u w:val="single"/>
          </w:rPr>
          <w:t>HUD Handbook 4350.3 — Occupancy Requirements</w:t>
        </w:r>
      </w:hyperlink>
    </w:p>
    <w:p>
      <w:pPr>
        <w:spacing w:after="40"/>
      </w:pPr>
      <w:r>
        <w:t xml:space="preserve">• </w:t>
      </w:r>
      <w:hyperlink r:id="rId12">
        <w:r>
          <w:rPr>
            <w:color w:val="2E74B5"/>
            <w:u w:val="single"/>
          </w:rPr>
          <w:t>HUD Multifamily HOTMA Resources</w:t>
        </w:r>
      </w:hyperlink>
    </w:p>
    <w:p>
      <w:pPr>
        <w:spacing w:after="40"/>
      </w:pPr>
      <w:r>
        <w:t xml:space="preserve">• </w:t>
      </w:r>
      <w:hyperlink r:id="rId13">
        <w:r>
          <w:rPr>
            <w:color w:val="2E74B5"/>
            <w:u w:val="single"/>
          </w:rPr>
          <w:t>HUD Multifamily EIV</w:t>
        </w:r>
      </w:hyperlink>
    </w:p>
    <w:p>
      <w:pPr>
        <w:spacing w:after="40"/>
      </w:pPr>
      <w:r>
        <w:t xml:space="preserve">• </w:t>
      </w:r>
      <w:hyperlink r:id="rId14">
        <w:r>
          <w:rPr>
            <w:color w:val="2E74B5"/>
            <w:u w:val="single"/>
          </w:rPr>
          <w:t>HUD TRACS</w:t>
        </w:r>
      </w:hyperlink>
    </w:p>
    <w:p>
      <w:pPr>
        <w:spacing w:after="40"/>
      </w:pPr>
      <w:r>
        <w:t xml:space="preserve">• </w:t>
      </w:r>
      <w:hyperlink r:id="rId15">
        <w:r>
          <w:rPr>
            <w:color w:val="2E74B5"/>
            <w:u w:val="single"/>
          </w:rPr>
          <w:t>HUD NSPIRE Standards</w:t>
        </w:r>
      </w:hyperlink>
    </w:p>
    <w:p>
      <w:pPr>
        <w:spacing w:after="40"/>
      </w:pPr>
      <w:r>
        <w:t xml:space="preserve">• </w:t>
      </w:r>
      <w:hyperlink r:id="rId16">
        <w:r>
          <w:rPr>
            <w:color w:val="2E74B5"/>
            <w:u w:val="single"/>
          </w:rPr>
          <w:t>HUD Forms</w:t>
        </w:r>
      </w:hyperlink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166"/>
            <w:shd w:fill="FDECEC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40"/>
            </w:pPr>
            <w:r>
              <w:rPr>
                <w:rFonts w:ascii="Calibri" w:hAnsi="Calibri"/>
                <w:b/>
                <w:color w:val="9B1C1C"/>
              </w:rPr>
              <w:t xml:space="preserve">IMPORTANT:  </w:t>
            </w:r>
            <w:r>
              <w:rPr>
                <w:rFonts w:ascii="Calibri" w:hAnsi="Calibri"/>
              </w:rPr>
              <w:t>This educational reference is not legal advice and does not replace HUD regulations, handbooks, notices, forms, contract requirements, state/local law, or property-specific policies. Requirements may change. Verify the rule in effect for the program and certification effective date.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979" w:right="1037" w:bottom="936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B6573"/>
        <w:sz w:val="16"/>
      </w:rPr>
      <w:t>www.HousingConsultantsOfAmerica.com  •  Published by Housing Consultants of America  •  Updated August 2026</w:t>
    </w:r>
    <w:r>
      <w:t xml:space="preserve">  •  Page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5B6573"/>
        <w:sz w:val="16"/>
      </w:rPr>
      <w:t>HOUSING CONSULTANTS OF AMERICA  |  SECTION 8 REFERENCE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Calibri" w:hAnsi="Calibri"/>
      <w:color w:val="20252B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17365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Calibri" w:hAnsi="Calibri"/>
      <w:b/>
      <w:bCs/>
      <w:color w:val="17365D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hud.gov/hudclips/handbooks/housing-4350-3" TargetMode="External"/><Relationship Id="rId12" Type="http://schemas.openxmlformats.org/officeDocument/2006/relationships/hyperlink" Target="https://www.hud.gov/hud-partners/multifamily-hotma" TargetMode="External"/><Relationship Id="rId13" Type="http://schemas.openxmlformats.org/officeDocument/2006/relationships/hyperlink" Target="https://www.hud.gov/hud-partners/multifamily-eivapps" TargetMode="External"/><Relationship Id="rId14" Type="http://schemas.openxmlformats.org/officeDocument/2006/relationships/hyperlink" Target="https://www.hud.gov/hud-partners/multifamily-tracs" TargetMode="External"/><Relationship Id="rId15" Type="http://schemas.openxmlformats.org/officeDocument/2006/relationships/hyperlink" Target="https://www.hud.gov/reac/nspire-standards" TargetMode="External"/><Relationship Id="rId16" Type="http://schemas.openxmlformats.org/officeDocument/2006/relationships/hyperlink" Target="https://www.hud.gov/hudclips/for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8 Housing Compliance Cheat Sheet</dc:title>
  <dc:subject>HUD-assisted multifamily housing desk reference</dc:subject>
  <dc:creator>Housing Consultants of America</dc:creator>
  <cp:keywords>Section 8, HUD, compliance, EIV, TRACS, HOTMA, NSPIRE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