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CATitle"/>
        <w:jc w:val="center"/>
      </w:pPr>
      <w:r>
        <w:t>LIHTC &amp; HOME PROPERTY</w:t>
        <w:br/>
        <w:t>STATE AUDIT PREPARATION CHECKLIST</w:t>
      </w:r>
    </w:p>
    <w:p>
      <w:pPr>
        <w:jc w:val="center"/>
      </w:pPr>
      <w:r>
        <w:rPr>
          <w:b/>
          <w:color w:val="2F75B5"/>
          <w:sz w:val="22"/>
        </w:rPr>
        <w:t>A Detailed Pre-Audit Review Guide for Affordable Housing Owners, Managers &amp; Compliance Teams</w:t>
      </w:r>
    </w:p>
    <w:p>
      <w:pPr>
        <w:jc w:val="center"/>
      </w:pPr>
      <w:r>
        <w:rPr>
          <w:b/>
          <w:color w:val="17365D"/>
          <w:sz w:val="22"/>
        </w:rPr>
        <w:t>Published by Housing Consultants of America (HCA)</w:t>
      </w:r>
    </w:p>
    <w:tbl>
      <w:tblPr>
        <w:tblW w:type="auto" w:w="0"/>
        <w:jc w:val="center"/>
        <w:tblLook w:firstColumn="1" w:firstRow="1" w:lastColumn="0" w:lastRow="0" w:noHBand="0" w:noVBand="1" w:val="04A0"/>
      </w:tblPr>
      <w:tblGrid>
        <w:gridCol w:w="10224"/>
      </w:tblGrid>
      <w:tr>
        <w:tc>
          <w:tcPr>
            <w:tcW w:type="dxa" w:w="10224"/>
            <w:vAlign w:val="center"/>
            <w:shd w:fill="D9EAF7"/>
          </w:tcPr>
          <w:p>
            <w:pPr>
              <w:spacing w:after="0"/>
            </w:pPr>
            <w:r>
              <w:rPr>
                <w:rFonts w:ascii="Arial" w:hAnsi="Arial"/>
                <w:sz w:val="19"/>
              </w:rPr>
              <w:t>Use this checklist before a state housing finance agency, participating jurisdiction (PJ), investor, syndicator, or other monitoring review. Requirements vary by state, allocating agency, funding year, extended-use agreement, HOME written agreement, and layered programs. Always compare this checklist with the property's governing documents and the current monitoring guidance issued by the applicable agency.</w:t>
            </w:r>
          </w:p>
        </w:tc>
      </w:tr>
    </w:tbl>
    <w:p>
      <w:pPr>
        <w:pStyle w:val="HCASection"/>
      </w:pPr>
      <w:r>
        <w:t>PROPERTY / AUDIT INFORMATION</w:t>
      </w:r>
    </w:p>
    <w:p>
      <w:pPr>
        <w:spacing w:after="20"/>
      </w:pPr>
      <w:r>
        <w:rPr>
          <w:sz w:val="19"/>
        </w:rPr>
        <w:t>Property Name: ______________________________________________</w:t>
      </w:r>
    </w:p>
    <w:p>
      <w:pPr>
        <w:spacing w:after="20"/>
      </w:pPr>
      <w:r>
        <w:rPr>
          <w:sz w:val="19"/>
        </w:rPr>
        <w:t>Property Address: ____________________________________________</w:t>
      </w:r>
    </w:p>
    <w:p>
      <w:pPr>
        <w:spacing w:after="20"/>
      </w:pPr>
      <w:r>
        <w:rPr>
          <w:sz w:val="19"/>
        </w:rPr>
        <w:t>Owner / Management Agent: ____________________________________</w:t>
      </w:r>
    </w:p>
    <w:p>
      <w:pPr>
        <w:spacing w:after="20"/>
      </w:pPr>
      <w:r>
        <w:rPr>
          <w:sz w:val="19"/>
        </w:rPr>
        <w:t>State Housing Finance Agency / HOME PJ: _________________________</w:t>
      </w:r>
    </w:p>
    <w:p>
      <w:pPr>
        <w:spacing w:after="20"/>
      </w:pPr>
      <w:r>
        <w:rPr>
          <w:sz w:val="19"/>
        </w:rPr>
        <w:t>LIHTC Allocation Year(s): ______________________________________</w:t>
      </w:r>
    </w:p>
    <w:p>
      <w:pPr>
        <w:spacing w:after="20"/>
      </w:pPr>
      <w:r>
        <w:rPr>
          <w:sz w:val="19"/>
        </w:rPr>
        <w:t>HOME Commitment / Agreement Date (if applicable): ________________</w:t>
      </w:r>
    </w:p>
    <w:p>
      <w:pPr>
        <w:spacing w:after="20"/>
      </w:pPr>
      <w:r>
        <w:rPr>
          <w:sz w:val="19"/>
        </w:rPr>
        <w:t>Total Units: ______   LIHTC Units: ______   HOME-Assisted Units: ______</w:t>
      </w:r>
    </w:p>
    <w:p>
      <w:pPr>
        <w:spacing w:after="20"/>
      </w:pPr>
      <w:r>
        <w:rPr>
          <w:sz w:val="19"/>
        </w:rPr>
        <w:t>Audit / Monitoring Date: ______________   Reviewer: __________________</w:t>
      </w:r>
    </w:p>
    <w:p>
      <w:pPr>
        <w:spacing w:after="20"/>
      </w:pPr>
      <w:r>
        <w:rPr>
          <w:sz w:val="19"/>
        </w:rPr>
        <w:t>Internal Prep Lead: ____________________   Date Checklist Completed: _________</w:t>
      </w:r>
    </w:p>
    <w:p>
      <w:pPr>
        <w:pStyle w:val="HCASection"/>
      </w:pPr>
      <w:r>
        <w:t>1. GOVERNING DOCUMENTS &amp; PROGRAM SET-UP</w:t>
      </w:r>
    </w:p>
    <w:p>
      <w:pPr>
        <w:spacing w:after="30"/>
        <w:ind w:left="0" w:hanging="259"/>
      </w:pPr>
      <w:r>
        <w:rPr>
          <w:rFonts w:ascii="Arial" w:hAnsi="Arial"/>
          <w:sz w:val="18"/>
        </w:rPr>
        <w:t>☐ Confirm the current owner, management agent, property contact information, and legal entity names match agency records.</w:t>
      </w:r>
    </w:p>
    <w:p>
      <w:pPr>
        <w:spacing w:after="30"/>
        <w:ind w:left="0" w:hanging="259"/>
      </w:pPr>
      <w:r>
        <w:rPr>
          <w:rFonts w:ascii="Arial" w:hAnsi="Arial"/>
          <w:sz w:val="18"/>
        </w:rPr>
        <w:t>☐ Locate the recorded LIHTC Land Use Restriction Agreement / Extended Use Agreement and review all property-specific requirements.</w:t>
      </w:r>
    </w:p>
    <w:p>
      <w:pPr>
        <w:spacing w:after="30"/>
        <w:ind w:left="0" w:hanging="259"/>
      </w:pPr>
      <w:r>
        <w:rPr>
          <w:rFonts w:ascii="Arial" w:hAnsi="Arial"/>
          <w:sz w:val="18"/>
        </w:rPr>
        <w:t>☐ Locate the IRS Form 8609 for each building and verify the building identification number (BIN), placed-in-service date, minimum set-aside election, applicable fraction, and other elections.</w:t>
      </w:r>
    </w:p>
    <w:p>
      <w:pPr>
        <w:spacing w:after="30"/>
        <w:ind w:left="0" w:hanging="259"/>
      </w:pPr>
      <w:r>
        <w:rPr>
          <w:rFonts w:ascii="Arial" w:hAnsi="Arial"/>
          <w:sz w:val="18"/>
        </w:rPr>
        <w:t>☐ Confirm the property's elected LIHTC minimum set-aside and whether income averaging applies.</w:t>
      </w:r>
    </w:p>
    <w:p>
      <w:pPr>
        <w:spacing w:after="30"/>
        <w:ind w:left="0" w:hanging="259"/>
      </w:pPr>
      <w:r>
        <w:rPr>
          <w:rFonts w:ascii="Arial" w:hAnsi="Arial"/>
          <w:sz w:val="18"/>
        </w:rPr>
        <w:t>☐ Verify the applicable compliance period, extended-use period, and any state-specific affordability requirements.</w:t>
      </w:r>
    </w:p>
    <w:p>
      <w:pPr>
        <w:spacing w:after="30"/>
        <w:ind w:left="0" w:hanging="259"/>
      </w:pPr>
      <w:r>
        <w:rPr>
          <w:rFonts w:ascii="Arial" w:hAnsi="Arial"/>
          <w:sz w:val="18"/>
        </w:rPr>
        <w:t>☐ Locate the approved LIHTC application, reservation/allocation documents, carryover allocation materials, cost certification, and placed-in-service documentation as applicable.</w:t>
      </w:r>
    </w:p>
    <w:p>
      <w:pPr>
        <w:spacing w:after="30"/>
        <w:ind w:left="0" w:hanging="259"/>
      </w:pPr>
      <w:r>
        <w:rPr>
          <w:rFonts w:ascii="Arial" w:hAnsi="Arial"/>
          <w:sz w:val="18"/>
        </w:rPr>
        <w:t>☐ For HOME properties, locate the HOME written agreement, recorded affordability restrictions, HOME unit designation requirements, affordability period, and any amendments.</w:t>
      </w:r>
    </w:p>
    <w:p>
      <w:pPr>
        <w:spacing w:after="30"/>
        <w:ind w:left="0" w:hanging="259"/>
      </w:pPr>
      <w:r>
        <w:rPr>
          <w:rFonts w:ascii="Arial" w:hAnsi="Arial"/>
          <w:sz w:val="18"/>
        </w:rPr>
        <w:t>☐ Identify whether HOME units are fixed or floating and verify the current HOME-assisted unit mix is consistent with the written agreement.</w:t>
      </w:r>
    </w:p>
    <w:p>
      <w:pPr>
        <w:spacing w:after="30"/>
        <w:ind w:left="0" w:hanging="259"/>
      </w:pPr>
      <w:r>
        <w:rPr>
          <w:rFonts w:ascii="Arial" w:hAnsi="Arial"/>
          <w:sz w:val="18"/>
        </w:rPr>
        <w:t>☐ Identify all layered funding or subsidy programs affecting the property (for example: LIHTC, HOME, HTF, HUD PBRA, PBV, RAD, Rural Development, bonds, local funds).</w:t>
      </w:r>
    </w:p>
    <w:p>
      <w:pPr>
        <w:spacing w:after="30"/>
        <w:ind w:left="0" w:hanging="259"/>
      </w:pPr>
      <w:r>
        <w:rPr>
          <w:rFonts w:ascii="Arial" w:hAnsi="Arial"/>
          <w:sz w:val="18"/>
        </w:rPr>
        <w:t>☐ Create a one-page program matrix showing each program's income limits, rent limits, recertification requirements, student rules, utility allowance rules, unit-designation requirements, and file-documentation standards.</w:t>
      </w:r>
    </w:p>
    <w:p>
      <w:pPr>
        <w:spacing w:after="30"/>
        <w:ind w:left="0" w:hanging="259"/>
      </w:pPr>
      <w:r>
        <w:rPr>
          <w:rFonts w:ascii="Arial" w:hAnsi="Arial"/>
          <w:sz w:val="18"/>
        </w:rPr>
        <w:t>☐ Review the state agency's current compliance manual, monitoring checklist, required forms, notices, and audit submission instructions.</w:t>
      </w:r>
    </w:p>
    <w:p>
      <w:pPr>
        <w:spacing w:after="30"/>
        <w:ind w:left="0" w:hanging="259"/>
      </w:pPr>
      <w:r>
        <w:rPr>
          <w:rFonts w:ascii="Arial" w:hAnsi="Arial"/>
          <w:sz w:val="18"/>
        </w:rPr>
        <w:t>☐ Review prior state agency, investor, syndicator, HOME PJ, or other monitoring reports and confirm all prior findings have documented corrective action.</w:t>
      </w:r>
    </w:p>
    <w:p>
      <w:pPr>
        <w:pStyle w:val="HCASection"/>
      </w:pPr>
      <w:r>
        <w:t>2. RENT ROLL, UNIT MIX &amp; OCCUPANCY RECONCILIATION</w:t>
      </w:r>
    </w:p>
    <w:p>
      <w:pPr>
        <w:spacing w:after="30"/>
        <w:ind w:left="0" w:hanging="259"/>
      </w:pPr>
      <w:r>
        <w:rPr>
          <w:rFonts w:ascii="Arial" w:hAnsi="Arial"/>
          <w:sz w:val="18"/>
        </w:rPr>
        <w:t>☐ Obtain a current rent roll and reconcile it to the property management software, unit-status report, and compliance tracking records.</w:t>
      </w:r>
    </w:p>
    <w:p>
      <w:pPr>
        <w:spacing w:after="30"/>
        <w:ind w:left="0" w:hanging="259"/>
      </w:pPr>
      <w:r>
        <w:rPr>
          <w:rFonts w:ascii="Arial" w:hAnsi="Arial"/>
          <w:sz w:val="18"/>
        </w:rPr>
        <w:t>☐ Verify every unit is correctly identified by building, unit number, bedroom size, household name, move-in date, certification effective date, program designation, and current rent.</w:t>
      </w:r>
    </w:p>
    <w:p>
      <w:pPr>
        <w:spacing w:after="30"/>
        <w:ind w:left="0" w:hanging="259"/>
      </w:pPr>
      <w:r>
        <w:rPr>
          <w:rFonts w:ascii="Arial" w:hAnsi="Arial"/>
          <w:sz w:val="18"/>
        </w:rPr>
        <w:t>☐ Confirm LIHTC qualified units support the required minimum set-aside and applicable fraction for each building/project.</w:t>
      </w:r>
    </w:p>
    <w:p>
      <w:pPr>
        <w:spacing w:after="30"/>
        <w:ind w:left="0" w:hanging="259"/>
      </w:pPr>
      <w:r>
        <w:rPr>
          <w:rFonts w:ascii="Arial" w:hAnsi="Arial"/>
          <w:sz w:val="18"/>
        </w:rPr>
        <w:t>☐ Verify HOME-assisted units meet the required High HOME / Low HOME unit mix and fixed/floating designation requirements, as applicable.</w:t>
      </w:r>
    </w:p>
    <w:p>
      <w:pPr>
        <w:spacing w:after="30"/>
        <w:ind w:left="0" w:hanging="259"/>
      </w:pPr>
      <w:r>
        <w:rPr>
          <w:rFonts w:ascii="Arial" w:hAnsi="Arial"/>
          <w:sz w:val="18"/>
        </w:rPr>
        <w:t>☐ Identify vacant LIHTC and HOME units and document marketing/leasing activity and compliance with applicable vacant-unit requirements.</w:t>
      </w:r>
    </w:p>
    <w:p>
      <w:pPr>
        <w:spacing w:after="30"/>
        <w:ind w:left="0" w:hanging="259"/>
      </w:pPr>
      <w:r>
        <w:rPr>
          <w:rFonts w:ascii="Arial" w:hAnsi="Arial"/>
          <w:sz w:val="18"/>
        </w:rPr>
        <w:t>☐ Identify employee, manager, model, security, or other non-revenue units and verify the compliance treatment is supported.</w:t>
      </w:r>
    </w:p>
    <w:p>
      <w:pPr>
        <w:spacing w:after="30"/>
        <w:ind w:left="0" w:hanging="259"/>
      </w:pPr>
      <w:r>
        <w:rPr>
          <w:rFonts w:ascii="Arial" w:hAnsi="Arial"/>
          <w:sz w:val="18"/>
        </w:rPr>
        <w:t>☐ Identify over-income households and verify continued compliance with the LIHTC Available Unit Rule where applicable.</w:t>
      </w:r>
    </w:p>
    <w:p>
      <w:pPr>
        <w:spacing w:after="30"/>
        <w:ind w:left="0" w:hanging="259"/>
      </w:pPr>
      <w:r>
        <w:rPr>
          <w:rFonts w:ascii="Arial" w:hAnsi="Arial"/>
          <w:sz w:val="18"/>
        </w:rPr>
        <w:t>☐ Review unit transfers and ensure transfers between buildings or programs were treated correctly under applicable rules.</w:t>
      </w:r>
    </w:p>
    <w:p>
      <w:pPr>
        <w:spacing w:after="30"/>
        <w:ind w:left="0" w:hanging="259"/>
      </w:pPr>
      <w:r>
        <w:rPr>
          <w:rFonts w:ascii="Arial" w:hAnsi="Arial"/>
          <w:sz w:val="18"/>
        </w:rPr>
        <w:t>☐ Verify unit size, household size, accessible-unit status, and program designation are accurately reflected in the rent roll and compliance system.</w:t>
      </w:r>
    </w:p>
    <w:p>
      <w:pPr>
        <w:spacing w:after="30"/>
        <w:ind w:left="0" w:hanging="259"/>
      </w:pPr>
      <w:r>
        <w:rPr>
          <w:rFonts w:ascii="Arial" w:hAnsi="Arial"/>
          <w:sz w:val="18"/>
        </w:rPr>
        <w:t>☐ Reconcile total units, restricted units, market units, HOME units, vacant units, employee units, and offline units to ensure no unexplained differences.</w:t>
      </w:r>
    </w:p>
    <w:p>
      <w:pPr>
        <w:pStyle w:val="HCASection"/>
      </w:pPr>
      <w:r>
        <w:t>3. TENANT FILE AUDIT - ELIGIBILITY &amp; CERTIFICATION</w:t>
      </w:r>
    </w:p>
    <w:p>
      <w:pPr>
        <w:spacing w:after="30"/>
        <w:ind w:left="0" w:hanging="259"/>
      </w:pPr>
      <w:r>
        <w:rPr>
          <w:rFonts w:ascii="Arial" w:hAnsi="Arial"/>
          <w:sz w:val="18"/>
        </w:rPr>
        <w:t>☐ Perform a pre-audit review of 100% of move-in files whenever practical, prioritizing recent move-ins and files likely to be selected by the monitoring agency.</w:t>
      </w:r>
    </w:p>
    <w:p>
      <w:pPr>
        <w:spacing w:after="30"/>
        <w:ind w:left="0" w:hanging="259"/>
      </w:pPr>
      <w:r>
        <w:rPr>
          <w:rFonts w:ascii="Arial" w:hAnsi="Arial"/>
          <w:sz w:val="18"/>
        </w:rPr>
        <w:t>☐ Confirm each household was income-qualified using the correct income limit in effect on the applicable qualification date.</w:t>
      </w:r>
    </w:p>
    <w:p>
      <w:pPr>
        <w:spacing w:after="30"/>
        <w:ind w:left="0" w:hanging="259"/>
      </w:pPr>
      <w:r>
        <w:rPr>
          <w:rFonts w:ascii="Arial" w:hAnsi="Arial"/>
          <w:sz w:val="18"/>
        </w:rPr>
        <w:t>☐ Verify the correct household composition and all household members are listed consistently across the application, certification, lease, and supporting documents.</w:t>
      </w:r>
    </w:p>
    <w:p>
      <w:pPr>
        <w:spacing w:after="30"/>
        <w:ind w:left="0" w:hanging="259"/>
      </w:pPr>
      <w:r>
        <w:rPr>
          <w:rFonts w:ascii="Arial" w:hAnsi="Arial"/>
          <w:sz w:val="18"/>
        </w:rPr>
        <w:t>☐ Confirm Social Security numbers, dates of birth, student status, relationship information, and other required household data are complete where applicable.</w:t>
      </w:r>
    </w:p>
    <w:p>
      <w:pPr>
        <w:spacing w:after="30"/>
        <w:ind w:left="0" w:hanging="259"/>
      </w:pPr>
      <w:r>
        <w:rPr>
          <w:rFonts w:ascii="Arial" w:hAnsi="Arial"/>
          <w:sz w:val="18"/>
        </w:rPr>
        <w:t>☐ Verify all sources of income were identified, verified, calculated correctly, and supported by required documentation.</w:t>
      </w:r>
    </w:p>
    <w:p>
      <w:pPr>
        <w:spacing w:after="30"/>
        <w:ind w:left="0" w:hanging="259"/>
      </w:pPr>
      <w:r>
        <w:rPr>
          <w:rFonts w:ascii="Arial" w:hAnsi="Arial"/>
          <w:sz w:val="18"/>
        </w:rPr>
        <w:t>☐ Review employment income calculations, including pay frequency, year-to-date earnings, overtime, bonuses, tips, commissions, seasonal work, and anticipated changes.</w:t>
      </w:r>
    </w:p>
    <w:p>
      <w:pPr>
        <w:spacing w:after="30"/>
        <w:ind w:left="0" w:hanging="259"/>
      </w:pPr>
      <w:r>
        <w:rPr>
          <w:rFonts w:ascii="Arial" w:hAnsi="Arial"/>
          <w:sz w:val="18"/>
        </w:rPr>
        <w:t>☐ Review Social Security, pension, unemployment, public assistance, recurring contributions, self-employment, gig income, and other applicable income sources.</w:t>
      </w:r>
    </w:p>
    <w:p>
      <w:pPr>
        <w:spacing w:after="30"/>
        <w:ind w:left="0" w:hanging="259"/>
      </w:pPr>
      <w:r>
        <w:rPr>
          <w:rFonts w:ascii="Arial" w:hAnsi="Arial"/>
          <w:sz w:val="18"/>
        </w:rPr>
        <w:t>☐ Verify asset information is complete and calculations follow the rules applicable to the property's funding programs and compliance period.</w:t>
      </w:r>
    </w:p>
    <w:p>
      <w:pPr>
        <w:spacing w:after="30"/>
        <w:ind w:left="0" w:hanging="259"/>
      </w:pPr>
      <w:r>
        <w:rPr>
          <w:rFonts w:ascii="Arial" w:hAnsi="Arial"/>
          <w:sz w:val="18"/>
        </w:rPr>
        <w:t>☐ Confirm required third-party verifications, source documents, self-certifications, or alternative verification methods meet agency/program requirements.</w:t>
      </w:r>
    </w:p>
    <w:p>
      <w:pPr>
        <w:spacing w:after="30"/>
        <w:ind w:left="0" w:hanging="259"/>
      </w:pPr>
      <w:r>
        <w:rPr>
          <w:rFonts w:ascii="Arial" w:hAnsi="Arial"/>
          <w:sz w:val="18"/>
        </w:rPr>
        <w:t>☐ Verify zero-income or no-income certifications are supported by the property's required due-diligence procedures.</w:t>
      </w:r>
    </w:p>
    <w:p>
      <w:pPr>
        <w:spacing w:after="30"/>
        <w:ind w:left="0" w:hanging="259"/>
      </w:pPr>
      <w:r>
        <w:rPr>
          <w:rFonts w:ascii="Arial" w:hAnsi="Arial"/>
          <w:sz w:val="18"/>
        </w:rPr>
        <w:t>☐ Review student status carefully for LIHTC households and document the applicable exception when a household is otherwise prohibited by the full-time student rule.</w:t>
      </w:r>
    </w:p>
    <w:p>
      <w:pPr>
        <w:spacing w:after="30"/>
        <w:ind w:left="0" w:hanging="259"/>
      </w:pPr>
      <w:r>
        <w:rPr>
          <w:rFonts w:ascii="Arial" w:hAnsi="Arial"/>
          <w:sz w:val="18"/>
        </w:rPr>
        <w:t>☐ Verify household eligibility at move-in was established before occupancy and before the effective date of the initial certification.</w:t>
      </w:r>
    </w:p>
    <w:p>
      <w:pPr>
        <w:spacing w:after="30"/>
        <w:ind w:left="0" w:hanging="259"/>
      </w:pPr>
      <w:r>
        <w:rPr>
          <w:rFonts w:ascii="Arial" w:hAnsi="Arial"/>
          <w:sz w:val="18"/>
        </w:rPr>
        <w:t>☐ Confirm the Tenant Income Certification (TIC) or state-required certification form is complete, signed, dated, and consistent with supporting documentation.</w:t>
      </w:r>
    </w:p>
    <w:p>
      <w:pPr>
        <w:spacing w:after="30"/>
        <w:ind w:left="0" w:hanging="259"/>
      </w:pPr>
      <w:r>
        <w:rPr>
          <w:rFonts w:ascii="Arial" w:hAnsi="Arial"/>
          <w:sz w:val="18"/>
        </w:rPr>
        <w:t>☐ Check all calculations independently rather than relying only on property management software.</w:t>
      </w:r>
    </w:p>
    <w:p>
      <w:pPr>
        <w:spacing w:after="30"/>
        <w:ind w:left="0" w:hanging="259"/>
      </w:pPr>
      <w:r>
        <w:rPr>
          <w:rFonts w:ascii="Arial" w:hAnsi="Arial"/>
          <w:sz w:val="18"/>
        </w:rPr>
        <w:t>☐ Verify corrections to certifications or source documents are properly documented, initialed/dated when required, and do not obscure the original information.</w:t>
      </w:r>
    </w:p>
    <w:p>
      <w:pPr>
        <w:pStyle w:val="HCASection"/>
      </w:pPr>
      <w:r>
        <w:t>4. ANNUAL RECERTIFICATIONS &amp; INTERIM CHANGES</w:t>
      </w:r>
    </w:p>
    <w:p>
      <w:pPr>
        <w:spacing w:after="30"/>
        <w:ind w:left="0" w:hanging="259"/>
      </w:pPr>
      <w:r>
        <w:rPr>
          <w:rFonts w:ascii="Arial" w:hAnsi="Arial"/>
          <w:sz w:val="18"/>
        </w:rPr>
        <w:t>☐ Create a recertification tracking report showing the last certification effective date, next due date, completion status, and outstanding items for every restricted household.</w:t>
      </w:r>
    </w:p>
    <w:p>
      <w:pPr>
        <w:spacing w:after="30"/>
        <w:ind w:left="0" w:hanging="259"/>
      </w:pPr>
      <w:r>
        <w:rPr>
          <w:rFonts w:ascii="Arial" w:hAnsi="Arial"/>
          <w:sz w:val="18"/>
        </w:rPr>
        <w:t>☐ Confirm annual recertifications were completed when required by the applicable LIHTC, HOME, or layered program rules.</w:t>
      </w:r>
    </w:p>
    <w:p>
      <w:pPr>
        <w:spacing w:after="30"/>
        <w:ind w:left="0" w:hanging="259"/>
      </w:pPr>
      <w:r>
        <w:rPr>
          <w:rFonts w:ascii="Arial" w:hAnsi="Arial"/>
          <w:sz w:val="18"/>
        </w:rPr>
        <w:t>☐ Identify late, missing, incomplete, or unsigned certifications and establish corrective action before the audit.</w:t>
      </w:r>
    </w:p>
    <w:p>
      <w:pPr>
        <w:spacing w:after="30"/>
        <w:ind w:left="0" w:hanging="259"/>
      </w:pPr>
      <w:r>
        <w:rPr>
          <w:rFonts w:ascii="Arial" w:hAnsi="Arial"/>
          <w:sz w:val="18"/>
        </w:rPr>
        <w:t>☐ Verify changes in household composition were documented and eligibility implications were reviewed.</w:t>
      </w:r>
    </w:p>
    <w:p>
      <w:pPr>
        <w:spacing w:after="30"/>
        <w:ind w:left="0" w:hanging="259"/>
      </w:pPr>
      <w:r>
        <w:rPr>
          <w:rFonts w:ascii="Arial" w:hAnsi="Arial"/>
          <w:sz w:val="18"/>
        </w:rPr>
        <w:t>☐ Review interim certifications or reported income/household changes when required by HOME, rental assistance, state policy, or another layered program.</w:t>
      </w:r>
    </w:p>
    <w:p>
      <w:pPr>
        <w:spacing w:after="30"/>
        <w:ind w:left="0" w:hanging="259"/>
      </w:pPr>
      <w:r>
        <w:rPr>
          <w:rFonts w:ascii="Arial" w:hAnsi="Arial"/>
          <w:sz w:val="18"/>
        </w:rPr>
        <w:t>☐ For LIHTC projects where annual income recertification requirements have been waived or modified, confirm the property follows the applicable federal and state agency requirements rather than automatically assuming a full recertification is required.</w:t>
      </w:r>
    </w:p>
    <w:p>
      <w:pPr>
        <w:spacing w:after="30"/>
        <w:ind w:left="0" w:hanging="259"/>
      </w:pPr>
      <w:r>
        <w:rPr>
          <w:rFonts w:ascii="Arial" w:hAnsi="Arial"/>
          <w:sz w:val="18"/>
        </w:rPr>
        <w:t>☐ Verify HOME income reexaminations and documentation follow the method permitted/required by the PJ and current HOME rules.</w:t>
      </w:r>
    </w:p>
    <w:p>
      <w:pPr>
        <w:spacing w:after="30"/>
        <w:ind w:left="0" w:hanging="259"/>
      </w:pPr>
      <w:r>
        <w:rPr>
          <w:rFonts w:ascii="Arial" w:hAnsi="Arial"/>
          <w:sz w:val="18"/>
        </w:rPr>
        <w:t>☐ Confirm all certifications use the correct effective dates and that no unexplained gaps exist in the certification history.</w:t>
      </w:r>
    </w:p>
    <w:p>
      <w:pPr>
        <w:pStyle w:val="HCASection"/>
      </w:pPr>
      <w:r>
        <w:t>5. LIHTC RENT LIMITS, UTILITY ALLOWANCES &amp; FEES</w:t>
      </w:r>
    </w:p>
    <w:p>
      <w:pPr>
        <w:spacing w:after="30"/>
        <w:ind w:left="0" w:hanging="259"/>
      </w:pPr>
      <w:r>
        <w:rPr>
          <w:rFonts w:ascii="Arial" w:hAnsi="Arial"/>
          <w:sz w:val="18"/>
        </w:rPr>
        <w:t>☐ Verify the property is using the correct current LIHTC income and gross rent limits for the applicable county/MSA and bedroom size.</w:t>
      </w:r>
    </w:p>
    <w:p>
      <w:pPr>
        <w:spacing w:after="30"/>
        <w:ind w:left="0" w:hanging="259"/>
      </w:pPr>
      <w:r>
        <w:rPr>
          <w:rFonts w:ascii="Arial" w:hAnsi="Arial"/>
          <w:sz w:val="18"/>
        </w:rPr>
        <w:t>☐ Confirm rent limits are applied based on the correct imputed household size methodology.</w:t>
      </w:r>
    </w:p>
    <w:p>
      <w:pPr>
        <w:spacing w:after="30"/>
        <w:ind w:left="0" w:hanging="259"/>
      </w:pPr>
      <w:r>
        <w:rPr>
          <w:rFonts w:ascii="Arial" w:hAnsi="Arial"/>
          <w:sz w:val="18"/>
        </w:rPr>
        <w:t>☐ Verify tenant-paid rent plus the applicable utility allowance and required non-optional charges does not exceed the maximum LIHTC gross rent.</w:t>
      </w:r>
    </w:p>
    <w:p>
      <w:pPr>
        <w:spacing w:after="30"/>
        <w:ind w:left="0" w:hanging="259"/>
      </w:pPr>
      <w:r>
        <w:rPr>
          <w:rFonts w:ascii="Arial" w:hAnsi="Arial"/>
          <w:sz w:val="18"/>
        </w:rPr>
        <w:t>☐ Review every utility allowance currently in use and confirm the source/method is permitted for the property.</w:t>
      </w:r>
    </w:p>
    <w:p>
      <w:pPr>
        <w:spacing w:after="30"/>
        <w:ind w:left="0" w:hanging="259"/>
      </w:pPr>
      <w:r>
        <w:rPr>
          <w:rFonts w:ascii="Arial" w:hAnsi="Arial"/>
          <w:sz w:val="18"/>
        </w:rPr>
        <w:t>☐ Verify utility allowance updates were implemented timely and documentation supporting the current allowance is retained.</w:t>
      </w:r>
    </w:p>
    <w:p>
      <w:pPr>
        <w:spacing w:after="30"/>
        <w:ind w:left="0" w:hanging="259"/>
      </w:pPr>
      <w:r>
        <w:rPr>
          <w:rFonts w:ascii="Arial" w:hAnsi="Arial"/>
          <w:sz w:val="18"/>
        </w:rPr>
        <w:t>☐ Confirm any tenant-paid utility, service, amenity, parking, washer/dryer, cable/internet, or other mandatory charge has been evaluated for rent-limit implications.</w:t>
      </w:r>
    </w:p>
    <w:p>
      <w:pPr>
        <w:spacing w:after="30"/>
        <w:ind w:left="0" w:hanging="259"/>
      </w:pPr>
      <w:r>
        <w:rPr>
          <w:rFonts w:ascii="Arial" w:hAnsi="Arial"/>
          <w:sz w:val="18"/>
        </w:rPr>
        <w:t>☐ Review concessions, discounts, rent specials, credits, and side agreements for potential compliance impact.</w:t>
      </w:r>
    </w:p>
    <w:p>
      <w:pPr>
        <w:spacing w:after="30"/>
        <w:ind w:left="0" w:hanging="259"/>
      </w:pPr>
      <w:r>
        <w:rPr>
          <w:rFonts w:ascii="Arial" w:hAnsi="Arial"/>
          <w:sz w:val="18"/>
        </w:rPr>
        <w:t>☐ Confirm rent increases were implemented only after verifying continued compliance with LIHTC and any additional state restrictions.</w:t>
      </w:r>
    </w:p>
    <w:p>
      <w:pPr>
        <w:pStyle w:val="HCASection"/>
      </w:pPr>
      <w:r>
        <w:t>6. HOME RENT, INCOME &amp; UNIT REQUIREMENTS</w:t>
      </w:r>
    </w:p>
    <w:p>
      <w:pPr>
        <w:spacing w:after="30"/>
        <w:ind w:left="0" w:hanging="259"/>
      </w:pPr>
      <w:r>
        <w:rPr>
          <w:rFonts w:ascii="Arial" w:hAnsi="Arial"/>
          <w:sz w:val="18"/>
        </w:rPr>
        <w:t>☐ Verify current HOME income limits and HOME rent limits are being used for the applicable jurisdiction and unit type.</w:t>
      </w:r>
    </w:p>
    <w:p>
      <w:pPr>
        <w:spacing w:after="30"/>
        <w:ind w:left="0" w:hanging="259"/>
      </w:pPr>
      <w:r>
        <w:rPr>
          <w:rFonts w:ascii="Arial" w:hAnsi="Arial"/>
          <w:sz w:val="18"/>
        </w:rPr>
        <w:t>☐ Confirm High HOME and Low HOME rents are applied correctly to designated units.</w:t>
      </w:r>
    </w:p>
    <w:p>
      <w:pPr>
        <w:spacing w:after="30"/>
        <w:ind w:left="0" w:hanging="259"/>
      </w:pPr>
      <w:r>
        <w:rPr>
          <w:rFonts w:ascii="Arial" w:hAnsi="Arial"/>
          <w:sz w:val="18"/>
        </w:rPr>
        <w:t>☐ Verify tenant-paid rent plus the applicable utility allowance does not exceed the applicable HOME rent limit.</w:t>
      </w:r>
    </w:p>
    <w:p>
      <w:pPr>
        <w:spacing w:after="30"/>
        <w:ind w:left="0" w:hanging="259"/>
      </w:pPr>
      <w:r>
        <w:rPr>
          <w:rFonts w:ascii="Arial" w:hAnsi="Arial"/>
          <w:sz w:val="18"/>
        </w:rPr>
        <w:t>☐ Confirm HOME-assisted households satisfy the applicable income targeting requirements and the property's HOME written agreement.</w:t>
      </w:r>
    </w:p>
    <w:p>
      <w:pPr>
        <w:spacing w:after="30"/>
        <w:ind w:left="0" w:hanging="259"/>
      </w:pPr>
      <w:r>
        <w:rPr>
          <w:rFonts w:ascii="Arial" w:hAnsi="Arial"/>
          <w:sz w:val="18"/>
        </w:rPr>
        <w:t>☐ Review the HOME unit mix and ensure required Low HOME units are maintained.</w:t>
      </w:r>
    </w:p>
    <w:p>
      <w:pPr>
        <w:spacing w:after="30"/>
        <w:ind w:left="0" w:hanging="259"/>
      </w:pPr>
      <w:r>
        <w:rPr>
          <w:rFonts w:ascii="Arial" w:hAnsi="Arial"/>
          <w:sz w:val="18"/>
        </w:rPr>
        <w:t>☐ For floating HOME units, confirm unit substitutions maintain the required number, bedroom distribution, and comparable-unit requirements.</w:t>
      </w:r>
    </w:p>
    <w:p>
      <w:pPr>
        <w:spacing w:after="30"/>
        <w:ind w:left="0" w:hanging="259"/>
      </w:pPr>
      <w:r>
        <w:rPr>
          <w:rFonts w:ascii="Arial" w:hAnsi="Arial"/>
          <w:sz w:val="18"/>
        </w:rPr>
        <w:t>☐ Verify HOME rent and occupancy information can be supported through current records and annual reporting to the PJ.</w:t>
      </w:r>
    </w:p>
    <w:p>
      <w:pPr>
        <w:spacing w:after="30"/>
        <w:ind w:left="0" w:hanging="259"/>
      </w:pPr>
      <w:r>
        <w:rPr>
          <w:rFonts w:ascii="Arial" w:hAnsi="Arial"/>
          <w:sz w:val="18"/>
        </w:rPr>
        <w:t>☐ Confirm the property follows the current HOME lease/tenancy requirements applicable to the project's commitment date, including required tenancy addenda when applicable.</w:t>
      </w:r>
    </w:p>
    <w:p>
      <w:pPr>
        <w:spacing w:after="30"/>
        <w:ind w:left="0" w:hanging="259"/>
      </w:pPr>
      <w:r>
        <w:rPr>
          <w:rFonts w:ascii="Arial" w:hAnsi="Arial"/>
          <w:sz w:val="18"/>
        </w:rPr>
        <w:t>☐ Review prohibited lease provisions, termination/nonrenewal practices, notices, and tenant protections for consistency with HOME requirements.</w:t>
      </w:r>
    </w:p>
    <w:p>
      <w:pPr>
        <w:spacing w:after="30"/>
        <w:ind w:left="0" w:hanging="259"/>
      </w:pPr>
      <w:r>
        <w:rPr>
          <w:rFonts w:ascii="Arial" w:hAnsi="Arial"/>
          <w:sz w:val="18"/>
        </w:rPr>
        <w:t>☐ Verify security deposits and other tenant charges comply with HOME requirements and the written agreement.</w:t>
      </w:r>
    </w:p>
    <w:p>
      <w:pPr>
        <w:pStyle w:val="HCASection"/>
      </w:pPr>
      <w:r>
        <w:t>7. LEASES, ADDENDA &amp; TENANT DOCUMENTS</w:t>
      </w:r>
    </w:p>
    <w:p>
      <w:pPr>
        <w:spacing w:after="30"/>
        <w:ind w:left="0" w:hanging="259"/>
      </w:pPr>
      <w:r>
        <w:rPr>
          <w:rFonts w:ascii="Arial" w:hAnsi="Arial"/>
          <w:sz w:val="18"/>
        </w:rPr>
        <w:t>☐ Confirm every occupied unit has a fully executed current lease and all required program addenda.</w:t>
      </w:r>
    </w:p>
    <w:p>
      <w:pPr>
        <w:spacing w:after="30"/>
        <w:ind w:left="0" w:hanging="259"/>
      </w:pPr>
      <w:r>
        <w:rPr>
          <w:rFonts w:ascii="Arial" w:hAnsi="Arial"/>
          <w:sz w:val="18"/>
        </w:rPr>
        <w:t>☐ Verify lease dates, rent, unit number, household members, and signatures match the certification and rent roll.</w:t>
      </w:r>
    </w:p>
    <w:p>
      <w:pPr>
        <w:spacing w:after="30"/>
        <w:ind w:left="0" w:hanging="259"/>
      </w:pPr>
      <w:r>
        <w:rPr>
          <w:rFonts w:ascii="Arial" w:hAnsi="Arial"/>
          <w:sz w:val="18"/>
        </w:rPr>
        <w:t>☐ Confirm required LIHTC, HOME, state agency, VAWA/fair housing, lead-based paint, house rules, pet, utility, and other applicable notices/addenda are present.</w:t>
      </w:r>
    </w:p>
    <w:p>
      <w:pPr>
        <w:spacing w:after="30"/>
        <w:ind w:left="0" w:hanging="259"/>
      </w:pPr>
      <w:r>
        <w:rPr>
          <w:rFonts w:ascii="Arial" w:hAnsi="Arial"/>
          <w:sz w:val="18"/>
        </w:rPr>
        <w:t>☐ Check that no lease clause or house rule conflicts with federal, state, HOME, LIHTC, or agency requirements.</w:t>
      </w:r>
    </w:p>
    <w:p>
      <w:pPr>
        <w:spacing w:after="30"/>
        <w:ind w:left="0" w:hanging="259"/>
      </w:pPr>
      <w:r>
        <w:rPr>
          <w:rFonts w:ascii="Arial" w:hAnsi="Arial"/>
          <w:sz w:val="18"/>
        </w:rPr>
        <w:t>☐ Verify tenant charges listed in the lease agree with charges actually assessed on the resident ledger.</w:t>
      </w:r>
    </w:p>
    <w:p>
      <w:pPr>
        <w:spacing w:after="30"/>
        <w:ind w:left="0" w:hanging="259"/>
      </w:pPr>
      <w:r>
        <w:rPr>
          <w:rFonts w:ascii="Arial" w:hAnsi="Arial"/>
          <w:sz w:val="18"/>
        </w:rPr>
        <w:t>☐ Review lease renewals, notices to vacate, nonrenewals, terminations, and eviction files for required documentation and notices.</w:t>
      </w:r>
    </w:p>
    <w:p>
      <w:pPr>
        <w:pStyle w:val="HCASection"/>
      </w:pPr>
      <w:r>
        <w:t>8. FAIR HOUSING, AFFIRMATIVE MARKETING &amp; ACCESSIBILITY</w:t>
      </w:r>
    </w:p>
    <w:p>
      <w:pPr>
        <w:spacing w:after="30"/>
        <w:ind w:left="0" w:hanging="259"/>
      </w:pPr>
      <w:r>
        <w:rPr>
          <w:rFonts w:ascii="Arial" w:hAnsi="Arial"/>
          <w:sz w:val="18"/>
        </w:rPr>
        <w:t>☐ Locate the property's current Affirmative Fair Housing Marketing Plan or other required affirmative marketing procedures.</w:t>
      </w:r>
    </w:p>
    <w:p>
      <w:pPr>
        <w:spacing w:after="30"/>
        <w:ind w:left="0" w:hanging="259"/>
      </w:pPr>
      <w:r>
        <w:rPr>
          <w:rFonts w:ascii="Arial" w:hAnsi="Arial"/>
          <w:sz w:val="18"/>
        </w:rPr>
        <w:t>☐ Confirm HOME properties with five or more HOME-assisted units follow applicable affirmative marketing requirements.</w:t>
      </w:r>
    </w:p>
    <w:p>
      <w:pPr>
        <w:spacing w:after="30"/>
        <w:ind w:left="0" w:hanging="259"/>
      </w:pPr>
      <w:r>
        <w:rPr>
          <w:rFonts w:ascii="Arial" w:hAnsi="Arial"/>
          <w:sz w:val="18"/>
        </w:rPr>
        <w:t>☐ Retain evidence of marketing activities, outreach, advertisements, waitlist procedures, and efforts to reach populations least likely to apply.</w:t>
      </w:r>
    </w:p>
    <w:p>
      <w:pPr>
        <w:spacing w:after="30"/>
        <w:ind w:left="0" w:hanging="259"/>
      </w:pPr>
      <w:r>
        <w:rPr>
          <w:rFonts w:ascii="Arial" w:hAnsi="Arial"/>
          <w:sz w:val="18"/>
        </w:rPr>
        <w:t>☐ Review advertising, website language, applications, and marketing materials for fair housing compliance.</w:t>
      </w:r>
    </w:p>
    <w:p>
      <w:pPr>
        <w:spacing w:after="30"/>
        <w:ind w:left="0" w:hanging="259"/>
      </w:pPr>
      <w:r>
        <w:rPr>
          <w:rFonts w:ascii="Arial" w:hAnsi="Arial"/>
          <w:sz w:val="18"/>
        </w:rPr>
        <w:t>☐ Confirm reasonable accommodation and reasonable modification requests are documented and handled consistently.</w:t>
      </w:r>
    </w:p>
    <w:p>
      <w:pPr>
        <w:spacing w:after="30"/>
        <w:ind w:left="0" w:hanging="259"/>
      </w:pPr>
      <w:r>
        <w:rPr>
          <w:rFonts w:ascii="Arial" w:hAnsi="Arial"/>
          <w:sz w:val="18"/>
        </w:rPr>
        <w:t>☐ Review accessible-unit tracking and procedures for offering accessible units to applicants/residents who need the features.</w:t>
      </w:r>
    </w:p>
    <w:p>
      <w:pPr>
        <w:spacing w:after="30"/>
        <w:ind w:left="0" w:hanging="259"/>
      </w:pPr>
      <w:r>
        <w:rPr>
          <w:rFonts w:ascii="Arial" w:hAnsi="Arial"/>
          <w:sz w:val="18"/>
        </w:rPr>
        <w:t>☐ Verify staff know how to respond to requests involving assistance animals, disability-related accommodations, language access, and other fair housing issues.</w:t>
      </w:r>
    </w:p>
    <w:p>
      <w:pPr>
        <w:spacing w:after="30"/>
        <w:ind w:left="0" w:hanging="259"/>
      </w:pPr>
      <w:r>
        <w:rPr>
          <w:rFonts w:ascii="Arial" w:hAnsi="Arial"/>
          <w:sz w:val="18"/>
        </w:rPr>
        <w:t>☐ Review occupancy standards, screening criteria, criminal screening, and tenant-selection practices for consistency and nondiscriminatory application.</w:t>
      </w:r>
    </w:p>
    <w:p>
      <w:pPr>
        <w:pStyle w:val="HCASection"/>
      </w:pPr>
      <w:r>
        <w:t>9. WAITLIST, APPLICATIONS &amp; TENANT SELECTION</w:t>
      </w:r>
    </w:p>
    <w:p>
      <w:pPr>
        <w:spacing w:after="30"/>
        <w:ind w:left="0" w:hanging="259"/>
      </w:pPr>
      <w:r>
        <w:rPr>
          <w:rFonts w:ascii="Arial" w:hAnsi="Arial"/>
          <w:sz w:val="18"/>
        </w:rPr>
        <w:t>☐ Review the current waiting list and confirm entries are chronological or otherwise ordered according to the approved tenant-selection policy.</w:t>
      </w:r>
    </w:p>
    <w:p>
      <w:pPr>
        <w:spacing w:after="30"/>
        <w:ind w:left="0" w:hanging="259"/>
      </w:pPr>
      <w:r>
        <w:rPr>
          <w:rFonts w:ascii="Arial" w:hAnsi="Arial"/>
          <w:sz w:val="18"/>
        </w:rPr>
        <w:t>☐ Verify application dates/times, contact attempts, status changes, withdrawals, rejections, and offers are documented.</w:t>
      </w:r>
    </w:p>
    <w:p>
      <w:pPr>
        <w:spacing w:after="30"/>
        <w:ind w:left="0" w:hanging="259"/>
      </w:pPr>
      <w:r>
        <w:rPr>
          <w:rFonts w:ascii="Arial" w:hAnsi="Arial"/>
          <w:sz w:val="18"/>
        </w:rPr>
        <w:t>☐ Confirm applicant screening criteria are written, consistently applied, and supported by documentation.</w:t>
      </w:r>
    </w:p>
    <w:p>
      <w:pPr>
        <w:spacing w:after="30"/>
        <w:ind w:left="0" w:hanging="259"/>
      </w:pPr>
      <w:r>
        <w:rPr>
          <w:rFonts w:ascii="Arial" w:hAnsi="Arial"/>
          <w:sz w:val="18"/>
        </w:rPr>
        <w:t>☐ Review rejected applications for required notices and evidence supporting the decision.</w:t>
      </w:r>
    </w:p>
    <w:p>
      <w:pPr>
        <w:spacing w:after="30"/>
        <w:ind w:left="0" w:hanging="259"/>
      </w:pPr>
      <w:r>
        <w:rPr>
          <w:rFonts w:ascii="Arial" w:hAnsi="Arial"/>
          <w:sz w:val="18"/>
        </w:rPr>
        <w:t>☐ Verify preferences, set-asides, targeting requirements, and special populations are applied only as authorized.</w:t>
      </w:r>
    </w:p>
    <w:p>
      <w:pPr>
        <w:spacing w:after="30"/>
        <w:ind w:left="0" w:hanging="259"/>
      </w:pPr>
      <w:r>
        <w:rPr>
          <w:rFonts w:ascii="Arial" w:hAnsi="Arial"/>
          <w:sz w:val="18"/>
        </w:rPr>
        <w:t>☐ Confirm the property can demonstrate how recent vacancies were offered and filled.</w:t>
      </w:r>
    </w:p>
    <w:p>
      <w:pPr>
        <w:spacing w:after="30"/>
        <w:ind w:left="0" w:hanging="259"/>
      </w:pPr>
      <w:r>
        <w:rPr>
          <w:rFonts w:ascii="Arial" w:hAnsi="Arial"/>
          <w:sz w:val="18"/>
        </w:rPr>
        <w:t>☐ Review transfer-list procedures and priority rules.</w:t>
      </w:r>
    </w:p>
    <w:p>
      <w:pPr>
        <w:pStyle w:val="HCASection"/>
      </w:pPr>
      <w:r>
        <w:t>10. PHYSICAL CONDITION &amp; PROPERTY STANDARDS</w:t>
      </w:r>
    </w:p>
    <w:p>
      <w:pPr>
        <w:spacing w:after="30"/>
        <w:ind w:left="0" w:hanging="259"/>
      </w:pPr>
      <w:r>
        <w:rPr>
          <w:rFonts w:ascii="Arial" w:hAnsi="Arial"/>
          <w:sz w:val="18"/>
        </w:rPr>
        <w:t>☐ Conduct an internal inspection of the site, common areas, building exteriors, mechanical areas, and a representative sample of units before the agency visit.</w:t>
      </w:r>
    </w:p>
    <w:p>
      <w:pPr>
        <w:spacing w:after="30"/>
        <w:ind w:left="0" w:hanging="259"/>
      </w:pPr>
      <w:r>
        <w:rPr>
          <w:rFonts w:ascii="Arial" w:hAnsi="Arial"/>
          <w:sz w:val="18"/>
        </w:rPr>
        <w:t>☐ Correct health and safety deficiencies immediately and document completed work.</w:t>
      </w:r>
    </w:p>
    <w:p>
      <w:pPr>
        <w:spacing w:after="30"/>
        <w:ind w:left="0" w:hanging="259"/>
      </w:pPr>
      <w:r>
        <w:rPr>
          <w:rFonts w:ascii="Arial" w:hAnsi="Arial"/>
          <w:sz w:val="18"/>
        </w:rPr>
        <w:t>☐ Review smoke detectors, carbon monoxide detection, electrical hazards, blocked egress, trip hazards, leaks, mold/moisture, infestation, plumbing, HVAC, and other life-safety concerns.</w:t>
      </w:r>
    </w:p>
    <w:p>
      <w:pPr>
        <w:spacing w:after="30"/>
        <w:ind w:left="0" w:hanging="259"/>
      </w:pPr>
      <w:r>
        <w:rPr>
          <w:rFonts w:ascii="Arial" w:hAnsi="Arial"/>
          <w:sz w:val="18"/>
        </w:rPr>
        <w:t>☐ For HOME-assisted units, confirm the property meets the PJ's applicable property standards and current HOME requirements.</w:t>
      </w:r>
    </w:p>
    <w:p>
      <w:pPr>
        <w:spacing w:after="30"/>
        <w:ind w:left="0" w:hanging="259"/>
      </w:pPr>
      <w:r>
        <w:rPr>
          <w:rFonts w:ascii="Arial" w:hAnsi="Arial"/>
          <w:sz w:val="18"/>
        </w:rPr>
        <w:t>☐ Confirm inspection records, work orders, preventive maintenance records, and completed repairs are organized and available.</w:t>
      </w:r>
    </w:p>
    <w:p>
      <w:pPr>
        <w:spacing w:after="30"/>
        <w:ind w:left="0" w:hanging="259"/>
      </w:pPr>
      <w:r>
        <w:rPr>
          <w:rFonts w:ascii="Arial" w:hAnsi="Arial"/>
          <w:sz w:val="18"/>
        </w:rPr>
        <w:t>☐ Review accessible features, parking, routes, common areas, and units for unresolved accessibility issues.</w:t>
      </w:r>
    </w:p>
    <w:p>
      <w:pPr>
        <w:spacing w:after="30"/>
        <w:ind w:left="0" w:hanging="259"/>
      </w:pPr>
      <w:r>
        <w:rPr>
          <w:rFonts w:ascii="Arial" w:hAnsi="Arial"/>
          <w:sz w:val="18"/>
        </w:rPr>
        <w:t>☐ Walk the property as an auditor would: signage, grounds, trash areas, lighting, exterior damage, roofs, doors/windows, community areas, laundry, and mechanical rooms.</w:t>
      </w:r>
    </w:p>
    <w:p>
      <w:pPr>
        <w:pStyle w:val="HCASection"/>
      </w:pPr>
      <w:r>
        <w:t>11. FINANCIAL, RENT LEDGER &amp; TENANT CHARGE REVIEW</w:t>
      </w:r>
    </w:p>
    <w:p>
      <w:pPr>
        <w:spacing w:after="30"/>
        <w:ind w:left="0" w:hanging="259"/>
      </w:pPr>
      <w:r>
        <w:rPr>
          <w:rFonts w:ascii="Arial" w:hAnsi="Arial"/>
          <w:sz w:val="18"/>
        </w:rPr>
        <w:t>☐ Compare the rent roll to resident ledgers for a sample of restricted units.</w:t>
      </w:r>
    </w:p>
    <w:p>
      <w:pPr>
        <w:spacing w:after="30"/>
        <w:ind w:left="0" w:hanging="259"/>
      </w:pPr>
      <w:r>
        <w:rPr>
          <w:rFonts w:ascii="Arial" w:hAnsi="Arial"/>
          <w:sz w:val="18"/>
        </w:rPr>
        <w:t>☐ Verify actual rent charged agrees with the lease and certification.</w:t>
      </w:r>
    </w:p>
    <w:p>
      <w:pPr>
        <w:spacing w:after="30"/>
        <w:ind w:left="0" w:hanging="259"/>
      </w:pPr>
      <w:r>
        <w:rPr>
          <w:rFonts w:ascii="Arial" w:hAnsi="Arial"/>
          <w:sz w:val="18"/>
        </w:rPr>
        <w:t>☐ Identify unexplained recurring charges, mandatory fees, utility charges, or other amounts that may affect restricted rent compliance.</w:t>
      </w:r>
    </w:p>
    <w:p>
      <w:pPr>
        <w:spacing w:after="30"/>
        <w:ind w:left="0" w:hanging="259"/>
      </w:pPr>
      <w:r>
        <w:rPr>
          <w:rFonts w:ascii="Arial" w:hAnsi="Arial"/>
          <w:sz w:val="18"/>
        </w:rPr>
        <w:t>☐ Review security deposits and refunds for consistency with lease and program requirements.</w:t>
      </w:r>
    </w:p>
    <w:p>
      <w:pPr>
        <w:spacing w:after="30"/>
        <w:ind w:left="0" w:hanging="259"/>
      </w:pPr>
      <w:r>
        <w:rPr>
          <w:rFonts w:ascii="Arial" w:hAnsi="Arial"/>
          <w:sz w:val="18"/>
        </w:rPr>
        <w:t>☐ Investigate credits, concessions, write-offs, repayment agreements, and unusual ledger adjustments.</w:t>
      </w:r>
    </w:p>
    <w:p>
      <w:pPr>
        <w:spacing w:after="30"/>
        <w:ind w:left="0" w:hanging="259"/>
      </w:pPr>
      <w:r>
        <w:rPr>
          <w:rFonts w:ascii="Arial" w:hAnsi="Arial"/>
          <w:sz w:val="18"/>
        </w:rPr>
        <w:t>☐ Confirm HOME and LIHTC restricted units are not being charged impermissible rents or fees.</w:t>
      </w:r>
    </w:p>
    <w:p>
      <w:pPr>
        <w:pStyle w:val="HCASection"/>
      </w:pPr>
      <w:r>
        <w:t>12. VAWA / TENANT PROTECTIONS / REQUIRED POLICIES</w:t>
      </w:r>
    </w:p>
    <w:p>
      <w:pPr>
        <w:spacing w:after="30"/>
        <w:ind w:left="0" w:hanging="259"/>
      </w:pPr>
      <w:r>
        <w:rPr>
          <w:rFonts w:ascii="Arial" w:hAnsi="Arial"/>
          <w:sz w:val="18"/>
        </w:rPr>
        <w:t>☐ Determine which VAWA requirements apply based on the property's federal programs and ensure required notices, forms, emergency transfer policies, and confidentiality procedures are available.</w:t>
      </w:r>
    </w:p>
    <w:p>
      <w:pPr>
        <w:spacing w:after="30"/>
        <w:ind w:left="0" w:hanging="259"/>
      </w:pPr>
      <w:r>
        <w:rPr>
          <w:rFonts w:ascii="Arial" w:hAnsi="Arial"/>
          <w:sz w:val="18"/>
        </w:rPr>
        <w:t>☐ Confirm staff understand how to handle requests involving domestic violence, dating violence, sexual assault, or stalking under applicable program requirements.</w:t>
      </w:r>
    </w:p>
    <w:p>
      <w:pPr>
        <w:spacing w:after="30"/>
        <w:ind w:left="0" w:hanging="259"/>
      </w:pPr>
      <w:r>
        <w:rPr>
          <w:rFonts w:ascii="Arial" w:hAnsi="Arial"/>
          <w:sz w:val="18"/>
        </w:rPr>
        <w:t>☐ Review termination and eviction files for potential VAWA or fair housing concerns.</w:t>
      </w:r>
    </w:p>
    <w:p>
      <w:pPr>
        <w:spacing w:after="30"/>
        <w:ind w:left="0" w:hanging="259"/>
      </w:pPr>
      <w:r>
        <w:rPr>
          <w:rFonts w:ascii="Arial" w:hAnsi="Arial"/>
          <w:sz w:val="18"/>
        </w:rPr>
        <w:t>☐ Confirm HOME tenant protections and required lease provisions/addenda are implemented according to the project's applicable HOME rule requirements.</w:t>
      </w:r>
    </w:p>
    <w:p>
      <w:pPr>
        <w:spacing w:after="30"/>
        <w:ind w:left="0" w:hanging="259"/>
      </w:pPr>
      <w:r>
        <w:rPr>
          <w:rFonts w:ascii="Arial" w:hAnsi="Arial"/>
          <w:sz w:val="18"/>
        </w:rPr>
        <w:t>☐ Review grievance, complaint, accommodation, and appeal procedures required by the property's funding sources.</w:t>
      </w:r>
    </w:p>
    <w:p>
      <w:pPr>
        <w:pStyle w:val="HCASection"/>
      </w:pPr>
      <w:r>
        <w:t>13. MANAGEMENT POLICIES &amp; STAFF READINESS</w:t>
      </w:r>
    </w:p>
    <w:p>
      <w:pPr>
        <w:spacing w:after="30"/>
        <w:ind w:left="0" w:hanging="259"/>
      </w:pPr>
      <w:r>
        <w:rPr>
          <w:rFonts w:ascii="Arial" w:hAnsi="Arial"/>
          <w:sz w:val="18"/>
        </w:rPr>
        <w:t>☐ Confirm current written policies exist for applications, tenant selection, income verification, student eligibility, recertifications, unit transfers, utility allowances, rent changes, reasonable accommodations, VAWA, and file corrections as applicable.</w:t>
      </w:r>
    </w:p>
    <w:p>
      <w:pPr>
        <w:spacing w:after="30"/>
        <w:ind w:left="0" w:hanging="259"/>
      </w:pPr>
      <w:r>
        <w:rPr>
          <w:rFonts w:ascii="Arial" w:hAnsi="Arial"/>
          <w:sz w:val="18"/>
        </w:rPr>
        <w:t>☐ Update policies that cite outdated regulations, forms, income limits, rent limits, utility allowances, or agency guidance.</w:t>
      </w:r>
    </w:p>
    <w:p>
      <w:pPr>
        <w:spacing w:after="30"/>
        <w:ind w:left="0" w:hanging="259"/>
      </w:pPr>
      <w:r>
        <w:rPr>
          <w:rFonts w:ascii="Arial" w:hAnsi="Arial"/>
          <w:sz w:val="18"/>
        </w:rPr>
        <w:t>☐ Ensure onsite and compliance staff can explain the property's LIHTC and HOME set-asides and key compliance requirements.</w:t>
      </w:r>
    </w:p>
    <w:p>
      <w:pPr>
        <w:spacing w:after="30"/>
        <w:ind w:left="0" w:hanging="259"/>
      </w:pPr>
      <w:r>
        <w:rPr>
          <w:rFonts w:ascii="Arial" w:hAnsi="Arial"/>
          <w:sz w:val="18"/>
        </w:rPr>
        <w:t>☐ Assign one person to serve as the audit coordinator and one backup.</w:t>
      </w:r>
    </w:p>
    <w:p>
      <w:pPr>
        <w:spacing w:after="30"/>
        <w:ind w:left="0" w:hanging="259"/>
      </w:pPr>
      <w:r>
        <w:rPr>
          <w:rFonts w:ascii="Arial" w:hAnsi="Arial"/>
          <w:sz w:val="18"/>
        </w:rPr>
        <w:t>☐ Prepare a secure, organized location for electronic or paper files requested by the auditor.</w:t>
      </w:r>
    </w:p>
    <w:p>
      <w:pPr>
        <w:spacing w:after="30"/>
        <w:ind w:left="0" w:hanging="259"/>
      </w:pPr>
      <w:r>
        <w:rPr>
          <w:rFonts w:ascii="Arial" w:hAnsi="Arial"/>
          <w:sz w:val="18"/>
        </w:rPr>
        <w:t>☐ Train staff not to guess when answering an auditor; uncertain questions should be routed to the designated compliance lead.</w:t>
      </w:r>
    </w:p>
    <w:p>
      <w:pPr>
        <w:spacing w:after="30"/>
        <w:ind w:left="0" w:hanging="259"/>
      </w:pPr>
      <w:r>
        <w:rPr>
          <w:rFonts w:ascii="Arial" w:hAnsi="Arial"/>
          <w:sz w:val="18"/>
        </w:rPr>
        <w:t>☐ Prepare a contact list for ownership, management, compliance, maintenance, and legal/risk personnel who may need to respond during the review.</w:t>
      </w:r>
    </w:p>
    <w:p>
      <w:pPr>
        <w:pStyle w:val="HCASection"/>
      </w:pPr>
      <w:r>
        <w:t>14. DOCUMENTS TO HAVE READY FOR THE AUDITOR</w:t>
      </w:r>
    </w:p>
    <w:p>
      <w:pPr>
        <w:spacing w:after="30"/>
        <w:ind w:left="0" w:hanging="259"/>
      </w:pPr>
      <w:r>
        <w:rPr>
          <w:rFonts w:ascii="Arial" w:hAnsi="Arial"/>
          <w:sz w:val="18"/>
        </w:rPr>
        <w:t>☐ Current rent roll and unit-status report.</w:t>
      </w:r>
    </w:p>
    <w:p>
      <w:pPr>
        <w:spacing w:after="30"/>
        <w:ind w:left="0" w:hanging="259"/>
      </w:pPr>
      <w:r>
        <w:rPr>
          <w:rFonts w:ascii="Arial" w:hAnsi="Arial"/>
          <w:sz w:val="18"/>
        </w:rPr>
        <w:t>☐ Current LIHTC income/rent limits and HOME income/rent limits, as applicable.</w:t>
      </w:r>
    </w:p>
    <w:p>
      <w:pPr>
        <w:spacing w:after="30"/>
        <w:ind w:left="0" w:hanging="259"/>
      </w:pPr>
      <w:r>
        <w:rPr>
          <w:rFonts w:ascii="Arial" w:hAnsi="Arial"/>
          <w:sz w:val="18"/>
        </w:rPr>
        <w:t>☐ Current utility allowance documentation and effective-date history.</w:t>
      </w:r>
    </w:p>
    <w:p>
      <w:pPr>
        <w:spacing w:after="30"/>
        <w:ind w:left="0" w:hanging="259"/>
      </w:pPr>
      <w:r>
        <w:rPr>
          <w:rFonts w:ascii="Arial" w:hAnsi="Arial"/>
          <w:sz w:val="18"/>
        </w:rPr>
        <w:t>☐ IRS Forms 8609 and LIHTC extended-use/LURA documents.</w:t>
      </w:r>
    </w:p>
    <w:p>
      <w:pPr>
        <w:spacing w:after="30"/>
        <w:ind w:left="0" w:hanging="259"/>
      </w:pPr>
      <w:r>
        <w:rPr>
          <w:rFonts w:ascii="Arial" w:hAnsi="Arial"/>
          <w:sz w:val="18"/>
        </w:rPr>
        <w:t>☐ HOME written agreement and recorded affordability restrictions.</w:t>
      </w:r>
    </w:p>
    <w:p>
      <w:pPr>
        <w:spacing w:after="30"/>
        <w:ind w:left="0" w:hanging="259"/>
      </w:pPr>
      <w:r>
        <w:rPr>
          <w:rFonts w:ascii="Arial" w:hAnsi="Arial"/>
          <w:sz w:val="18"/>
        </w:rPr>
        <w:t>☐ Current tenant files and certification history for requested households.</w:t>
      </w:r>
    </w:p>
    <w:p>
      <w:pPr>
        <w:spacing w:after="30"/>
        <w:ind w:left="0" w:hanging="259"/>
      </w:pPr>
      <w:r>
        <w:rPr>
          <w:rFonts w:ascii="Arial" w:hAnsi="Arial"/>
          <w:sz w:val="18"/>
        </w:rPr>
        <w:t>☐ Leases and required addenda.</w:t>
      </w:r>
    </w:p>
    <w:p>
      <w:pPr>
        <w:spacing w:after="30"/>
        <w:ind w:left="0" w:hanging="259"/>
      </w:pPr>
      <w:r>
        <w:rPr>
          <w:rFonts w:ascii="Arial" w:hAnsi="Arial"/>
          <w:sz w:val="18"/>
        </w:rPr>
        <w:t>☐ Waiting list and tenant-selection plan/policy.</w:t>
      </w:r>
    </w:p>
    <w:p>
      <w:pPr>
        <w:spacing w:after="30"/>
        <w:ind w:left="0" w:hanging="259"/>
      </w:pPr>
      <w:r>
        <w:rPr>
          <w:rFonts w:ascii="Arial" w:hAnsi="Arial"/>
          <w:sz w:val="18"/>
        </w:rPr>
        <w:t>☐ Affirmative marketing plan/procedures and supporting marketing records.</w:t>
      </w:r>
    </w:p>
    <w:p>
      <w:pPr>
        <w:spacing w:after="30"/>
        <w:ind w:left="0" w:hanging="259"/>
      </w:pPr>
      <w:r>
        <w:rPr>
          <w:rFonts w:ascii="Arial" w:hAnsi="Arial"/>
          <w:sz w:val="18"/>
        </w:rPr>
        <w:t>☐ Prior monitoring reports and evidence of corrected findings.</w:t>
      </w:r>
    </w:p>
    <w:p>
      <w:pPr>
        <w:spacing w:after="30"/>
        <w:ind w:left="0" w:hanging="259"/>
      </w:pPr>
      <w:r>
        <w:rPr>
          <w:rFonts w:ascii="Arial" w:hAnsi="Arial"/>
          <w:sz w:val="18"/>
        </w:rPr>
        <w:t>☐ Physical inspection reports, work orders, and repair documentation.</w:t>
      </w:r>
    </w:p>
    <w:p>
      <w:pPr>
        <w:spacing w:after="30"/>
        <w:ind w:left="0" w:hanging="259"/>
      </w:pPr>
      <w:r>
        <w:rPr>
          <w:rFonts w:ascii="Arial" w:hAnsi="Arial"/>
          <w:sz w:val="18"/>
        </w:rPr>
        <w:t>☐ Unit transfer log, vacancy log, move-in/move-out reports, and recertification tracking report.</w:t>
      </w:r>
    </w:p>
    <w:p>
      <w:pPr>
        <w:spacing w:after="30"/>
        <w:ind w:left="0" w:hanging="259"/>
      </w:pPr>
      <w:r>
        <w:rPr>
          <w:rFonts w:ascii="Arial" w:hAnsi="Arial"/>
          <w:sz w:val="18"/>
        </w:rPr>
        <w:t>☐ Reasonable accommodation logs/files and applicable VAWA documentation maintained with appropriate confidentiality.</w:t>
      </w:r>
    </w:p>
    <w:p>
      <w:pPr>
        <w:spacing w:after="30"/>
        <w:ind w:left="0" w:hanging="259"/>
      </w:pPr>
      <w:r>
        <w:rPr>
          <w:rFonts w:ascii="Arial" w:hAnsi="Arial"/>
          <w:sz w:val="18"/>
        </w:rPr>
        <w:t>☐ Current management policies and compliance procedures.</w:t>
      </w:r>
    </w:p>
    <w:p>
      <w:pPr>
        <w:spacing w:after="30"/>
        <w:ind w:left="0" w:hanging="259"/>
      </w:pPr>
      <w:r>
        <w:rPr>
          <w:rFonts w:ascii="Arial" w:hAnsi="Arial"/>
          <w:sz w:val="18"/>
        </w:rPr>
        <w:t>☐ Evidence supporting special set-asides, preferences, supportive-service requirements, or state-specific commitments.</w:t>
      </w:r>
    </w:p>
    <w:p>
      <w:pPr>
        <w:pStyle w:val="HCASection"/>
      </w:pPr>
      <w:r>
        <w:t>15. FINAL 30-DAY PRE-AUDIT QUALITY CONTROL</w:t>
      </w:r>
    </w:p>
    <w:p>
      <w:pPr>
        <w:spacing w:after="30"/>
        <w:ind w:left="0" w:hanging="259"/>
      </w:pPr>
      <w:r>
        <w:rPr>
          <w:rFonts w:ascii="Arial" w:hAnsi="Arial"/>
          <w:sz w:val="18"/>
        </w:rPr>
        <w:t>☐ Run a 100% exception report for missing certifications, overdue recertifications, missing signatures, rent-limit exceptions, utility allowance issues, and vacant units.</w:t>
      </w:r>
    </w:p>
    <w:p>
      <w:pPr>
        <w:spacing w:after="30"/>
        <w:ind w:left="0" w:hanging="259"/>
      </w:pPr>
      <w:r>
        <w:rPr>
          <w:rFonts w:ascii="Arial" w:hAnsi="Arial"/>
          <w:sz w:val="18"/>
        </w:rPr>
        <w:t>☐ Audit a risk-based sample of tenant files, including newest move-ins, recent recertifications, transfers, student households, zero-income households, self-employed households, over-income households, and units with unusual rent/ledger activity.</w:t>
      </w:r>
    </w:p>
    <w:p>
      <w:pPr>
        <w:spacing w:after="30"/>
        <w:ind w:left="0" w:hanging="259"/>
      </w:pPr>
      <w:r>
        <w:rPr>
          <w:rFonts w:ascii="Arial" w:hAnsi="Arial"/>
          <w:sz w:val="18"/>
        </w:rPr>
        <w:t>☐ Recalculate income, assets, rent, and utility allowance amounts independently for sampled files.</w:t>
      </w:r>
    </w:p>
    <w:p>
      <w:pPr>
        <w:spacing w:after="30"/>
        <w:ind w:left="0" w:hanging="259"/>
      </w:pPr>
      <w:r>
        <w:rPr>
          <w:rFonts w:ascii="Arial" w:hAnsi="Arial"/>
          <w:sz w:val="18"/>
        </w:rPr>
        <w:t>☐ Confirm every identified error has a documented correction plan, responsible person, and target completion date.</w:t>
      </w:r>
    </w:p>
    <w:p>
      <w:pPr>
        <w:spacing w:after="30"/>
        <w:ind w:left="0" w:hanging="259"/>
      </w:pPr>
      <w:r>
        <w:rPr>
          <w:rFonts w:ascii="Arial" w:hAnsi="Arial"/>
          <w:sz w:val="18"/>
        </w:rPr>
        <w:t>☐ Do not backdate documents. Correct errors transparently and maintain an audit trail.</w:t>
      </w:r>
    </w:p>
    <w:p>
      <w:pPr>
        <w:spacing w:after="30"/>
        <w:ind w:left="0" w:hanging="259"/>
      </w:pPr>
      <w:r>
        <w:rPr>
          <w:rFonts w:ascii="Arial" w:hAnsi="Arial"/>
          <w:sz w:val="18"/>
        </w:rPr>
        <w:t>☐ Verify the electronic compliance system matches the physical/electronic tenant file and rent roll.</w:t>
      </w:r>
    </w:p>
    <w:p>
      <w:pPr>
        <w:spacing w:after="30"/>
        <w:ind w:left="0" w:hanging="259"/>
      </w:pPr>
      <w:r>
        <w:rPr>
          <w:rFonts w:ascii="Arial" w:hAnsi="Arial"/>
          <w:sz w:val="18"/>
        </w:rPr>
        <w:t>☐ Conduct a mock audit interview with the property manager and compliance staff.</w:t>
      </w:r>
    </w:p>
    <w:p>
      <w:pPr>
        <w:spacing w:after="30"/>
        <w:ind w:left="0" w:hanging="259"/>
      </w:pPr>
      <w:r>
        <w:rPr>
          <w:rFonts w:ascii="Arial" w:hAnsi="Arial"/>
          <w:sz w:val="18"/>
        </w:rPr>
        <w:t>☐ Perform a final property walk and confirm outstanding work orders involving health/safety or program compliance are escalated.</w:t>
      </w:r>
    </w:p>
    <w:p>
      <w:pPr>
        <w:spacing w:after="30"/>
        <w:ind w:left="0" w:hanging="259"/>
      </w:pPr>
      <w:r>
        <w:rPr>
          <w:rFonts w:ascii="Arial" w:hAnsi="Arial"/>
          <w:sz w:val="18"/>
        </w:rPr>
        <w:t>☐ Create an audit-day binder or electronic folder with governing documents, limits, policies, reports, prior findings, and requested supporting records.</w:t>
      </w:r>
    </w:p>
    <w:p>
      <w:pPr>
        <w:spacing w:after="30"/>
        <w:ind w:left="0" w:hanging="259"/>
      </w:pPr>
      <w:r>
        <w:rPr>
          <w:rFonts w:ascii="Arial" w:hAnsi="Arial"/>
          <w:sz w:val="18"/>
        </w:rPr>
        <w:t>☐ Confirm audit-day access to units, keys, maintenance staff, tenant files, and computer systems.</w:t>
      </w:r>
    </w:p>
    <w:p>
      <w:pPr>
        <w:pStyle w:val="HCASection"/>
      </w:pPr>
      <w:r>
        <w:t>16. STATE-SPECIFIC ITEMS - COMPLETE BEFORE EACH REVIEW</w:t>
      </w:r>
    </w:p>
    <w:p>
      <w:pPr>
        <w:spacing w:after="30"/>
        <w:ind w:left="0" w:hanging="259"/>
      </w:pPr>
      <w:r>
        <w:rPr>
          <w:rFonts w:ascii="Arial" w:hAnsi="Arial"/>
          <w:sz w:val="18"/>
        </w:rPr>
        <w:t>☐ Download and review the current state housing finance agency compliance manual.</w:t>
      </w:r>
    </w:p>
    <w:p>
      <w:pPr>
        <w:spacing w:after="30"/>
        <w:ind w:left="0" w:hanging="259"/>
      </w:pPr>
      <w:r>
        <w:rPr>
          <w:rFonts w:ascii="Arial" w:hAnsi="Arial"/>
          <w:sz w:val="18"/>
        </w:rPr>
        <w:t>☐ Confirm the agency's current tenant certification form and mandatory verification forms.</w:t>
      </w:r>
    </w:p>
    <w:p>
      <w:pPr>
        <w:spacing w:after="30"/>
        <w:ind w:left="0" w:hanging="259"/>
      </w:pPr>
      <w:r>
        <w:rPr>
          <w:rFonts w:ascii="Arial" w:hAnsi="Arial"/>
          <w:sz w:val="18"/>
        </w:rPr>
        <w:t>☐ Review state-specific student-rule interpretations, recertification requirements, utility allowance policies, transfer rules, and file correction procedures.</w:t>
      </w:r>
    </w:p>
    <w:p>
      <w:pPr>
        <w:spacing w:after="30"/>
        <w:ind w:left="0" w:hanging="259"/>
      </w:pPr>
      <w:r>
        <w:rPr>
          <w:rFonts w:ascii="Arial" w:hAnsi="Arial"/>
          <w:sz w:val="18"/>
        </w:rPr>
        <w:t>☐ Confirm state-required inspection standards and monitoring protocols.</w:t>
      </w:r>
    </w:p>
    <w:p>
      <w:pPr>
        <w:spacing w:after="30"/>
        <w:ind w:left="0" w:hanging="259"/>
      </w:pPr>
      <w:r>
        <w:rPr>
          <w:rFonts w:ascii="Arial" w:hAnsi="Arial"/>
          <w:sz w:val="18"/>
        </w:rPr>
        <w:t>☐ Review any state-specific extended-use commitments, deeper income targeting, special-needs set-asides, rent restrictions, or reporting requirements.</w:t>
      </w:r>
    </w:p>
    <w:p>
      <w:pPr>
        <w:spacing w:after="30"/>
        <w:ind w:left="0" w:hanging="259"/>
      </w:pPr>
      <w:r>
        <w:rPr>
          <w:rFonts w:ascii="Arial" w:hAnsi="Arial"/>
          <w:sz w:val="18"/>
        </w:rPr>
        <w:t>☐ Confirm required annual owner certifications have been submitted and copies retained.</w:t>
      </w:r>
    </w:p>
    <w:p>
      <w:pPr>
        <w:spacing w:after="30"/>
        <w:ind w:left="0" w:hanging="259"/>
      </w:pPr>
      <w:r>
        <w:rPr>
          <w:rFonts w:ascii="Arial" w:hAnsi="Arial"/>
          <w:sz w:val="18"/>
        </w:rPr>
        <w:t>☐ Verify agency fees, online reporting, property/tenant data submissions, and compliance portal requirements are current.</w:t>
      </w:r>
    </w:p>
    <w:p>
      <w:pPr>
        <w:spacing w:after="30"/>
        <w:ind w:left="0" w:hanging="259"/>
      </w:pPr>
      <w:r>
        <w:rPr>
          <w:rFonts w:ascii="Arial" w:hAnsi="Arial"/>
          <w:sz w:val="18"/>
        </w:rPr>
        <w:t>☐ Review the monitoring notice carefully and prepare every item specifically requested by the agency.</w:t>
      </w:r>
    </w:p>
    <w:p>
      <w:pPr>
        <w:pStyle w:val="HCASection"/>
      </w:pPr>
      <w:r>
        <w:t>AUDIT PREP SIGN-OFF</w:t>
      </w:r>
    </w:p>
    <w:p>
      <w:pPr>
        <w:spacing w:after="30"/>
        <w:ind w:left="0" w:hanging="259"/>
      </w:pPr>
      <w:r>
        <w:rPr>
          <w:rFonts w:ascii="Arial" w:hAnsi="Arial"/>
          <w:sz w:val="18"/>
        </w:rPr>
        <w:t>☐ Tenant files reviewed and corrections completed/documented.</w:t>
      </w:r>
    </w:p>
    <w:p>
      <w:pPr>
        <w:spacing w:after="30"/>
        <w:ind w:left="0" w:hanging="259"/>
      </w:pPr>
      <w:r>
        <w:rPr>
          <w:rFonts w:ascii="Arial" w:hAnsi="Arial"/>
          <w:sz w:val="18"/>
        </w:rPr>
        <w:t>☐ Rent and utility allowance compliance verified.</w:t>
      </w:r>
    </w:p>
    <w:p>
      <w:pPr>
        <w:spacing w:after="30"/>
        <w:ind w:left="0" w:hanging="259"/>
      </w:pPr>
      <w:r>
        <w:rPr>
          <w:rFonts w:ascii="Arial" w:hAnsi="Arial"/>
          <w:sz w:val="18"/>
        </w:rPr>
        <w:t>☐ LIHTC unit mix / applicable fraction reviewed.</w:t>
      </w:r>
    </w:p>
    <w:p>
      <w:pPr>
        <w:spacing w:after="30"/>
        <w:ind w:left="0" w:hanging="259"/>
      </w:pPr>
      <w:r>
        <w:rPr>
          <w:rFonts w:ascii="Arial" w:hAnsi="Arial"/>
          <w:sz w:val="18"/>
        </w:rPr>
        <w:t>☐ HOME unit mix and HOME rent compliance reviewed, if applicable.</w:t>
      </w:r>
    </w:p>
    <w:p>
      <w:pPr>
        <w:spacing w:after="30"/>
        <w:ind w:left="0" w:hanging="259"/>
      </w:pPr>
      <w:r>
        <w:rPr>
          <w:rFonts w:ascii="Arial" w:hAnsi="Arial"/>
          <w:sz w:val="18"/>
        </w:rPr>
        <w:t>☐ Prior findings reviewed and corrective-action evidence assembled.</w:t>
      </w:r>
    </w:p>
    <w:p>
      <w:pPr>
        <w:spacing w:after="30"/>
        <w:ind w:left="0" w:hanging="259"/>
      </w:pPr>
      <w:r>
        <w:rPr>
          <w:rFonts w:ascii="Arial" w:hAnsi="Arial"/>
          <w:sz w:val="18"/>
        </w:rPr>
        <w:t>☐ Physical condition walk completed.</w:t>
      </w:r>
    </w:p>
    <w:p>
      <w:pPr>
        <w:spacing w:after="30"/>
        <w:ind w:left="0" w:hanging="259"/>
      </w:pPr>
      <w:r>
        <w:rPr>
          <w:rFonts w:ascii="Arial" w:hAnsi="Arial"/>
          <w:sz w:val="18"/>
        </w:rPr>
        <w:t>☐ Required state/PJ documents assembled.</w:t>
      </w:r>
    </w:p>
    <w:p>
      <w:pPr>
        <w:spacing w:after="30"/>
        <w:ind w:left="0" w:hanging="259"/>
      </w:pPr>
      <w:r>
        <w:rPr>
          <w:rFonts w:ascii="Arial" w:hAnsi="Arial"/>
          <w:sz w:val="18"/>
        </w:rPr>
        <w:t>☐ Staff audit-day responsibilities assigned.</w:t>
      </w:r>
    </w:p>
    <w:p>
      <w:r>
        <w:br/>
        <w:t>Prepared By: __________________________________   Date: ________________</w:t>
        <w:br/>
      </w:r>
      <w:r>
        <w:t>Reviewed By: __________________________________   Date: ________________</w:t>
        <w:br/>
      </w:r>
      <w:r>
        <w:t>Outstanding Items / Notes:</w:t>
        <w:br/>
        <w:t>____________________________________________________________________________</w:t>
        <w:br/>
        <w:t>____________________________________________________________________________</w:t>
        <w:br/>
        <w:t>____________________________________________________________________________</w:t>
      </w:r>
    </w:p>
    <w:p>
      <w:pPr>
        <w:pStyle w:val="HCASection"/>
      </w:pPr>
      <w:r>
        <w:t>IMPORTANT USE NOTE</w:t>
      </w:r>
    </w:p>
    <w:p>
      <w:r>
        <w:rPr>
          <w:sz w:val="18"/>
        </w:rPr>
        <w:t>This checklist is a general compliance-preparation resource and is not a substitute for the current requirements of the applicable state housing finance agency, HOME participating jurisdiction, IRS, HUD, allocating documents, recorded restrictions, or legal counsel. LIHTC and HOME requirements can differ based on funding year, project elections, state policy, written agreements, and layered subsidies. Verify all requirements before relying on this checklist.</w:t>
      </w:r>
    </w:p>
    <w:p>
      <w:pPr>
        <w:pStyle w:val="HCASection"/>
      </w:pPr>
      <w:r>
        <w:t>SELECTED FEDERAL REFERENCE POINTS</w:t>
      </w:r>
    </w:p>
    <w:p>
      <w:pPr>
        <w:spacing w:after="30"/>
        <w:ind w:left="0" w:hanging="259"/>
      </w:pPr>
      <w:r>
        <w:rPr>
          <w:rFonts w:ascii="Arial" w:hAnsi="Arial"/>
          <w:sz w:val="18"/>
        </w:rPr>
        <w:t>☐ HUD HOME Rental Compliance guidance: income eligibility, rents and utilities, affordability/unit mix, marketing and tenant relations, property standards, monitoring, and recordkeeping.</w:t>
      </w:r>
    </w:p>
    <w:p>
      <w:pPr>
        <w:spacing w:after="30"/>
        <w:ind w:left="0" w:hanging="259"/>
      </w:pPr>
      <w:r>
        <w:rPr>
          <w:rFonts w:ascii="Arial" w:hAnsi="Arial"/>
          <w:sz w:val="18"/>
        </w:rPr>
        <w:t>☐ 24 CFR Part 92 / HUD HOME program guidance, including the 2025 HOME Final Rule and current HUD notices.</w:t>
      </w:r>
    </w:p>
    <w:p>
      <w:pPr>
        <w:spacing w:after="30"/>
        <w:ind w:left="0" w:hanging="259"/>
      </w:pPr>
      <w:r>
        <w:rPr>
          <w:rFonts w:ascii="Arial" w:hAnsi="Arial"/>
          <w:sz w:val="18"/>
        </w:rPr>
        <w:t>☐ IRS Section 42 guidance and the Guide for Completing Form 8823 for LIHTC compliance topics such as income eligibility, rent, utility allowances, Available Unit Rule, and Vacant Unit Rule.</w:t>
      </w:r>
    </w:p>
    <w:p>
      <w:pPr>
        <w:jc w:val="center"/>
      </w:pPr>
      <w:r>
        <w:rPr>
          <w:b/>
          <w:color w:val="17365D"/>
          <w:sz w:val="20"/>
        </w:rPr>
        <w:t>Need help preparing for a state agency audit, reviewing tenant files, or correcting compliance issues?</w:t>
        <w:br/>
        <w:t>Housing Consultants of America provides remote and onsite affordable housing compliance support nationwide.</w:t>
      </w:r>
    </w:p>
    <w:sectPr w:rsidR="00FC693F" w:rsidRPr="0006063C" w:rsidSect="00034616">
      <w:headerReference w:type="default" r:id="rId9"/>
      <w:footerReference w:type="default" r:id="rId10"/>
      <w:pgSz w:w="12240" w:h="15840"/>
      <w:pgMar w:top="792"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17365D"/>
        <w:sz w:val="18"/>
      </w:rPr>
      <w:t>www.housingconsultantsofamerica.com</w:t>
    </w:r>
  </w:p>
  <w:p>
    <w:pPr>
      <w:jc w:val="center"/>
    </w:pPr>
    <w:r>
      <w:rPr>
        <w:rFonts w:ascii="Arial" w:hAnsi="Arial"/>
        <w:color w:val="666666"/>
        <w:sz w:val="14"/>
      </w:rPr>
      <w:t>Published by Housing Consultants of America | State Agency Audit Preparation Resource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17365D"/>
        <w:sz w:val="16"/>
      </w:rPr>
      <w:t>HOUSING CONSULTANTS OF AMERICA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CATitle">
    <w:name w:val="HCA Title"/>
    <w:pPr>
      <w:spacing w:before="0" w:after="60"/>
    </w:pPr>
    <w:rPr>
      <w:rFonts w:ascii="Arial" w:hAnsi="Arial"/>
      <w:b/>
      <w:color w:val="17365D"/>
      <w:sz w:val="42"/>
    </w:rPr>
  </w:style>
  <w:style w:type="paragraph" w:customStyle="1" w:styleId="HCASubtitle">
    <w:name w:val="HCA Subtitle"/>
    <w:pPr>
      <w:spacing w:before="0" w:after="120"/>
    </w:pPr>
    <w:rPr>
      <w:rFonts w:ascii="Arial" w:hAnsi="Arial"/>
      <w:b/>
      <w:color w:val="2F75B5"/>
      <w:sz w:val="24"/>
    </w:rPr>
  </w:style>
  <w:style w:type="paragraph" w:customStyle="1" w:styleId="HCASection">
    <w:name w:val="HCA Section"/>
    <w:pPr>
      <w:spacing w:before="200" w:after="80"/>
    </w:pPr>
    <w:rPr>
      <w:rFonts w:ascii="Arial" w:hAnsi="Arial"/>
      <w:b/>
      <w:color w:val="17365D"/>
      <w:sz w:val="28"/>
    </w:rPr>
  </w:style>
  <w:style w:type="paragraph" w:customStyle="1" w:styleId="HCASubsection">
    <w:name w:val="HCA Subsection"/>
    <w:pPr>
      <w:spacing w:before="140" w:after="40"/>
    </w:pPr>
    <w:rPr>
      <w:rFonts w:ascii="Arial" w:hAnsi="Arial"/>
      <w:b/>
      <w:color w:val="2F75B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LIHTC &amp; HOME Property State Audit Preparation Checklist</dc:title>
  <dc:subject>Affordable Housing Compliance Audit Preparation</dc:subject>
  <dc:creator>Housing Consultants of America</dc:creator>
  <cp:keywords/>
  <dc:description>generated by python-docx</dc:description>
  <cp:lastModifiedBy/>
  <cp:revision>1</cp:revision>
  <dcterms:created xsi:type="dcterms:W3CDTF">2013-12-23T23:15:00Z</dcterms:created>
  <dcterms:modified xsi:type="dcterms:W3CDTF">2013-12-23T23:15:00Z</dcterms:modified>
  <cp:category/>
</cp:coreProperties>
</file>