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SECTION 8 MOR PREPARATION CHECKLIST</w:t>
      </w:r>
    </w:p>
    <w:p>
      <w:pPr>
        <w:jc w:val="center"/>
      </w:pPr>
      <w:r>
        <w:rPr>
          <w:b/>
          <w:sz w:val="24"/>
        </w:rPr>
        <w:t>Management &amp; Occupancy Review (MOR) Readiness Tool</w:t>
      </w:r>
    </w:p>
    <w:p>
      <w:pPr>
        <w:jc w:val="center"/>
      </w:pPr>
      <w:r>
        <w:rPr>
          <w:b/>
          <w:sz w:val="20"/>
        </w:rPr>
        <w:t>Published by Housing Consultants of America (HCA)</w:t>
      </w:r>
    </w:p>
    <w:p>
      <w:pPr>
        <w:jc w:val="center"/>
      </w:pPr>
      <w:r>
        <w:rPr>
          <w:sz w:val="18"/>
        </w:rPr>
        <w:t>Use this detailed checklist to organize records, review tenant files, identify potential compliance issues, and prepare staff for a Section 8 Project-Based Rental Assistance Management and Occupancy Review.</w:t>
      </w:r>
    </w:p>
    <w:tbl>
      <w:tblPr>
        <w:tblW w:type="auto" w:w="0"/>
        <w:jc w:val="center"/>
        <w:tblLook w:firstColumn="1" w:firstRow="1" w:lastColumn="0" w:lastRow="0" w:noHBand="0" w:noVBand="1" w:val="04A0"/>
      </w:tblPr>
      <w:tblGrid>
        <w:gridCol w:w="10368"/>
      </w:tblGrid>
      <w:tr>
        <w:tc>
          <w:tcPr>
            <w:tcW w:type="dxa" w:w="10368"/>
            <w:vAlign w:val="center"/>
          </w:tcPr>
          <w:p>
            <w:r>
              <w:rPr>
                <w:b/>
              </w:rPr>
              <w:t xml:space="preserve">IMPORTANT: </w:t>
            </w:r>
            <w:r>
              <w:rPr>
                <w:sz w:val="17"/>
              </w:rPr>
              <w:t>This is a general preparation tool, not an official HUD form or legal opinion. MOR requirements may vary by property, program, Contract Administrator, HUD guidance, and current implementation requirements. Always verify current HUD instructions, your HAP Contract, Regulatory Agreement, management documents, and reviewer request list.</w:t>
            </w:r>
          </w:p>
        </w:tc>
      </w:tr>
    </w:tbl>
    <w:p/>
    <w:p>
      <w:pPr>
        <w:pStyle w:val="Heading1"/>
        <w:keepNext/>
        <w:spacing w:before="160" w:after="60"/>
      </w:pPr>
      <w:r>
        <w:t>PROPERTY / REVIEW INFORMATION</w:t>
      </w:r>
    </w:p>
    <w:tbl>
      <w:tblPr>
        <w:tblStyle w:val="TableGrid"/>
        <w:tblW w:type="auto" w:w="0"/>
        <w:jc w:val="center"/>
        <w:tblLook w:firstColumn="1" w:firstRow="1" w:lastColumn="0" w:lastRow="0" w:noHBand="0" w:noVBand="1" w:val="04A0"/>
      </w:tblPr>
      <w:tblGrid>
        <w:gridCol w:w="5184"/>
        <w:gridCol w:w="5184"/>
      </w:tblGrid>
      <w:tr>
        <w:tc>
          <w:tcPr>
            <w:tcW w:type="dxa" w:w="5184"/>
          </w:tcPr>
          <w:p>
            <w:r>
              <w:rPr>
                <w:b/>
                <w:sz w:val="18"/>
              </w:rPr>
              <w:t>Property Name:</w:t>
              <w:br/>
              <w:br/>
            </w:r>
          </w:p>
        </w:tc>
        <w:tc>
          <w:tcPr>
            <w:tcW w:type="dxa" w:w="5184"/>
          </w:tcPr>
          <w:p>
            <w:r>
              <w:rPr>
                <w:b/>
                <w:sz w:val="18"/>
              </w:rPr>
              <w:t>HUD / FHA / Contract No.:</w:t>
              <w:br/>
              <w:br/>
            </w:r>
          </w:p>
        </w:tc>
      </w:tr>
      <w:tr>
        <w:tc>
          <w:tcPr>
            <w:tcW w:type="dxa" w:w="5184"/>
          </w:tcPr>
          <w:p>
            <w:r>
              <w:rPr>
                <w:b/>
                <w:sz w:val="18"/>
              </w:rPr>
              <w:t>Property Address:</w:t>
              <w:br/>
              <w:br/>
            </w:r>
          </w:p>
        </w:tc>
        <w:tc>
          <w:tcPr>
            <w:tcW w:type="dxa" w:w="5184"/>
          </w:tcPr>
          <w:p>
            <w:r>
              <w:rPr>
                <w:b/>
                <w:sz w:val="18"/>
              </w:rPr>
              <w:t>Total Units / Assisted Units:</w:t>
              <w:br/>
              <w:br/>
            </w:r>
          </w:p>
        </w:tc>
      </w:tr>
      <w:tr>
        <w:tc>
          <w:tcPr>
            <w:tcW w:type="dxa" w:w="5184"/>
          </w:tcPr>
          <w:p>
            <w:r>
              <w:rPr>
                <w:b/>
                <w:sz w:val="18"/>
              </w:rPr>
              <w:t>Owner / Agent:</w:t>
              <w:br/>
              <w:br/>
            </w:r>
          </w:p>
        </w:tc>
        <w:tc>
          <w:tcPr>
            <w:tcW w:type="dxa" w:w="5184"/>
          </w:tcPr>
          <w:p>
            <w:r>
              <w:rPr>
                <w:b/>
                <w:sz w:val="18"/>
              </w:rPr>
              <w:t>Management Agent:</w:t>
              <w:br/>
              <w:br/>
            </w:r>
          </w:p>
        </w:tc>
      </w:tr>
      <w:tr>
        <w:tc>
          <w:tcPr>
            <w:tcW w:type="dxa" w:w="5184"/>
          </w:tcPr>
          <w:p>
            <w:r>
              <w:rPr>
                <w:b/>
                <w:sz w:val="18"/>
              </w:rPr>
              <w:t>Property Manager:</w:t>
              <w:br/>
              <w:br/>
            </w:r>
          </w:p>
        </w:tc>
        <w:tc>
          <w:tcPr>
            <w:tcW w:type="dxa" w:w="5184"/>
          </w:tcPr>
          <w:p>
            <w:r>
              <w:rPr>
                <w:b/>
                <w:sz w:val="18"/>
              </w:rPr>
              <w:t>MOR Date:</w:t>
              <w:br/>
              <w:br/>
            </w:r>
          </w:p>
        </w:tc>
      </w:tr>
      <w:tr>
        <w:tc>
          <w:tcPr>
            <w:tcW w:type="dxa" w:w="5184"/>
          </w:tcPr>
          <w:p>
            <w:r>
              <w:rPr>
                <w:b/>
                <w:sz w:val="18"/>
              </w:rPr>
              <w:t>Reviewer / Contract Administrator:</w:t>
              <w:br/>
              <w:br/>
            </w:r>
          </w:p>
        </w:tc>
        <w:tc>
          <w:tcPr>
            <w:tcW w:type="dxa" w:w="5184"/>
          </w:tcPr>
          <w:p>
            <w:r>
              <w:rPr>
                <w:b/>
                <w:sz w:val="18"/>
              </w:rPr>
              <w:t>Date Checklist Completed:</w:t>
              <w:br/>
              <w:br/>
            </w:r>
          </w:p>
        </w:tc>
      </w:tr>
    </w:tbl>
    <w:p>
      <w:pPr>
        <w:pStyle w:val="Heading1"/>
        <w:keepNext/>
        <w:spacing w:before="160" w:after="60"/>
      </w:pPr>
      <w:r>
        <w:t>1. PRE-MOR ORGANIZATION &amp; MANAGEMENT DOCUMENTS</w:t>
      </w:r>
    </w:p>
    <w:p>
      <w:pPr>
        <w:spacing w:after="40"/>
        <w:ind w:left="115" w:hanging="29"/>
      </w:pPr>
      <w:r>
        <w:rPr>
          <w:rFonts w:ascii="DejaVu Sans" w:hAnsi="DejaVu Sans"/>
          <w:sz w:val="20"/>
        </w:rPr>
        <w:t xml:space="preserve">☐ </w:t>
      </w:r>
      <w:r>
        <w:t>Obtain and review the MOR scheduling letter and the reviewer’s document request list; create a master response folder organized in the same order.</w:t>
      </w:r>
    </w:p>
    <w:p>
      <w:pPr>
        <w:spacing w:after="40"/>
        <w:ind w:left="115" w:hanging="29"/>
      </w:pPr>
      <w:r>
        <w:rPr>
          <w:rFonts w:ascii="DejaVu Sans" w:hAnsi="DejaVu Sans"/>
          <w:sz w:val="20"/>
        </w:rPr>
        <w:t xml:space="preserve">☐ </w:t>
      </w:r>
      <w:r>
        <w:t>Confirm the property’s current HAP Contract, contract renewals/amendments, Regulatory Agreement, use agreement, and other controlling program documents are accessible.</w:t>
      </w:r>
    </w:p>
    <w:p>
      <w:pPr>
        <w:spacing w:after="40"/>
        <w:ind w:left="115" w:hanging="29"/>
      </w:pPr>
      <w:r>
        <w:rPr>
          <w:rFonts w:ascii="DejaVu Sans" w:hAnsi="DejaVu Sans"/>
          <w:sz w:val="20"/>
        </w:rPr>
        <w:t xml:space="preserve">☐ </w:t>
      </w:r>
      <w:r>
        <w:t>Confirm current owner and management-agent information is accurate and supporting management certifications/approvals are available.</w:t>
      </w:r>
    </w:p>
    <w:p>
      <w:pPr>
        <w:spacing w:after="40"/>
        <w:ind w:left="115" w:hanging="29"/>
      </w:pPr>
      <w:r>
        <w:rPr>
          <w:rFonts w:ascii="DejaVu Sans" w:hAnsi="DejaVu Sans"/>
          <w:sz w:val="20"/>
        </w:rPr>
        <w:t xml:space="preserve">☐ </w:t>
      </w:r>
      <w:r>
        <w:t>Maintain current management agent agreement and management plan, if applicable.</w:t>
      </w:r>
    </w:p>
    <w:p>
      <w:pPr>
        <w:spacing w:after="40"/>
        <w:ind w:left="115" w:hanging="29"/>
      </w:pPr>
      <w:r>
        <w:rPr>
          <w:rFonts w:ascii="DejaVu Sans" w:hAnsi="DejaVu Sans"/>
          <w:sz w:val="20"/>
        </w:rPr>
        <w:t xml:space="preserve">☐ </w:t>
      </w:r>
      <w:r>
        <w:t>Confirm the property’s policies and procedures reflect current operating practices and applicable HUD requirements.</w:t>
      </w:r>
    </w:p>
    <w:p>
      <w:pPr>
        <w:spacing w:after="40"/>
        <w:ind w:left="115" w:hanging="29"/>
      </w:pPr>
      <w:r>
        <w:rPr>
          <w:rFonts w:ascii="DejaVu Sans" w:hAnsi="DejaVu Sans"/>
          <w:sz w:val="20"/>
        </w:rPr>
        <w:t xml:space="preserve">☐ </w:t>
      </w:r>
      <w:r>
        <w:t>Prepare an organizational chart and current staff roster showing key responsibilities.</w:t>
      </w:r>
    </w:p>
    <w:p>
      <w:pPr>
        <w:spacing w:after="40"/>
        <w:ind w:left="115" w:hanging="29"/>
      </w:pPr>
      <w:r>
        <w:rPr>
          <w:rFonts w:ascii="DejaVu Sans" w:hAnsi="DejaVu Sans"/>
          <w:sz w:val="20"/>
        </w:rPr>
        <w:t xml:space="preserve">☐ </w:t>
      </w:r>
      <w:r>
        <w:t>Prepare current contact information for the owner, agent, regional staff, property manager, maintenance supervisor, compliance staff, and other personnel who may participate in the MOR.</w:t>
      </w:r>
    </w:p>
    <w:p>
      <w:pPr>
        <w:spacing w:after="40"/>
        <w:ind w:left="115" w:hanging="29"/>
      </w:pPr>
      <w:r>
        <w:rPr>
          <w:rFonts w:ascii="DejaVu Sans" w:hAnsi="DejaVu Sans"/>
          <w:sz w:val="20"/>
        </w:rPr>
        <w:t xml:space="preserve">☐ </w:t>
      </w:r>
      <w:r>
        <w:t>Review unresolved findings from the prior MOR, HUD review, Contract Administrator review, financial audit, or other monitoring activity and maintain documentation showing corrective action.</w:t>
      </w:r>
    </w:p>
    <w:p>
      <w:pPr>
        <w:spacing w:after="40"/>
        <w:ind w:left="115" w:hanging="29"/>
      </w:pPr>
      <w:r>
        <w:rPr>
          <w:rFonts w:ascii="DejaVu Sans" w:hAnsi="DejaVu Sans"/>
          <w:sz w:val="20"/>
        </w:rPr>
        <w:t xml:space="preserve">☐ </w:t>
      </w:r>
      <w:r>
        <w:t>Create an MOR command file containing the scheduling letter, prior MOR, corrective-action responses, requested reports, key policies, and staff assignments.</w:t>
      </w:r>
    </w:p>
    <w:p>
      <w:pPr>
        <w:spacing w:after="40"/>
        <w:ind w:left="115" w:hanging="29"/>
      </w:pPr>
      <w:r>
        <w:rPr>
          <w:rFonts w:ascii="DejaVu Sans" w:hAnsi="DejaVu Sans"/>
          <w:sz w:val="20"/>
        </w:rPr>
        <w:t xml:space="preserve">☐ </w:t>
      </w:r>
      <w:r>
        <w:t>Assign one staff member to coordinate reviewer requests and maintain a log of every document provided during the MOR.</w:t>
      </w:r>
    </w:p>
    <w:p>
      <w:pPr>
        <w:pStyle w:val="Heading1"/>
        <w:keepNext/>
        <w:spacing w:before="160" w:after="60"/>
      </w:pPr>
      <w:r>
        <w:t>2. TENANT SELECTION PLAN, FAIR HOUSING &amp; WAITING LIST</w:t>
      </w:r>
    </w:p>
    <w:p>
      <w:pPr>
        <w:spacing w:after="40"/>
        <w:ind w:left="115" w:hanging="29"/>
      </w:pPr>
      <w:r>
        <w:rPr>
          <w:rFonts w:ascii="DejaVu Sans" w:hAnsi="DejaVu Sans"/>
          <w:sz w:val="20"/>
        </w:rPr>
        <w:t xml:space="preserve">☐ </w:t>
      </w:r>
      <w:r>
        <w:t>Review the Tenant Selection Plan (TSP) for completeness and consistency with current property practices and applicable HUD requirements.</w:t>
      </w:r>
    </w:p>
    <w:p>
      <w:pPr>
        <w:spacing w:after="40"/>
        <w:ind w:left="115" w:hanging="29"/>
      </w:pPr>
      <w:r>
        <w:rPr>
          <w:rFonts w:ascii="DejaVu Sans" w:hAnsi="DejaVu Sans"/>
          <w:sz w:val="20"/>
        </w:rPr>
        <w:t xml:space="preserve">☐ </w:t>
      </w:r>
      <w:r>
        <w:t>Confirm eligibility criteria, occupancy standards, preferences, screening standards, rejection procedures, appeal procedures, transfer policies, and waiting-list procedures are addressed as applicable.</w:t>
      </w:r>
    </w:p>
    <w:p>
      <w:pPr>
        <w:spacing w:after="40"/>
        <w:ind w:left="115" w:hanging="29"/>
      </w:pPr>
      <w:r>
        <w:rPr>
          <w:rFonts w:ascii="DejaVu Sans" w:hAnsi="DejaVu Sans"/>
          <w:sz w:val="20"/>
        </w:rPr>
        <w:t xml:space="preserve">☐ </w:t>
      </w:r>
      <w:r>
        <w:t>Confirm the TSP and actual practices are consistent; identify and correct any procedure staff follow that is not reflected in the written plan.</w:t>
      </w:r>
    </w:p>
    <w:p>
      <w:pPr>
        <w:spacing w:after="40"/>
        <w:ind w:left="115" w:hanging="29"/>
      </w:pPr>
      <w:r>
        <w:rPr>
          <w:rFonts w:ascii="DejaVu Sans" w:hAnsi="DejaVu Sans"/>
          <w:sz w:val="20"/>
        </w:rPr>
        <w:t xml:space="preserve">☐ </w:t>
      </w:r>
      <w:r>
        <w:t>Review waiting-list records for chronological order and proper application of preferences, priorities, and documented exceptions.</w:t>
      </w:r>
    </w:p>
    <w:p>
      <w:pPr>
        <w:spacing w:after="40"/>
        <w:ind w:left="115" w:hanging="29"/>
      </w:pPr>
      <w:r>
        <w:rPr>
          <w:rFonts w:ascii="DejaVu Sans" w:hAnsi="DejaVu Sans"/>
          <w:sz w:val="20"/>
        </w:rPr>
        <w:t xml:space="preserve">☐ </w:t>
      </w:r>
      <w:r>
        <w:t>Verify applicant contacts, removals, withdrawals, rejections, offers, and skipped applicants are documented.</w:t>
      </w:r>
    </w:p>
    <w:p>
      <w:pPr>
        <w:spacing w:after="40"/>
        <w:ind w:left="115" w:hanging="29"/>
      </w:pPr>
      <w:r>
        <w:rPr>
          <w:rFonts w:ascii="DejaVu Sans" w:hAnsi="DejaVu Sans"/>
          <w:sz w:val="20"/>
        </w:rPr>
        <w:t xml:space="preserve">☐ </w:t>
      </w:r>
      <w:r>
        <w:t>Review a sample of rejected applicant files for written notice, reason for rejection, appeal/hearing rights when applicable, and supporting documentation.</w:t>
      </w:r>
    </w:p>
    <w:p>
      <w:pPr>
        <w:spacing w:after="40"/>
        <w:ind w:left="115" w:hanging="29"/>
      </w:pPr>
      <w:r>
        <w:rPr>
          <w:rFonts w:ascii="DejaVu Sans" w:hAnsi="DejaVu Sans"/>
          <w:sz w:val="20"/>
        </w:rPr>
        <w:t xml:space="preserve">☐ </w:t>
      </w:r>
      <w:r>
        <w:t>Confirm reasonable accommodation policies and request procedures are available and staff understand escalation/decision processes.</w:t>
      </w:r>
    </w:p>
    <w:p>
      <w:pPr>
        <w:spacing w:after="40"/>
        <w:ind w:left="115" w:hanging="29"/>
      </w:pPr>
      <w:r>
        <w:rPr>
          <w:rFonts w:ascii="DejaVu Sans" w:hAnsi="DejaVu Sans"/>
          <w:sz w:val="20"/>
        </w:rPr>
        <w:t xml:space="preserve">☐ </w:t>
      </w:r>
      <w:r>
        <w:t>Confirm Fair Housing and nondiscrimination notices/posters are current and appropriately displayed.</w:t>
      </w:r>
    </w:p>
    <w:p>
      <w:pPr>
        <w:spacing w:after="40"/>
        <w:ind w:left="115" w:hanging="29"/>
      </w:pPr>
      <w:r>
        <w:rPr>
          <w:rFonts w:ascii="DejaVu Sans" w:hAnsi="DejaVu Sans"/>
          <w:sz w:val="20"/>
        </w:rPr>
        <w:t xml:space="preserve">☐ </w:t>
      </w:r>
      <w:r>
        <w:t>Review accessibility-related records, requests for reasonable accommodations/modifications, and Section 504-related documentation as applicable.</w:t>
      </w:r>
    </w:p>
    <w:p>
      <w:pPr>
        <w:spacing w:after="40"/>
        <w:ind w:left="115" w:hanging="29"/>
      </w:pPr>
      <w:r>
        <w:rPr>
          <w:rFonts w:ascii="DejaVu Sans" w:hAnsi="DejaVu Sans"/>
          <w:sz w:val="20"/>
        </w:rPr>
        <w:t xml:space="preserve">☐ </w:t>
      </w:r>
      <w:r>
        <w:t>Confirm Limited English Proficiency / meaningful-access procedures and language-assistance practices are followed where applicable.</w:t>
      </w:r>
    </w:p>
    <w:p>
      <w:pPr>
        <w:spacing w:after="40"/>
        <w:ind w:left="115" w:hanging="29"/>
      </w:pPr>
      <w:r>
        <w:rPr>
          <w:rFonts w:ascii="DejaVu Sans" w:hAnsi="DejaVu Sans"/>
          <w:sz w:val="20"/>
        </w:rPr>
        <w:t xml:space="preserve">☐ </w:t>
      </w:r>
      <w:r>
        <w:t>Review marketing and outreach records when required by the property’s approved Affirmative Fair Housing Marketing Plan or other governing requirements.</w:t>
      </w:r>
    </w:p>
    <w:p>
      <w:pPr>
        <w:pStyle w:val="Heading1"/>
        <w:keepNext/>
        <w:spacing w:before="160" w:after="60"/>
      </w:pPr>
      <w:r>
        <w:t>3. TENANT FILE AUDIT — MOVE-IN / INITIAL CERTIFICATION</w:t>
      </w:r>
    </w:p>
    <w:p>
      <w:pPr>
        <w:spacing w:after="40"/>
        <w:ind w:left="115" w:hanging="29"/>
      </w:pPr>
      <w:r>
        <w:rPr>
          <w:rFonts w:ascii="DejaVu Sans" w:hAnsi="DejaVu Sans"/>
          <w:sz w:val="20"/>
        </w:rPr>
        <w:t xml:space="preserve">☐ </w:t>
      </w:r>
      <w:r>
        <w:t>Select an internal sample of recent move-in files and conduct a page-by-page compliance review before the MOR.</w:t>
      </w:r>
    </w:p>
    <w:p>
      <w:pPr>
        <w:spacing w:after="40"/>
        <w:ind w:left="115" w:hanging="29"/>
      </w:pPr>
      <w:r>
        <w:rPr>
          <w:rFonts w:ascii="DejaVu Sans" w:hAnsi="DejaVu Sans"/>
          <w:sz w:val="20"/>
        </w:rPr>
        <w:t xml:space="preserve">☐ </w:t>
      </w:r>
      <w:r>
        <w:t>Verify the application is complete, dated, and consistent with the final household composition.</w:t>
      </w:r>
    </w:p>
    <w:p>
      <w:pPr>
        <w:spacing w:after="40"/>
        <w:ind w:left="115" w:hanging="29"/>
      </w:pPr>
      <w:r>
        <w:rPr>
          <w:rFonts w:ascii="DejaVu Sans" w:hAnsi="DejaVu Sans"/>
          <w:sz w:val="20"/>
        </w:rPr>
        <w:t xml:space="preserve">☐ </w:t>
      </w:r>
      <w:r>
        <w:t>Verify household members, dates of birth, Social Security number documentation/exceptions, citizenship/eligible immigration documentation, and other eligibility documentation as applicable.</w:t>
      </w:r>
    </w:p>
    <w:p>
      <w:pPr>
        <w:spacing w:after="40"/>
        <w:ind w:left="115" w:hanging="29"/>
      </w:pPr>
      <w:r>
        <w:rPr>
          <w:rFonts w:ascii="DejaVu Sans" w:hAnsi="DejaVu Sans"/>
          <w:sz w:val="20"/>
        </w:rPr>
        <w:t xml:space="preserve">☐ </w:t>
      </w:r>
      <w:r>
        <w:t>Confirm income eligibility was established using the correct applicable income limit and program requirements at admission.</w:t>
      </w:r>
    </w:p>
    <w:p>
      <w:pPr>
        <w:spacing w:after="40"/>
        <w:ind w:left="115" w:hanging="29"/>
      </w:pPr>
      <w:r>
        <w:rPr>
          <w:rFonts w:ascii="DejaVu Sans" w:hAnsi="DejaVu Sans"/>
          <w:sz w:val="20"/>
        </w:rPr>
        <w:t xml:space="preserve">☐ </w:t>
      </w:r>
      <w:r>
        <w:t>Verify all income sources were identified, verified, and calculated correctly.</w:t>
      </w:r>
    </w:p>
    <w:p>
      <w:pPr>
        <w:spacing w:after="40"/>
        <w:ind w:left="115" w:hanging="29"/>
      </w:pPr>
      <w:r>
        <w:rPr>
          <w:rFonts w:ascii="DejaVu Sans" w:hAnsi="DejaVu Sans"/>
          <w:sz w:val="20"/>
        </w:rPr>
        <w:t xml:space="preserve">☐ </w:t>
      </w:r>
      <w:r>
        <w:t>Verify assets were identified, verified/self-certified as permitted, and asset income was treated correctly under applicable current rules.</w:t>
      </w:r>
    </w:p>
    <w:p>
      <w:pPr>
        <w:spacing w:after="40"/>
        <w:ind w:left="115" w:hanging="29"/>
      </w:pPr>
      <w:r>
        <w:rPr>
          <w:rFonts w:ascii="DejaVu Sans" w:hAnsi="DejaVu Sans"/>
          <w:sz w:val="20"/>
        </w:rPr>
        <w:t xml:space="preserve">☐ </w:t>
      </w:r>
      <w:r>
        <w:t>Verify deductions/allowances were supported by documentation when applicable.</w:t>
      </w:r>
    </w:p>
    <w:p>
      <w:pPr>
        <w:spacing w:after="40"/>
        <w:ind w:left="115" w:hanging="29"/>
      </w:pPr>
      <w:r>
        <w:rPr>
          <w:rFonts w:ascii="DejaVu Sans" w:hAnsi="DejaVu Sans"/>
          <w:sz w:val="20"/>
        </w:rPr>
        <w:t xml:space="preserve">☐ </w:t>
      </w:r>
      <w:r>
        <w:t>Recalculate Total Tenant Payment, tenant rent, utility reimbursement, and assistance to identify mathematical or software-entry errors.</w:t>
      </w:r>
    </w:p>
    <w:p>
      <w:pPr>
        <w:spacing w:after="40"/>
        <w:ind w:left="115" w:hanging="29"/>
      </w:pPr>
      <w:r>
        <w:rPr>
          <w:rFonts w:ascii="DejaVu Sans" w:hAnsi="DejaVu Sans"/>
          <w:sz w:val="20"/>
        </w:rPr>
        <w:t xml:space="preserve">☐ </w:t>
      </w:r>
      <w:r>
        <w:t>Verify the HUD-50059 and required certification documents are complete and signed/dated as required.</w:t>
      </w:r>
    </w:p>
    <w:p>
      <w:pPr>
        <w:spacing w:after="40"/>
        <w:ind w:left="115" w:hanging="29"/>
      </w:pPr>
      <w:r>
        <w:rPr>
          <w:rFonts w:ascii="DejaVu Sans" w:hAnsi="DejaVu Sans"/>
          <w:sz w:val="20"/>
        </w:rPr>
        <w:t xml:space="preserve">☐ </w:t>
      </w:r>
      <w:r>
        <w:t>Confirm required consent/release forms are present and current as applicable.</w:t>
      </w:r>
    </w:p>
    <w:p>
      <w:pPr>
        <w:spacing w:after="40"/>
        <w:ind w:left="115" w:hanging="29"/>
      </w:pPr>
      <w:r>
        <w:rPr>
          <w:rFonts w:ascii="DejaVu Sans" w:hAnsi="DejaVu Sans"/>
          <w:sz w:val="20"/>
        </w:rPr>
        <w:t xml:space="preserve">☐ </w:t>
      </w:r>
      <w:r>
        <w:t>Verify lease, HUD-required lease attachments/addenda, house rules, and other required occupancy documents were properly executed.</w:t>
      </w:r>
    </w:p>
    <w:p>
      <w:pPr>
        <w:spacing w:after="40"/>
        <w:ind w:left="115" w:hanging="29"/>
      </w:pPr>
      <w:r>
        <w:rPr>
          <w:rFonts w:ascii="DejaVu Sans" w:hAnsi="DejaVu Sans"/>
          <w:sz w:val="20"/>
        </w:rPr>
        <w:t xml:space="preserve">☐ </w:t>
      </w:r>
      <w:r>
        <w:t>Confirm move-in inspection documentation is present and signed/dated as required.</w:t>
      </w:r>
    </w:p>
    <w:p>
      <w:pPr>
        <w:spacing w:after="40"/>
        <w:ind w:left="115" w:hanging="29"/>
      </w:pPr>
      <w:r>
        <w:rPr>
          <w:rFonts w:ascii="DejaVu Sans" w:hAnsi="DejaVu Sans"/>
          <w:sz w:val="20"/>
        </w:rPr>
        <w:t xml:space="preserve">☐ </w:t>
      </w:r>
      <w:r>
        <w:t>Verify security deposit documentation and ledger posting agree with the lease and property records.</w:t>
      </w:r>
    </w:p>
    <w:p>
      <w:pPr>
        <w:spacing w:after="40"/>
        <w:ind w:left="115" w:hanging="29"/>
      </w:pPr>
      <w:r>
        <w:rPr>
          <w:rFonts w:ascii="DejaVu Sans" w:hAnsi="DejaVu Sans"/>
          <w:sz w:val="20"/>
        </w:rPr>
        <w:t xml:space="preserve">☐ </w:t>
      </w:r>
      <w:r>
        <w:t>Check that unit size/occupancy is consistent with the property’s occupancy standards or that an approved exception/accommodation is documented.</w:t>
      </w:r>
    </w:p>
    <w:p>
      <w:pPr>
        <w:spacing w:after="40"/>
        <w:ind w:left="115" w:hanging="29"/>
      </w:pPr>
      <w:r>
        <w:rPr>
          <w:rFonts w:ascii="DejaVu Sans" w:hAnsi="DejaVu Sans"/>
          <w:sz w:val="20"/>
        </w:rPr>
        <w:t xml:space="preserve">☐ </w:t>
      </w:r>
      <w:r>
        <w:t>Verify the tenant received required notices, information, and copies of executed documents.</w:t>
      </w:r>
    </w:p>
    <w:p>
      <w:pPr>
        <w:pStyle w:val="Heading1"/>
        <w:keepNext/>
        <w:spacing w:before="160" w:after="60"/>
      </w:pPr>
      <w:r>
        <w:t>4. ANNUAL &amp; INTERIM RECERTIFICATION FILE REVIEW</w:t>
      </w:r>
    </w:p>
    <w:p>
      <w:pPr>
        <w:spacing w:after="40"/>
        <w:ind w:left="115" w:hanging="29"/>
      </w:pPr>
      <w:r>
        <w:rPr>
          <w:rFonts w:ascii="DejaVu Sans" w:hAnsi="DejaVu Sans"/>
          <w:sz w:val="20"/>
        </w:rPr>
        <w:t xml:space="preserve">☐ </w:t>
      </w:r>
      <w:r>
        <w:t>Generate a recertification status report and identify every annual recertification that is due, overdue, incomplete, or awaiting verification/signature.</w:t>
      </w:r>
    </w:p>
    <w:p>
      <w:pPr>
        <w:spacing w:after="40"/>
        <w:ind w:left="115" w:hanging="29"/>
      </w:pPr>
      <w:r>
        <w:rPr>
          <w:rFonts w:ascii="DejaVu Sans" w:hAnsi="DejaVu Sans"/>
          <w:sz w:val="20"/>
        </w:rPr>
        <w:t xml:space="preserve">☐ </w:t>
      </w:r>
      <w:r>
        <w:t>Confirm annual recertifications were completed by the tenant’s anniversary date as required.</w:t>
      </w:r>
    </w:p>
    <w:p>
      <w:pPr>
        <w:spacing w:after="40"/>
        <w:ind w:left="115" w:hanging="29"/>
      </w:pPr>
      <w:r>
        <w:rPr>
          <w:rFonts w:ascii="DejaVu Sans" w:hAnsi="DejaVu Sans"/>
          <w:sz w:val="20"/>
        </w:rPr>
        <w:t xml:space="preserve">☐ </w:t>
      </w:r>
      <w:r>
        <w:t>Review required annual recertification notices/reminders for timely issuance and file documentation.</w:t>
      </w:r>
    </w:p>
    <w:p>
      <w:pPr>
        <w:spacing w:after="40"/>
        <w:ind w:left="115" w:hanging="29"/>
      </w:pPr>
      <w:r>
        <w:rPr>
          <w:rFonts w:ascii="DejaVu Sans" w:hAnsi="DejaVu Sans"/>
          <w:sz w:val="20"/>
        </w:rPr>
        <w:t xml:space="preserve">☐ </w:t>
      </w:r>
      <w:r>
        <w:t>Verify household composition, income, assets, deductions, allowances, and other applicable eligibility factors were properly reviewed.</w:t>
      </w:r>
    </w:p>
    <w:p>
      <w:pPr>
        <w:spacing w:after="40"/>
        <w:ind w:left="115" w:hanging="29"/>
      </w:pPr>
      <w:r>
        <w:rPr>
          <w:rFonts w:ascii="DejaVu Sans" w:hAnsi="DejaVu Sans"/>
          <w:sz w:val="20"/>
        </w:rPr>
        <w:t xml:space="preserve">☐ </w:t>
      </w:r>
      <w:r>
        <w:t>Recalculate a sample of annual recertifications independently from the property software.</w:t>
      </w:r>
    </w:p>
    <w:p>
      <w:pPr>
        <w:spacing w:after="40"/>
        <w:ind w:left="115" w:hanging="29"/>
      </w:pPr>
      <w:r>
        <w:rPr>
          <w:rFonts w:ascii="DejaVu Sans" w:hAnsi="DejaVu Sans"/>
          <w:sz w:val="20"/>
        </w:rPr>
        <w:t xml:space="preserve">☐ </w:t>
      </w:r>
      <w:r>
        <w:t>Confirm HUD-50059 records are accurate, signed/dated as required, and consistent with supporting documents.</w:t>
      </w:r>
    </w:p>
    <w:p>
      <w:pPr>
        <w:spacing w:after="40"/>
        <w:ind w:left="115" w:hanging="29"/>
      </w:pPr>
      <w:r>
        <w:rPr>
          <w:rFonts w:ascii="DejaVu Sans" w:hAnsi="DejaVu Sans"/>
          <w:sz w:val="20"/>
        </w:rPr>
        <w:t xml:space="preserve">☐ </w:t>
      </w:r>
      <w:r>
        <w:t>Review interim recertifications for proper effective dates, documentation, calculation, and tenant notice.</w:t>
      </w:r>
    </w:p>
    <w:p>
      <w:pPr>
        <w:spacing w:after="40"/>
        <w:ind w:left="115" w:hanging="29"/>
      </w:pPr>
      <w:r>
        <w:rPr>
          <w:rFonts w:ascii="DejaVu Sans" w:hAnsi="DejaVu Sans"/>
          <w:sz w:val="20"/>
        </w:rPr>
        <w:t xml:space="preserve">☐ </w:t>
      </w:r>
      <w:r>
        <w:t>Confirm rent-increase notices were provided within applicable notice requirements.</w:t>
      </w:r>
    </w:p>
    <w:p>
      <w:pPr>
        <w:spacing w:after="40"/>
        <w:ind w:left="115" w:hanging="29"/>
      </w:pPr>
      <w:r>
        <w:rPr>
          <w:rFonts w:ascii="DejaVu Sans" w:hAnsi="DejaVu Sans"/>
          <w:sz w:val="20"/>
        </w:rPr>
        <w:t xml:space="preserve">☐ </w:t>
      </w:r>
      <w:r>
        <w:t>Review household-member additions/removals and ensure supporting documentation and eligibility screening were completed where required.</w:t>
      </w:r>
    </w:p>
    <w:p>
      <w:pPr>
        <w:spacing w:after="40"/>
        <w:ind w:left="115" w:hanging="29"/>
      </w:pPr>
      <w:r>
        <w:rPr>
          <w:rFonts w:ascii="DejaVu Sans" w:hAnsi="DejaVu Sans"/>
          <w:sz w:val="20"/>
        </w:rPr>
        <w:t xml:space="preserve">☐ </w:t>
      </w:r>
      <w:r>
        <w:t>Review unit transfers for proper authorization, effective dates, occupancy standards, documentation, and subsidy/rent treatment.</w:t>
      </w:r>
    </w:p>
    <w:p>
      <w:pPr>
        <w:spacing w:after="40"/>
        <w:ind w:left="115" w:hanging="29"/>
      </w:pPr>
      <w:r>
        <w:rPr>
          <w:rFonts w:ascii="DejaVu Sans" w:hAnsi="DejaVu Sans"/>
          <w:sz w:val="20"/>
        </w:rPr>
        <w:t xml:space="preserve">☐ </w:t>
      </w:r>
      <w:r>
        <w:t>Investigate certifications with unusual income changes, repeated zero income, large asset changes, or unexplained household-composition changes.</w:t>
      </w:r>
    </w:p>
    <w:p>
      <w:pPr>
        <w:spacing w:after="40"/>
        <w:ind w:left="115" w:hanging="29"/>
      </w:pPr>
      <w:r>
        <w:rPr>
          <w:rFonts w:ascii="DejaVu Sans" w:hAnsi="DejaVu Sans"/>
          <w:sz w:val="20"/>
        </w:rPr>
        <w:t xml:space="preserve">☐ </w:t>
      </w:r>
      <w:r>
        <w:t>Create a correction list for any late, missing, unsigned, inconsistent, or incorrectly calculated certifications and resolve them before the MOR when permitted.</w:t>
      </w:r>
    </w:p>
    <w:p>
      <w:pPr>
        <w:pStyle w:val="Heading1"/>
        <w:keepNext/>
        <w:spacing w:before="160" w:after="60"/>
      </w:pPr>
      <w:r>
        <w:t>5. EIV &amp; INCOME VERIFICATION REVIEW</w:t>
      </w:r>
    </w:p>
    <w:p>
      <w:pPr>
        <w:spacing w:after="40"/>
        <w:ind w:left="115" w:hanging="29"/>
      </w:pPr>
      <w:r>
        <w:rPr>
          <w:rFonts w:ascii="DejaVu Sans" w:hAnsi="DejaVu Sans"/>
          <w:sz w:val="20"/>
        </w:rPr>
        <w:t xml:space="preserve">☐ </w:t>
      </w:r>
      <w:r>
        <w:t>Confirm EIV access is limited to authorized users and security/privacy requirements are being followed.</w:t>
      </w:r>
    </w:p>
    <w:p>
      <w:pPr>
        <w:spacing w:after="40"/>
        <w:ind w:left="115" w:hanging="29"/>
      </w:pPr>
      <w:r>
        <w:rPr>
          <w:rFonts w:ascii="DejaVu Sans" w:hAnsi="DejaVu Sans"/>
          <w:sz w:val="20"/>
        </w:rPr>
        <w:t xml:space="preserve">☐ </w:t>
      </w:r>
      <w:r>
        <w:t>Confirm required EIV policies and procedures, security documentation, and access records are maintained as applicable.</w:t>
      </w:r>
    </w:p>
    <w:p>
      <w:pPr>
        <w:spacing w:after="40"/>
        <w:ind w:left="115" w:hanging="29"/>
      </w:pPr>
      <w:r>
        <w:rPr>
          <w:rFonts w:ascii="DejaVu Sans" w:hAnsi="DejaVu Sans"/>
          <w:sz w:val="20"/>
        </w:rPr>
        <w:t xml:space="preserve">☐ </w:t>
      </w:r>
      <w:r>
        <w:t>Review EIV Income Reports and required verification reports for sampled tenant files in accordance with current HUD requirements.</w:t>
      </w:r>
    </w:p>
    <w:p>
      <w:pPr>
        <w:spacing w:after="40"/>
        <w:ind w:left="115" w:hanging="29"/>
      </w:pPr>
      <w:r>
        <w:rPr>
          <w:rFonts w:ascii="DejaVu Sans" w:hAnsi="DejaVu Sans"/>
          <w:sz w:val="20"/>
        </w:rPr>
        <w:t xml:space="preserve">☐ </w:t>
      </w:r>
      <w:r>
        <w:t>Confirm discrepancies and conflicting information are investigated, resolved, and documented.</w:t>
      </w:r>
    </w:p>
    <w:p>
      <w:pPr>
        <w:spacing w:after="40"/>
        <w:ind w:left="115" w:hanging="29"/>
      </w:pPr>
      <w:r>
        <w:rPr>
          <w:rFonts w:ascii="DejaVu Sans" w:hAnsi="DejaVu Sans"/>
          <w:sz w:val="20"/>
        </w:rPr>
        <w:t xml:space="preserve">☐ </w:t>
      </w:r>
      <w:r>
        <w:t>Review New Hires information and follow-up documentation when applicable.</w:t>
      </w:r>
    </w:p>
    <w:p>
      <w:pPr>
        <w:spacing w:after="40"/>
        <w:ind w:left="115" w:hanging="29"/>
      </w:pPr>
      <w:r>
        <w:rPr>
          <w:rFonts w:ascii="DejaVu Sans" w:hAnsi="DejaVu Sans"/>
          <w:sz w:val="20"/>
        </w:rPr>
        <w:t xml:space="preserve">☐ </w:t>
      </w:r>
      <w:r>
        <w:t>Review Identity Verification / Failed Verification issues and document corrective action.</w:t>
      </w:r>
    </w:p>
    <w:p>
      <w:pPr>
        <w:spacing w:after="40"/>
        <w:ind w:left="115" w:hanging="29"/>
      </w:pPr>
      <w:r>
        <w:rPr>
          <w:rFonts w:ascii="DejaVu Sans" w:hAnsi="DejaVu Sans"/>
          <w:sz w:val="20"/>
        </w:rPr>
        <w:t xml:space="preserve">☐ </w:t>
      </w:r>
      <w:r>
        <w:t>Confirm deceased-tenant reporting issues are researched and corrected when identified.</w:t>
      </w:r>
    </w:p>
    <w:p>
      <w:pPr>
        <w:spacing w:after="40"/>
        <w:ind w:left="115" w:hanging="29"/>
      </w:pPr>
      <w:r>
        <w:rPr>
          <w:rFonts w:ascii="DejaVu Sans" w:hAnsi="DejaVu Sans"/>
          <w:sz w:val="20"/>
        </w:rPr>
        <w:t xml:space="preserve">☐ </w:t>
      </w:r>
      <w:r>
        <w:t>Verify tenant consent and disclosure documentation is maintained as required before accessing protected income information.</w:t>
      </w:r>
    </w:p>
    <w:p>
      <w:pPr>
        <w:spacing w:after="40"/>
        <w:ind w:left="115" w:hanging="29"/>
      </w:pPr>
      <w:r>
        <w:rPr>
          <w:rFonts w:ascii="DejaVu Sans" w:hAnsi="DejaVu Sans"/>
          <w:sz w:val="20"/>
        </w:rPr>
        <w:t xml:space="preserve">☐ </w:t>
      </w:r>
      <w:r>
        <w:t>Confirm EIV documents containing sensitive information are stored securely and disposed of appropriately.</w:t>
      </w:r>
    </w:p>
    <w:p>
      <w:pPr>
        <w:spacing w:after="40"/>
        <w:ind w:left="115" w:hanging="29"/>
      </w:pPr>
      <w:r>
        <w:rPr>
          <w:rFonts w:ascii="DejaVu Sans" w:hAnsi="DejaVu Sans"/>
          <w:sz w:val="20"/>
        </w:rPr>
        <w:t xml:space="preserve">☐ </w:t>
      </w:r>
      <w:r>
        <w:t>Check that staff are not using EIV as a substitute for required tenant-provided information or other verification when additional documentation is required.</w:t>
      </w:r>
    </w:p>
    <w:p>
      <w:pPr>
        <w:pStyle w:val="Heading1"/>
        <w:keepNext/>
        <w:spacing w:before="160" w:after="60"/>
      </w:pPr>
      <w:r>
        <w:t>6. RENT, HAP, TRACS &amp; LEDGER RECONCILIATION</w:t>
      </w:r>
    </w:p>
    <w:p>
      <w:pPr>
        <w:spacing w:after="40"/>
        <w:ind w:left="115" w:hanging="29"/>
      </w:pPr>
      <w:r>
        <w:rPr>
          <w:rFonts w:ascii="DejaVu Sans" w:hAnsi="DejaVu Sans"/>
          <w:sz w:val="20"/>
        </w:rPr>
        <w:t xml:space="preserve">☐ </w:t>
      </w:r>
      <w:r>
        <w:t>Reconcile a sample of HUD-50059 certifications to the property-management system, tenant ledger, HAP billing, and TRACS records.</w:t>
      </w:r>
    </w:p>
    <w:p>
      <w:pPr>
        <w:spacing w:after="40"/>
        <w:ind w:left="115" w:hanging="29"/>
      </w:pPr>
      <w:r>
        <w:rPr>
          <w:rFonts w:ascii="DejaVu Sans" w:hAnsi="DejaVu Sans"/>
          <w:sz w:val="20"/>
        </w:rPr>
        <w:t xml:space="preserve">☐ </w:t>
      </w:r>
      <w:r>
        <w:t>Confirm tenant rent and assistance amounts match the effective certification.</w:t>
      </w:r>
    </w:p>
    <w:p>
      <w:pPr>
        <w:spacing w:after="40"/>
        <w:ind w:left="115" w:hanging="29"/>
      </w:pPr>
      <w:r>
        <w:rPr>
          <w:rFonts w:ascii="DejaVu Sans" w:hAnsi="DejaVu Sans"/>
          <w:sz w:val="20"/>
        </w:rPr>
        <w:t xml:space="preserve">☐ </w:t>
      </w:r>
      <w:r>
        <w:t>Review retroactive adjustments, repayment agreements, corrections, and subsidy adjustments for documentation and accuracy.</w:t>
      </w:r>
    </w:p>
    <w:p>
      <w:pPr>
        <w:spacing w:after="40"/>
        <w:ind w:left="115" w:hanging="29"/>
      </w:pPr>
      <w:r>
        <w:rPr>
          <w:rFonts w:ascii="DejaVu Sans" w:hAnsi="DejaVu Sans"/>
          <w:sz w:val="20"/>
        </w:rPr>
        <w:t xml:space="preserve">☐ </w:t>
      </w:r>
      <w:r>
        <w:t>Review unpaid rent balances and ensure collection activity is consistent with the lease and property policies.</w:t>
      </w:r>
    </w:p>
    <w:p>
      <w:pPr>
        <w:spacing w:after="40"/>
        <w:ind w:left="115" w:hanging="29"/>
      </w:pPr>
      <w:r>
        <w:rPr>
          <w:rFonts w:ascii="DejaVu Sans" w:hAnsi="DejaVu Sans"/>
          <w:sz w:val="20"/>
        </w:rPr>
        <w:t xml:space="preserve">☐ </w:t>
      </w:r>
      <w:r>
        <w:t>Review utility allowances and confirm the property is using the applicable approved/current allowance and effective date.</w:t>
      </w:r>
    </w:p>
    <w:p>
      <w:pPr>
        <w:spacing w:after="40"/>
        <w:ind w:left="115" w:hanging="29"/>
      </w:pPr>
      <w:r>
        <w:rPr>
          <w:rFonts w:ascii="DejaVu Sans" w:hAnsi="DejaVu Sans"/>
          <w:sz w:val="20"/>
        </w:rPr>
        <w:t xml:space="preserve">☐ </w:t>
      </w:r>
      <w:r>
        <w:t>Verify gross rent changes were implemented accurately and required tenant notices/certifications were completed.</w:t>
      </w:r>
    </w:p>
    <w:p>
      <w:pPr>
        <w:spacing w:after="40"/>
        <w:ind w:left="115" w:hanging="29"/>
      </w:pPr>
      <w:r>
        <w:rPr>
          <w:rFonts w:ascii="DejaVu Sans" w:hAnsi="DejaVu Sans"/>
          <w:sz w:val="20"/>
        </w:rPr>
        <w:t xml:space="preserve">☐ </w:t>
      </w:r>
      <w:r>
        <w:t>Review HAP vouchers for unusual adjustments, duplicate assistance, unexplained credits/debits, or long-outstanding corrections.</w:t>
      </w:r>
    </w:p>
    <w:p>
      <w:pPr>
        <w:spacing w:after="40"/>
        <w:ind w:left="115" w:hanging="29"/>
      </w:pPr>
      <w:r>
        <w:rPr>
          <w:rFonts w:ascii="DejaVu Sans" w:hAnsi="DejaVu Sans"/>
          <w:sz w:val="20"/>
        </w:rPr>
        <w:t xml:space="preserve">☐ </w:t>
      </w:r>
      <w:r>
        <w:t>Research TRACS errors, fatal errors, discrepancies, or rejected transactions and retain evidence of correction/follow-up.</w:t>
      </w:r>
    </w:p>
    <w:p>
      <w:pPr>
        <w:spacing w:after="40"/>
        <w:ind w:left="115" w:hanging="29"/>
      </w:pPr>
      <w:r>
        <w:rPr>
          <w:rFonts w:ascii="DejaVu Sans" w:hAnsi="DejaVu Sans"/>
          <w:sz w:val="20"/>
        </w:rPr>
        <w:t xml:space="preserve">☐ </w:t>
      </w:r>
      <w:r>
        <w:t>Confirm move-outs and terminations are reflected timely and consistently across occupancy, ledger, HAP, and TRACS records.</w:t>
      </w:r>
    </w:p>
    <w:p>
      <w:pPr>
        <w:spacing w:after="40"/>
        <w:ind w:left="115" w:hanging="29"/>
      </w:pPr>
      <w:r>
        <w:rPr>
          <w:rFonts w:ascii="DejaVu Sans" w:hAnsi="DejaVu Sans"/>
          <w:sz w:val="20"/>
        </w:rPr>
        <w:t xml:space="preserve">☐ </w:t>
      </w:r>
      <w:r>
        <w:t>Verify assistance is not being billed for units/households that are no longer eligible for subsidy.</w:t>
      </w:r>
    </w:p>
    <w:p>
      <w:pPr>
        <w:pStyle w:val="Heading1"/>
        <w:keepNext/>
        <w:spacing w:before="160" w:after="60"/>
      </w:pPr>
      <w:r>
        <w:t>7. LEASES, HOUSE RULES &amp; TENANT COMMUNICATIONS</w:t>
      </w:r>
    </w:p>
    <w:p>
      <w:pPr>
        <w:spacing w:after="40"/>
        <w:ind w:left="115" w:hanging="29"/>
      </w:pPr>
      <w:r>
        <w:rPr>
          <w:rFonts w:ascii="DejaVu Sans" w:hAnsi="DejaVu Sans"/>
          <w:sz w:val="20"/>
        </w:rPr>
        <w:t xml:space="preserve">☐ </w:t>
      </w:r>
      <w:r>
        <w:t>Confirm the correct HUD model lease or approved lease form is being used for the applicable program.</w:t>
      </w:r>
    </w:p>
    <w:p>
      <w:pPr>
        <w:spacing w:after="40"/>
        <w:ind w:left="115" w:hanging="29"/>
      </w:pPr>
      <w:r>
        <w:rPr>
          <w:rFonts w:ascii="DejaVu Sans" w:hAnsi="DejaVu Sans"/>
          <w:sz w:val="20"/>
        </w:rPr>
        <w:t xml:space="preserve">☐ </w:t>
      </w:r>
      <w:r>
        <w:t>Review lease addenda, attachments, house rules, pet rules, and property-specific policies for consistency with HUD requirements.</w:t>
      </w:r>
    </w:p>
    <w:p>
      <w:pPr>
        <w:spacing w:after="40"/>
        <w:ind w:left="115" w:hanging="29"/>
      </w:pPr>
      <w:r>
        <w:rPr>
          <w:rFonts w:ascii="DejaVu Sans" w:hAnsi="DejaVu Sans"/>
          <w:sz w:val="20"/>
        </w:rPr>
        <w:t xml:space="preserve">☐ </w:t>
      </w:r>
      <w:r>
        <w:t>Confirm leases and required attachments are signed and dated by all required parties.</w:t>
      </w:r>
    </w:p>
    <w:p>
      <w:pPr>
        <w:spacing w:after="40"/>
        <w:ind w:left="115" w:hanging="29"/>
      </w:pPr>
      <w:r>
        <w:rPr>
          <w:rFonts w:ascii="DejaVu Sans" w:hAnsi="DejaVu Sans"/>
          <w:sz w:val="20"/>
        </w:rPr>
        <w:t xml:space="preserve">☐ </w:t>
      </w:r>
      <w:r>
        <w:t>Verify charges to tenants are authorized, properly disclosed, and consistently applied.</w:t>
      </w:r>
    </w:p>
    <w:p>
      <w:pPr>
        <w:spacing w:after="40"/>
        <w:ind w:left="115" w:hanging="29"/>
      </w:pPr>
      <w:r>
        <w:rPr>
          <w:rFonts w:ascii="DejaVu Sans" w:hAnsi="DejaVu Sans"/>
          <w:sz w:val="20"/>
        </w:rPr>
        <w:t xml:space="preserve">☐ </w:t>
      </w:r>
      <w:r>
        <w:t>Review notices of rent change, termination, nonpayment, rule violations, and other adverse actions for required content and documentation.</w:t>
      </w:r>
    </w:p>
    <w:p>
      <w:pPr>
        <w:spacing w:after="40"/>
        <w:ind w:left="115" w:hanging="29"/>
      </w:pPr>
      <w:r>
        <w:rPr>
          <w:rFonts w:ascii="DejaVu Sans" w:hAnsi="DejaVu Sans"/>
          <w:sz w:val="20"/>
        </w:rPr>
        <w:t xml:space="preserve">☐ </w:t>
      </w:r>
      <w:r>
        <w:t>Confirm tenant grievances/complaints are documented and handled consistently with applicable requirements.</w:t>
      </w:r>
    </w:p>
    <w:p>
      <w:pPr>
        <w:spacing w:after="40"/>
        <w:ind w:left="115" w:hanging="29"/>
      </w:pPr>
      <w:r>
        <w:rPr>
          <w:rFonts w:ascii="DejaVu Sans" w:hAnsi="DejaVu Sans"/>
          <w:sz w:val="20"/>
        </w:rPr>
        <w:t xml:space="preserve">☐ </w:t>
      </w:r>
      <w:r>
        <w:t>Review VAWA policies, notices, emergency transfer plan/forms, confidentiality practices, and staff procedures for applicable requirements.</w:t>
      </w:r>
    </w:p>
    <w:p>
      <w:pPr>
        <w:spacing w:after="40"/>
        <w:ind w:left="115" w:hanging="29"/>
      </w:pPr>
      <w:r>
        <w:rPr>
          <w:rFonts w:ascii="DejaVu Sans" w:hAnsi="DejaVu Sans"/>
          <w:sz w:val="20"/>
        </w:rPr>
        <w:t xml:space="preserve">☐ </w:t>
      </w:r>
      <w:r>
        <w:t>Confirm staff know where current VAWA forms and notices are located and how to respond to a request without improperly disclosing confidential information.</w:t>
      </w:r>
    </w:p>
    <w:p>
      <w:pPr>
        <w:pStyle w:val="Heading1"/>
        <w:keepNext/>
        <w:spacing w:before="160" w:after="60"/>
      </w:pPr>
      <w:r>
        <w:t>8. SECURITY DEPOSITS, ACCOUNTS RECEIVABLE &amp; TENANT CHARGES</w:t>
      </w:r>
    </w:p>
    <w:p>
      <w:pPr>
        <w:spacing w:after="40"/>
        <w:ind w:left="115" w:hanging="29"/>
      </w:pPr>
      <w:r>
        <w:rPr>
          <w:rFonts w:ascii="DejaVu Sans" w:hAnsi="DejaVu Sans"/>
          <w:sz w:val="20"/>
        </w:rPr>
        <w:t xml:space="preserve">☐ </w:t>
      </w:r>
      <w:r>
        <w:t>Reconcile security-deposit records to tenant ledgers and applicable financial records.</w:t>
      </w:r>
    </w:p>
    <w:p>
      <w:pPr>
        <w:spacing w:after="40"/>
        <w:ind w:left="115" w:hanging="29"/>
      </w:pPr>
      <w:r>
        <w:rPr>
          <w:rFonts w:ascii="DejaVu Sans" w:hAnsi="DejaVu Sans"/>
          <w:sz w:val="20"/>
        </w:rPr>
        <w:t xml:space="preserve">☐ </w:t>
      </w:r>
      <w:r>
        <w:t>Verify security deposits charged at move-in were calculated correctly and handled according to program/lease requirements.</w:t>
      </w:r>
    </w:p>
    <w:p>
      <w:pPr>
        <w:spacing w:after="40"/>
        <w:ind w:left="115" w:hanging="29"/>
      </w:pPr>
      <w:r>
        <w:rPr>
          <w:rFonts w:ascii="DejaVu Sans" w:hAnsi="DejaVu Sans"/>
          <w:sz w:val="20"/>
        </w:rPr>
        <w:t xml:space="preserve">☐ </w:t>
      </w:r>
      <w:r>
        <w:t>Review move-out files for final accounting, security-deposit disposition, damages, unpaid rent, and required notices.</w:t>
      </w:r>
    </w:p>
    <w:p>
      <w:pPr>
        <w:spacing w:after="40"/>
        <w:ind w:left="115" w:hanging="29"/>
      </w:pPr>
      <w:r>
        <w:rPr>
          <w:rFonts w:ascii="DejaVu Sans" w:hAnsi="DejaVu Sans"/>
          <w:sz w:val="20"/>
        </w:rPr>
        <w:t xml:space="preserve">☐ </w:t>
      </w:r>
      <w:r>
        <w:t>Review tenant charges for damages, keys, late fees, returned payments, or other items to ensure they are authorized and documented.</w:t>
      </w:r>
    </w:p>
    <w:p>
      <w:pPr>
        <w:spacing w:after="40"/>
        <w:ind w:left="115" w:hanging="29"/>
      </w:pPr>
      <w:r>
        <w:rPr>
          <w:rFonts w:ascii="DejaVu Sans" w:hAnsi="DejaVu Sans"/>
          <w:sz w:val="20"/>
        </w:rPr>
        <w:t xml:space="preserve">☐ </w:t>
      </w:r>
      <w:r>
        <w:t>Review repayment agreements for proper documentation, balances, payment posting, and follow-up.</w:t>
      </w:r>
    </w:p>
    <w:p>
      <w:pPr>
        <w:spacing w:after="40"/>
        <w:ind w:left="115" w:hanging="29"/>
      </w:pPr>
      <w:r>
        <w:rPr>
          <w:rFonts w:ascii="DejaVu Sans" w:hAnsi="DejaVu Sans"/>
          <w:sz w:val="20"/>
        </w:rPr>
        <w:t xml:space="preserve">☐ </w:t>
      </w:r>
      <w:r>
        <w:t>Identify aged tenant receivables and ensure collection/termination actions are documented and consistent.</w:t>
      </w:r>
    </w:p>
    <w:p>
      <w:pPr>
        <w:pStyle w:val="Heading1"/>
        <w:keepNext/>
        <w:spacing w:before="160" w:after="60"/>
      </w:pPr>
      <w:r>
        <w:t>9. PHYSICAL CONDITION / NSPIRE READINESS</w:t>
      </w:r>
    </w:p>
    <w:p>
      <w:pPr>
        <w:spacing w:after="40"/>
        <w:ind w:left="115" w:hanging="29"/>
      </w:pPr>
      <w:r>
        <w:rPr>
          <w:rFonts w:ascii="DejaVu Sans" w:hAnsi="DejaVu Sans"/>
          <w:sz w:val="20"/>
        </w:rPr>
        <w:t xml:space="preserve">☐ </w:t>
      </w:r>
      <w:r>
        <w:t>Conduct a comprehensive pre-inspection of units, common areas, building systems, exterior areas, and site conditions using current applicable NSPIRE standards.</w:t>
      </w:r>
    </w:p>
    <w:p>
      <w:pPr>
        <w:spacing w:after="40"/>
        <w:ind w:left="115" w:hanging="29"/>
      </w:pPr>
      <w:r>
        <w:rPr>
          <w:rFonts w:ascii="DejaVu Sans" w:hAnsi="DejaVu Sans"/>
          <w:sz w:val="20"/>
        </w:rPr>
        <w:t xml:space="preserve">☐ </w:t>
      </w:r>
      <w:r>
        <w:t>Prioritize life-threatening, severe, health-and-safety, fire-safety, electrical, egress, smoke/CO alarm, and other high-risk deficiencies for immediate correction.</w:t>
      </w:r>
    </w:p>
    <w:p>
      <w:pPr>
        <w:spacing w:after="40"/>
        <w:ind w:left="115" w:hanging="29"/>
      </w:pPr>
      <w:r>
        <w:rPr>
          <w:rFonts w:ascii="DejaVu Sans" w:hAnsi="DejaVu Sans"/>
          <w:sz w:val="20"/>
        </w:rPr>
        <w:t xml:space="preserve">☐ </w:t>
      </w:r>
      <w:r>
        <w:t>Review work orders for unresolved health-and-safety issues and document completion.</w:t>
      </w:r>
    </w:p>
    <w:p>
      <w:pPr>
        <w:spacing w:after="40"/>
        <w:ind w:left="115" w:hanging="29"/>
      </w:pPr>
      <w:r>
        <w:rPr>
          <w:rFonts w:ascii="DejaVu Sans" w:hAnsi="DejaVu Sans"/>
          <w:sz w:val="20"/>
        </w:rPr>
        <w:t xml:space="preserve">☐ </w:t>
      </w:r>
      <w:r>
        <w:t>Verify routine and preventive maintenance schedules are current and documented.</w:t>
      </w:r>
    </w:p>
    <w:p>
      <w:pPr>
        <w:spacing w:after="40"/>
        <w:ind w:left="115" w:hanging="29"/>
      </w:pPr>
      <w:r>
        <w:rPr>
          <w:rFonts w:ascii="DejaVu Sans" w:hAnsi="DejaVu Sans"/>
          <w:sz w:val="20"/>
        </w:rPr>
        <w:t xml:space="preserve">☐ </w:t>
      </w:r>
      <w:r>
        <w:t>Inspect a representative sample of occupied units before the reviewer arrives.</w:t>
      </w:r>
    </w:p>
    <w:p>
      <w:pPr>
        <w:spacing w:after="40"/>
        <w:ind w:left="115" w:hanging="29"/>
      </w:pPr>
      <w:r>
        <w:rPr>
          <w:rFonts w:ascii="DejaVu Sans" w:hAnsi="DejaVu Sans"/>
          <w:sz w:val="20"/>
        </w:rPr>
        <w:t xml:space="preserve">☐ </w:t>
      </w:r>
      <w:r>
        <w:t>Confirm emergency work-order procedures and after-hours contact information are current.</w:t>
      </w:r>
    </w:p>
    <w:p>
      <w:pPr>
        <w:spacing w:after="40"/>
        <w:ind w:left="115" w:hanging="29"/>
      </w:pPr>
      <w:r>
        <w:rPr>
          <w:rFonts w:ascii="DejaVu Sans" w:hAnsi="DejaVu Sans"/>
          <w:sz w:val="20"/>
        </w:rPr>
        <w:t xml:space="preserve">☐ </w:t>
      </w:r>
      <w:r>
        <w:t>Review pest-control records and unresolved infestation issues.</w:t>
      </w:r>
    </w:p>
    <w:p>
      <w:pPr>
        <w:spacing w:after="40"/>
        <w:ind w:left="115" w:hanging="29"/>
      </w:pPr>
      <w:r>
        <w:rPr>
          <w:rFonts w:ascii="DejaVu Sans" w:hAnsi="DejaVu Sans"/>
          <w:sz w:val="20"/>
        </w:rPr>
        <w:t xml:space="preserve">☐ </w:t>
      </w:r>
      <w:r>
        <w:t>Review inspection logs, unit inspection records, and documentation of corrective action.</w:t>
      </w:r>
    </w:p>
    <w:p>
      <w:pPr>
        <w:spacing w:after="40"/>
        <w:ind w:left="115" w:hanging="29"/>
      </w:pPr>
      <w:r>
        <w:rPr>
          <w:rFonts w:ascii="DejaVu Sans" w:hAnsi="DejaVu Sans"/>
          <w:sz w:val="20"/>
        </w:rPr>
        <w:t xml:space="preserve">☐ </w:t>
      </w:r>
      <w:r>
        <w:t>Confirm common areas, accessible routes, accessible units/features, parking, and building entrances are maintained as required.</w:t>
      </w:r>
    </w:p>
    <w:p>
      <w:pPr>
        <w:spacing w:after="40"/>
        <w:ind w:left="115" w:hanging="29"/>
      </w:pPr>
      <w:r>
        <w:rPr>
          <w:rFonts w:ascii="DejaVu Sans" w:hAnsi="DejaVu Sans"/>
          <w:sz w:val="20"/>
        </w:rPr>
        <w:t xml:space="preserve">☐ </w:t>
      </w:r>
      <w:r>
        <w:t>Prepare supporting documentation for any deficiency that has been corrected but may still appear in historical records.</w:t>
      </w:r>
    </w:p>
    <w:p>
      <w:pPr>
        <w:pStyle w:val="Heading1"/>
        <w:keepNext/>
        <w:spacing w:before="160" w:after="60"/>
      </w:pPr>
      <w:r>
        <w:t>10. MAINTENANCE, WORK ORDERS &amp; CAPITAL NEEDS</w:t>
      </w:r>
    </w:p>
    <w:p>
      <w:pPr>
        <w:spacing w:after="40"/>
        <w:ind w:left="115" w:hanging="29"/>
      </w:pPr>
      <w:r>
        <w:rPr>
          <w:rFonts w:ascii="DejaVu Sans" w:hAnsi="DejaVu Sans"/>
          <w:sz w:val="20"/>
        </w:rPr>
        <w:t xml:space="preserve">☐ </w:t>
      </w:r>
      <w:r>
        <w:t>Review open work orders and identify items that are old, repeatedly reopened, safety-related, or lacking completion notes.</w:t>
      </w:r>
    </w:p>
    <w:p>
      <w:pPr>
        <w:spacing w:after="40"/>
        <w:ind w:left="115" w:hanging="29"/>
      </w:pPr>
      <w:r>
        <w:rPr>
          <w:rFonts w:ascii="DejaVu Sans" w:hAnsi="DejaVu Sans"/>
          <w:sz w:val="20"/>
        </w:rPr>
        <w:t xml:space="preserve">☐ </w:t>
      </w:r>
      <w:r>
        <w:t>Confirm work orders show request date, nature of issue, action taken, completion date, and staff/vendor documentation.</w:t>
      </w:r>
    </w:p>
    <w:p>
      <w:pPr>
        <w:spacing w:after="40"/>
        <w:ind w:left="115" w:hanging="29"/>
      </w:pPr>
      <w:r>
        <w:rPr>
          <w:rFonts w:ascii="DejaVu Sans" w:hAnsi="DejaVu Sans"/>
          <w:sz w:val="20"/>
        </w:rPr>
        <w:t xml:space="preserve">☐ </w:t>
      </w:r>
      <w:r>
        <w:t>Review emergency work orders for timely response and resolution.</w:t>
      </w:r>
    </w:p>
    <w:p>
      <w:pPr>
        <w:spacing w:after="40"/>
        <w:ind w:left="115" w:hanging="29"/>
      </w:pPr>
      <w:r>
        <w:rPr>
          <w:rFonts w:ascii="DejaVu Sans" w:hAnsi="DejaVu Sans"/>
          <w:sz w:val="20"/>
        </w:rPr>
        <w:t xml:space="preserve">☐ </w:t>
      </w:r>
      <w:r>
        <w:t>Review preventive maintenance logs for major building systems and life-safety equipment.</w:t>
      </w:r>
    </w:p>
    <w:p>
      <w:pPr>
        <w:spacing w:after="40"/>
        <w:ind w:left="115" w:hanging="29"/>
      </w:pPr>
      <w:r>
        <w:rPr>
          <w:rFonts w:ascii="DejaVu Sans" w:hAnsi="DejaVu Sans"/>
          <w:sz w:val="20"/>
        </w:rPr>
        <w:t xml:space="preserve">☐ </w:t>
      </w:r>
      <w:r>
        <w:t>Confirm inspection and servicing records are available for fire extinguishers, alarms, elevators, boilers, generators, sprinkler systems, and other applicable systems.</w:t>
      </w:r>
    </w:p>
    <w:p>
      <w:pPr>
        <w:spacing w:after="40"/>
        <w:ind w:left="115" w:hanging="29"/>
      </w:pPr>
      <w:r>
        <w:rPr>
          <w:rFonts w:ascii="DejaVu Sans" w:hAnsi="DejaVu Sans"/>
          <w:sz w:val="20"/>
        </w:rPr>
        <w:t xml:space="preserve">☐ </w:t>
      </w:r>
      <w:r>
        <w:t>Review vacancy turnaround records and ensure units are made ready promptly and documented.</w:t>
      </w:r>
    </w:p>
    <w:p>
      <w:pPr>
        <w:spacing w:after="40"/>
        <w:ind w:left="115" w:hanging="29"/>
      </w:pPr>
      <w:r>
        <w:rPr>
          <w:rFonts w:ascii="DejaVu Sans" w:hAnsi="DejaVu Sans"/>
          <w:sz w:val="20"/>
        </w:rPr>
        <w:t xml:space="preserve">☐ </w:t>
      </w:r>
      <w:r>
        <w:t>Review capital-repair projects and outstanding physical-condition concerns; prepare status documentation.</w:t>
      </w:r>
    </w:p>
    <w:p>
      <w:pPr>
        <w:pStyle w:val="Heading1"/>
        <w:keepNext/>
        <w:spacing w:before="160" w:after="60"/>
      </w:pPr>
      <w:r>
        <w:t>11. GENERAL MANAGEMENT PRACTICES</w:t>
      </w:r>
    </w:p>
    <w:p>
      <w:pPr>
        <w:spacing w:after="40"/>
        <w:ind w:left="115" w:hanging="29"/>
      </w:pPr>
      <w:r>
        <w:rPr>
          <w:rFonts w:ascii="DejaVu Sans" w:hAnsi="DejaVu Sans"/>
          <w:sz w:val="20"/>
        </w:rPr>
        <w:t xml:space="preserve">☐ </w:t>
      </w:r>
      <w:r>
        <w:t>Confirm required property licenses, permits, certificates, and insurance documents are current and accessible.</w:t>
      </w:r>
    </w:p>
    <w:p>
      <w:pPr>
        <w:spacing w:after="40"/>
        <w:ind w:left="115" w:hanging="29"/>
      </w:pPr>
      <w:r>
        <w:rPr>
          <w:rFonts w:ascii="DejaVu Sans" w:hAnsi="DejaVu Sans"/>
          <w:sz w:val="20"/>
        </w:rPr>
        <w:t xml:space="preserve">☐ </w:t>
      </w:r>
      <w:r>
        <w:t>Review staffing levels and confirm responsibilities for occupancy, compliance, maintenance, leasing, financial operations, and resident services are clearly assigned.</w:t>
      </w:r>
    </w:p>
    <w:p>
      <w:pPr>
        <w:spacing w:after="40"/>
        <w:ind w:left="115" w:hanging="29"/>
      </w:pPr>
      <w:r>
        <w:rPr>
          <w:rFonts w:ascii="DejaVu Sans" w:hAnsi="DejaVu Sans"/>
          <w:sz w:val="20"/>
        </w:rPr>
        <w:t xml:space="preserve">☐ </w:t>
      </w:r>
      <w:r>
        <w:t>Review employee training records for Fair Housing, EIV/security, VAWA, occupancy/compliance, and other relevant subjects.</w:t>
      </w:r>
    </w:p>
    <w:p>
      <w:pPr>
        <w:spacing w:after="40"/>
        <w:ind w:left="115" w:hanging="29"/>
      </w:pPr>
      <w:r>
        <w:rPr>
          <w:rFonts w:ascii="DejaVu Sans" w:hAnsi="DejaVu Sans"/>
          <w:sz w:val="20"/>
        </w:rPr>
        <w:t xml:space="preserve">☐ </w:t>
      </w:r>
      <w:r>
        <w:t>Review complaint logs and recurring resident concerns for unresolved management issues.</w:t>
      </w:r>
    </w:p>
    <w:p>
      <w:pPr>
        <w:spacing w:after="40"/>
        <w:ind w:left="115" w:hanging="29"/>
      </w:pPr>
      <w:r>
        <w:rPr>
          <w:rFonts w:ascii="DejaVu Sans" w:hAnsi="DejaVu Sans"/>
          <w:sz w:val="20"/>
        </w:rPr>
        <w:t xml:space="preserve">☐ </w:t>
      </w:r>
      <w:r>
        <w:t>Confirm resident files and sensitive records are secured from unauthorized access.</w:t>
      </w:r>
    </w:p>
    <w:p>
      <w:pPr>
        <w:spacing w:after="40"/>
        <w:ind w:left="115" w:hanging="29"/>
      </w:pPr>
      <w:r>
        <w:rPr>
          <w:rFonts w:ascii="DejaVu Sans" w:hAnsi="DejaVu Sans"/>
          <w:sz w:val="20"/>
        </w:rPr>
        <w:t xml:space="preserve">☐ </w:t>
      </w:r>
      <w:r>
        <w:t>Review record-retention and document-destruction practices for compliance with applicable requirements.</w:t>
      </w:r>
    </w:p>
    <w:p>
      <w:pPr>
        <w:spacing w:after="40"/>
        <w:ind w:left="115" w:hanging="29"/>
      </w:pPr>
      <w:r>
        <w:rPr>
          <w:rFonts w:ascii="DejaVu Sans" w:hAnsi="DejaVu Sans"/>
          <w:sz w:val="20"/>
        </w:rPr>
        <w:t xml:space="preserve">☐ </w:t>
      </w:r>
      <w:r>
        <w:t>Confirm property policies are applied consistently and exceptions are supported by written documentation.</w:t>
      </w:r>
    </w:p>
    <w:p>
      <w:pPr>
        <w:pStyle w:val="Heading1"/>
        <w:keepNext/>
        <w:spacing w:before="160" w:after="60"/>
      </w:pPr>
      <w:r>
        <w:t>12. FINANCIAL MANAGEMENT &amp; INTERNAL CONTROLS</w:t>
      </w:r>
    </w:p>
    <w:p>
      <w:pPr>
        <w:spacing w:after="40"/>
        <w:ind w:left="115" w:hanging="29"/>
      </w:pPr>
      <w:r>
        <w:rPr>
          <w:rFonts w:ascii="DejaVu Sans" w:hAnsi="DejaVu Sans"/>
          <w:sz w:val="20"/>
        </w:rPr>
        <w:t xml:space="preserve">☐ </w:t>
      </w:r>
      <w:r>
        <w:t>Prepare requested financial statements, general-ledger reports, bank information, accounts receivable/payable reports, and other financial documentation identified by the reviewer.</w:t>
      </w:r>
    </w:p>
    <w:p>
      <w:pPr>
        <w:spacing w:after="40"/>
        <w:ind w:left="115" w:hanging="29"/>
      </w:pPr>
      <w:r>
        <w:rPr>
          <w:rFonts w:ascii="DejaVu Sans" w:hAnsi="DejaVu Sans"/>
          <w:sz w:val="20"/>
        </w:rPr>
        <w:t xml:space="preserve">☐ </w:t>
      </w:r>
      <w:r>
        <w:t>Review cash controls, rent collection, deposits, write-offs, refunds, and adjustments for adequate documentation and authorization.</w:t>
      </w:r>
    </w:p>
    <w:p>
      <w:pPr>
        <w:spacing w:after="40"/>
        <w:ind w:left="115" w:hanging="29"/>
      </w:pPr>
      <w:r>
        <w:rPr>
          <w:rFonts w:ascii="DejaVu Sans" w:hAnsi="DejaVu Sans"/>
          <w:sz w:val="20"/>
        </w:rPr>
        <w:t xml:space="preserve">☐ </w:t>
      </w:r>
      <w:r>
        <w:t>Confirm separation of duties or compensating controls exists for receiving, posting, depositing, and reconciling funds.</w:t>
      </w:r>
    </w:p>
    <w:p>
      <w:pPr>
        <w:spacing w:after="40"/>
        <w:ind w:left="115" w:hanging="29"/>
      </w:pPr>
      <w:r>
        <w:rPr>
          <w:rFonts w:ascii="DejaVu Sans" w:hAnsi="DejaVu Sans"/>
          <w:sz w:val="20"/>
        </w:rPr>
        <w:t xml:space="preserve">☐ </w:t>
      </w:r>
      <w:r>
        <w:t>Review delinquent tenant accounts and collection procedures.</w:t>
      </w:r>
    </w:p>
    <w:p>
      <w:pPr>
        <w:spacing w:after="40"/>
        <w:ind w:left="115" w:hanging="29"/>
      </w:pPr>
      <w:r>
        <w:rPr>
          <w:rFonts w:ascii="DejaVu Sans" w:hAnsi="DejaVu Sans"/>
          <w:sz w:val="20"/>
        </w:rPr>
        <w:t xml:space="preserve">☐ </w:t>
      </w:r>
      <w:r>
        <w:t>Review owner/management-agent charges and related-party/vendor transactions for appropriate documentation.</w:t>
      </w:r>
    </w:p>
    <w:p>
      <w:pPr>
        <w:spacing w:after="40"/>
        <w:ind w:left="115" w:hanging="29"/>
      </w:pPr>
      <w:r>
        <w:rPr>
          <w:rFonts w:ascii="DejaVu Sans" w:hAnsi="DejaVu Sans"/>
          <w:sz w:val="20"/>
        </w:rPr>
        <w:t xml:space="preserve">☐ </w:t>
      </w:r>
      <w:r>
        <w:t>Review reserve/replacement activity and approvals when applicable.</w:t>
      </w:r>
    </w:p>
    <w:p>
      <w:pPr>
        <w:spacing w:after="40"/>
        <w:ind w:left="115" w:hanging="29"/>
      </w:pPr>
      <w:r>
        <w:rPr>
          <w:rFonts w:ascii="DejaVu Sans" w:hAnsi="DejaVu Sans"/>
          <w:sz w:val="20"/>
        </w:rPr>
        <w:t xml:space="preserve">☐ </w:t>
      </w:r>
      <w:r>
        <w:t>Confirm prior financial-audit findings or questioned costs have been resolved or have a documented corrective-action plan.</w:t>
      </w:r>
    </w:p>
    <w:p>
      <w:pPr>
        <w:pStyle w:val="Heading1"/>
        <w:keepNext/>
        <w:spacing w:before="160" w:after="60"/>
      </w:pPr>
      <w:r>
        <w:t>13. REQUIRED POSTINGS &amp; ON-SITE DOCUMENTS</w:t>
      </w:r>
    </w:p>
    <w:p>
      <w:pPr>
        <w:spacing w:after="40"/>
        <w:ind w:left="115" w:hanging="29"/>
      </w:pPr>
      <w:r>
        <w:rPr>
          <w:rFonts w:ascii="DejaVu Sans" w:hAnsi="DejaVu Sans"/>
          <w:sz w:val="20"/>
        </w:rPr>
        <w:t xml:space="preserve">☐ </w:t>
      </w:r>
      <w:r>
        <w:t>Walk the management office and common areas as if you were the reviewer; verify required HUD, Fair Housing, accessibility, emergency, and property notices are current and appropriately displayed.</w:t>
      </w:r>
    </w:p>
    <w:p>
      <w:pPr>
        <w:spacing w:after="40"/>
        <w:ind w:left="115" w:hanging="29"/>
      </w:pPr>
      <w:r>
        <w:rPr>
          <w:rFonts w:ascii="DejaVu Sans" w:hAnsi="DejaVu Sans"/>
          <w:sz w:val="20"/>
        </w:rPr>
        <w:t xml:space="preserve">☐ </w:t>
      </w:r>
      <w:r>
        <w:t>Confirm office hours, emergency contact information, and reasonable-accommodation information are readily available.</w:t>
      </w:r>
    </w:p>
    <w:p>
      <w:pPr>
        <w:spacing w:after="40"/>
        <w:ind w:left="115" w:hanging="29"/>
      </w:pPr>
      <w:r>
        <w:rPr>
          <w:rFonts w:ascii="DejaVu Sans" w:hAnsi="DejaVu Sans"/>
          <w:sz w:val="20"/>
        </w:rPr>
        <w:t xml:space="preserve">☐ </w:t>
      </w:r>
      <w:r>
        <w:t>Remove obsolete, conflicting, or expired notices that could create confusion.</w:t>
      </w:r>
    </w:p>
    <w:p>
      <w:pPr>
        <w:spacing w:after="40"/>
        <w:ind w:left="115" w:hanging="29"/>
      </w:pPr>
      <w:r>
        <w:rPr>
          <w:rFonts w:ascii="DejaVu Sans" w:hAnsi="DejaVu Sans"/>
          <w:sz w:val="20"/>
        </w:rPr>
        <w:t xml:space="preserve">☐ </w:t>
      </w:r>
      <w:r>
        <w:t>Verify resident-facing forms and notices being distributed by staff are the current versions used by the property.</w:t>
      </w:r>
    </w:p>
    <w:p>
      <w:pPr>
        <w:pStyle w:val="Heading1"/>
        <w:keepNext/>
        <w:spacing w:before="160" w:after="60"/>
      </w:pPr>
      <w:r>
        <w:t>14. STAFF MOR INTERVIEW PREPARATION</w:t>
      </w:r>
    </w:p>
    <w:p>
      <w:pPr>
        <w:spacing w:after="40"/>
        <w:ind w:left="115" w:hanging="29"/>
      </w:pPr>
      <w:r>
        <w:rPr>
          <w:rFonts w:ascii="DejaVu Sans" w:hAnsi="DejaVu Sans"/>
          <w:sz w:val="20"/>
        </w:rPr>
        <w:t xml:space="preserve">☐ </w:t>
      </w:r>
      <w:r>
        <w:t>Brief all staff on the MOR date, expected reviewer activities, document-control process, and who is authorized to respond to compliance questions.</w:t>
      </w:r>
    </w:p>
    <w:p>
      <w:pPr>
        <w:spacing w:after="40"/>
        <w:ind w:left="115" w:hanging="29"/>
      </w:pPr>
      <w:r>
        <w:rPr>
          <w:rFonts w:ascii="DejaVu Sans" w:hAnsi="DejaVu Sans"/>
          <w:sz w:val="20"/>
        </w:rPr>
        <w:t xml:space="preserve">☐ </w:t>
      </w:r>
      <w:r>
        <w:t>Conduct a mock MOR interview with the property manager, occupancy/compliance staff, maintenance supervisor, and other key staff.</w:t>
      </w:r>
    </w:p>
    <w:p>
      <w:pPr>
        <w:spacing w:after="40"/>
        <w:ind w:left="115" w:hanging="29"/>
      </w:pPr>
      <w:r>
        <w:rPr>
          <w:rFonts w:ascii="DejaVu Sans" w:hAnsi="DejaVu Sans"/>
          <w:sz w:val="20"/>
        </w:rPr>
        <w:t xml:space="preserve">☐ </w:t>
      </w:r>
      <w:r>
        <w:t>Ensure staff can explain how applications, waiting lists, move-ins, annual recertifications, interims, EIV, work orders, reasonable accommodations, VAWA matters, complaints, and terminations are handled.</w:t>
      </w:r>
    </w:p>
    <w:p>
      <w:pPr>
        <w:spacing w:after="40"/>
        <w:ind w:left="115" w:hanging="29"/>
      </w:pPr>
      <w:r>
        <w:rPr>
          <w:rFonts w:ascii="DejaVu Sans" w:hAnsi="DejaVu Sans"/>
          <w:sz w:val="20"/>
        </w:rPr>
        <w:t xml:space="preserve">☐ </w:t>
      </w:r>
      <w:r>
        <w:t>Instruct staff to answer questions accurately and concisely and to locate supporting documentation rather than guessing.</w:t>
      </w:r>
    </w:p>
    <w:p>
      <w:pPr>
        <w:spacing w:after="40"/>
        <w:ind w:left="115" w:hanging="29"/>
      </w:pPr>
      <w:r>
        <w:rPr>
          <w:rFonts w:ascii="DejaVu Sans" w:hAnsi="DejaVu Sans"/>
          <w:sz w:val="20"/>
        </w:rPr>
        <w:t xml:space="preserve">☐ </w:t>
      </w:r>
      <w:r>
        <w:t>Designate a primary MOR coordinator and backup coordinator.</w:t>
      </w:r>
    </w:p>
    <w:p>
      <w:pPr>
        <w:spacing w:after="40"/>
        <w:ind w:left="115" w:hanging="29"/>
      </w:pPr>
      <w:r>
        <w:rPr>
          <w:rFonts w:ascii="DejaVu Sans" w:hAnsi="DejaVu Sans"/>
          <w:sz w:val="20"/>
        </w:rPr>
        <w:t xml:space="preserve">☐ </w:t>
      </w:r>
      <w:r>
        <w:t>Prepare a quiet workspace for the reviewer with access to requested files and records while maintaining resident confidentiality.</w:t>
      </w:r>
    </w:p>
    <w:p>
      <w:pPr>
        <w:spacing w:after="40"/>
        <w:ind w:left="115" w:hanging="29"/>
      </w:pPr>
      <w:r>
        <w:rPr>
          <w:rFonts w:ascii="DejaVu Sans" w:hAnsi="DejaVu Sans"/>
          <w:sz w:val="20"/>
        </w:rPr>
        <w:t xml:space="preserve">☐ </w:t>
      </w:r>
      <w:r>
        <w:t>Maintain a written list of reviewer questions, documents requested, files sampled, and potential concerns raised during the review.</w:t>
      </w:r>
    </w:p>
    <w:p>
      <w:pPr>
        <w:pStyle w:val="Heading1"/>
        <w:keepNext/>
        <w:spacing w:before="160" w:after="60"/>
      </w:pPr>
      <w:r>
        <w:t>15. FINAL 7-DAY QUALITY CONTROL REVIEW</w:t>
      </w:r>
    </w:p>
    <w:p>
      <w:pPr>
        <w:spacing w:after="40"/>
        <w:ind w:left="115" w:hanging="29"/>
      </w:pPr>
      <w:r>
        <w:rPr>
          <w:rFonts w:ascii="DejaVu Sans" w:hAnsi="DejaVu Sans"/>
          <w:sz w:val="20"/>
        </w:rPr>
        <w:t xml:space="preserve">☐ </w:t>
      </w:r>
      <w:r>
        <w:t>Re-run the recertification status report and resolve or document every overdue/incomplete certification.</w:t>
      </w:r>
    </w:p>
    <w:p>
      <w:pPr>
        <w:spacing w:after="40"/>
        <w:ind w:left="115" w:hanging="29"/>
      </w:pPr>
      <w:r>
        <w:rPr>
          <w:rFonts w:ascii="DejaVu Sans" w:hAnsi="DejaVu Sans"/>
          <w:sz w:val="20"/>
        </w:rPr>
        <w:t xml:space="preserve">☐ </w:t>
      </w:r>
      <w:r>
        <w:t>Re-run TRACS/error reports and address unresolved submissions or discrepancies.</w:t>
      </w:r>
    </w:p>
    <w:p>
      <w:pPr>
        <w:spacing w:after="40"/>
        <w:ind w:left="115" w:hanging="29"/>
      </w:pPr>
      <w:r>
        <w:rPr>
          <w:rFonts w:ascii="DejaVu Sans" w:hAnsi="DejaVu Sans"/>
          <w:sz w:val="20"/>
        </w:rPr>
        <w:t xml:space="preserve">☐ </w:t>
      </w:r>
      <w:r>
        <w:t>Perform a second quality-control review of the tenant files most likely to be sampled.</w:t>
      </w:r>
    </w:p>
    <w:p>
      <w:pPr>
        <w:spacing w:after="40"/>
        <w:ind w:left="115" w:hanging="29"/>
      </w:pPr>
      <w:r>
        <w:rPr>
          <w:rFonts w:ascii="DejaVu Sans" w:hAnsi="DejaVu Sans"/>
          <w:sz w:val="20"/>
        </w:rPr>
        <w:t xml:space="preserve">☐ </w:t>
      </w:r>
      <w:r>
        <w:t>Verify signatures, dates, effective dates, calculations, notices, and supporting verifications in sampled files.</w:t>
      </w:r>
    </w:p>
    <w:p>
      <w:pPr>
        <w:spacing w:after="40"/>
        <w:ind w:left="115" w:hanging="29"/>
      </w:pPr>
      <w:r>
        <w:rPr>
          <w:rFonts w:ascii="DejaVu Sans" w:hAnsi="DejaVu Sans"/>
          <w:sz w:val="20"/>
        </w:rPr>
        <w:t xml:space="preserve">☐ </w:t>
      </w:r>
      <w:r>
        <w:t>Confirm prior MOR findings have supporting closeout/corrective-action documentation.</w:t>
      </w:r>
    </w:p>
    <w:p>
      <w:pPr>
        <w:spacing w:after="40"/>
        <w:ind w:left="115" w:hanging="29"/>
      </w:pPr>
      <w:r>
        <w:rPr>
          <w:rFonts w:ascii="DejaVu Sans" w:hAnsi="DejaVu Sans"/>
          <w:sz w:val="20"/>
        </w:rPr>
        <w:t xml:space="preserve">☐ </w:t>
      </w:r>
      <w:r>
        <w:t>Verify the waiting list, rejected applicant files, transfer records, and reasonable-accommodation records are organized and retrievable.</w:t>
      </w:r>
    </w:p>
    <w:p>
      <w:pPr>
        <w:spacing w:after="40"/>
        <w:ind w:left="115" w:hanging="29"/>
      </w:pPr>
      <w:r>
        <w:rPr>
          <w:rFonts w:ascii="DejaVu Sans" w:hAnsi="DejaVu Sans"/>
          <w:sz w:val="20"/>
        </w:rPr>
        <w:t xml:space="preserve">☐ </w:t>
      </w:r>
      <w:r>
        <w:t>Complete a final NSPIRE/property walk and immediately correct observable health-and-safety issues.</w:t>
      </w:r>
    </w:p>
    <w:p>
      <w:pPr>
        <w:spacing w:after="40"/>
        <w:ind w:left="115" w:hanging="29"/>
      </w:pPr>
      <w:r>
        <w:rPr>
          <w:rFonts w:ascii="DejaVu Sans" w:hAnsi="DejaVu Sans"/>
          <w:sz w:val="20"/>
        </w:rPr>
        <w:t xml:space="preserve">☐ </w:t>
      </w:r>
      <w:r>
        <w:t>Review open work orders and close completed items with adequate documentation.</w:t>
      </w:r>
    </w:p>
    <w:p>
      <w:pPr>
        <w:spacing w:after="40"/>
        <w:ind w:left="115" w:hanging="29"/>
      </w:pPr>
      <w:r>
        <w:rPr>
          <w:rFonts w:ascii="DejaVu Sans" w:hAnsi="DejaVu Sans"/>
          <w:sz w:val="20"/>
        </w:rPr>
        <w:t xml:space="preserve">☐ </w:t>
      </w:r>
      <w:r>
        <w:t>Verify all requested management, financial, occupancy, and maintenance documents are assembled.</w:t>
      </w:r>
    </w:p>
    <w:p>
      <w:pPr>
        <w:spacing w:after="40"/>
        <w:ind w:left="115" w:hanging="29"/>
      </w:pPr>
      <w:r>
        <w:rPr>
          <w:rFonts w:ascii="DejaVu Sans" w:hAnsi="DejaVu Sans"/>
          <w:sz w:val="20"/>
        </w:rPr>
        <w:t xml:space="preserve">☐ </w:t>
      </w:r>
      <w:r>
        <w:t>Confirm staff schedules and MOR-day responsibilities.</w:t>
      </w:r>
    </w:p>
    <w:p>
      <w:pPr>
        <w:spacing w:after="40"/>
        <w:ind w:left="115" w:hanging="29"/>
      </w:pPr>
      <w:r>
        <w:rPr>
          <w:rFonts w:ascii="DejaVu Sans" w:hAnsi="DejaVu Sans"/>
          <w:sz w:val="20"/>
        </w:rPr>
        <w:t xml:space="preserve">☐ </w:t>
      </w:r>
      <w:r>
        <w:t>Back up electronic reports and save a read-only MOR preparation copy of key reports used for the review.</w:t>
      </w:r>
    </w:p>
    <w:p>
      <w:pPr>
        <w:pStyle w:val="Heading1"/>
        <w:keepNext/>
        <w:spacing w:before="160" w:after="60"/>
      </w:pPr>
      <w:r>
        <w:t>16. MOR DAY — DOCUMENT CONTROL</w:t>
      </w:r>
    </w:p>
    <w:p>
      <w:pPr>
        <w:spacing w:after="40"/>
        <w:ind w:left="115" w:hanging="29"/>
      </w:pPr>
      <w:r>
        <w:rPr>
          <w:rFonts w:ascii="DejaVu Sans" w:hAnsi="DejaVu Sans"/>
          <w:sz w:val="20"/>
        </w:rPr>
        <w:t xml:space="preserve">☐ </w:t>
      </w:r>
      <w:r>
        <w:t>Log each file, report, policy, or record provided to the reviewer.</w:t>
      </w:r>
    </w:p>
    <w:p>
      <w:pPr>
        <w:spacing w:after="40"/>
        <w:ind w:left="115" w:hanging="29"/>
      </w:pPr>
      <w:r>
        <w:rPr>
          <w:rFonts w:ascii="DejaVu Sans" w:hAnsi="DejaVu Sans"/>
          <w:sz w:val="20"/>
        </w:rPr>
        <w:t xml:space="preserve">☐ </w:t>
      </w:r>
      <w:r>
        <w:t>Keep copies of any supplemental documents created or provided during the review.</w:t>
      </w:r>
    </w:p>
    <w:p>
      <w:pPr>
        <w:spacing w:after="40"/>
        <w:ind w:left="115" w:hanging="29"/>
      </w:pPr>
      <w:r>
        <w:rPr>
          <w:rFonts w:ascii="DejaVu Sans" w:hAnsi="DejaVu Sans"/>
          <w:sz w:val="20"/>
        </w:rPr>
        <w:t xml:space="preserve">☐ </w:t>
      </w:r>
      <w:r>
        <w:t>Record the tenant files and units selected for sampling.</w:t>
      </w:r>
    </w:p>
    <w:p>
      <w:pPr>
        <w:spacing w:after="40"/>
        <w:ind w:left="115" w:hanging="29"/>
      </w:pPr>
      <w:r>
        <w:rPr>
          <w:rFonts w:ascii="DejaVu Sans" w:hAnsi="DejaVu Sans"/>
          <w:sz w:val="20"/>
        </w:rPr>
        <w:t xml:space="preserve">☐ </w:t>
      </w:r>
      <w:r>
        <w:t>Document questions requiring follow-up and assign an owner and due date.</w:t>
      </w:r>
    </w:p>
    <w:p>
      <w:pPr>
        <w:spacing w:after="40"/>
        <w:ind w:left="115" w:hanging="29"/>
      </w:pPr>
      <w:r>
        <w:rPr>
          <w:rFonts w:ascii="DejaVu Sans" w:hAnsi="DejaVu Sans"/>
          <w:sz w:val="20"/>
        </w:rPr>
        <w:t xml:space="preserve">☐ </w:t>
      </w:r>
      <w:r>
        <w:t>Correct simple administrative issues promptly when appropriate, but preserve an audit trail and do not alter historical records improperly.</w:t>
      </w:r>
    </w:p>
    <w:p>
      <w:pPr>
        <w:spacing w:after="40"/>
        <w:ind w:left="115" w:hanging="29"/>
      </w:pPr>
      <w:r>
        <w:rPr>
          <w:rFonts w:ascii="DejaVu Sans" w:hAnsi="DejaVu Sans"/>
          <w:sz w:val="20"/>
        </w:rPr>
        <w:t xml:space="preserve">☐ </w:t>
      </w:r>
      <w:r>
        <w:t>At the exit conference, take detailed notes regarding preliminary findings, observations, concerns, and requested follow-up.</w:t>
      </w:r>
    </w:p>
    <w:p>
      <w:pPr>
        <w:spacing w:after="40"/>
        <w:ind w:left="115" w:hanging="29"/>
      </w:pPr>
      <w:r>
        <w:rPr>
          <w:rFonts w:ascii="DejaVu Sans" w:hAnsi="DejaVu Sans"/>
          <w:sz w:val="20"/>
        </w:rPr>
        <w:t xml:space="preserve">☐ </w:t>
      </w:r>
      <w:r>
        <w:t>Before the reviewer leaves, confirm any outstanding document requests and the expected process for post-review submissions.</w:t>
      </w:r>
    </w:p>
    <w:p>
      <w:pPr>
        <w:pStyle w:val="Heading1"/>
        <w:keepNext/>
        <w:spacing w:before="160" w:after="60"/>
      </w:pPr>
      <w:r>
        <w:t>17. POST-MOR FOLLOW-UP</w:t>
      </w:r>
    </w:p>
    <w:p>
      <w:pPr>
        <w:spacing w:after="40"/>
        <w:ind w:left="115" w:hanging="29"/>
      </w:pPr>
      <w:r>
        <w:rPr>
          <w:rFonts w:ascii="DejaVu Sans" w:hAnsi="DejaVu Sans"/>
          <w:sz w:val="20"/>
        </w:rPr>
        <w:t xml:space="preserve">☐ </w:t>
      </w:r>
      <w:r>
        <w:t>Create a findings tracker immediately after the review, even before the formal report is received.</w:t>
      </w:r>
    </w:p>
    <w:p>
      <w:pPr>
        <w:spacing w:after="40"/>
        <w:ind w:left="115" w:hanging="29"/>
      </w:pPr>
      <w:r>
        <w:rPr>
          <w:rFonts w:ascii="DejaVu Sans" w:hAnsi="DejaVu Sans"/>
          <w:sz w:val="20"/>
        </w:rPr>
        <w:t xml:space="preserve">☐ </w:t>
      </w:r>
      <w:r>
        <w:t>Assign each potential finding/observation to a responsible staff member and target completion date.</w:t>
      </w:r>
    </w:p>
    <w:p>
      <w:pPr>
        <w:spacing w:after="40"/>
        <w:ind w:left="115" w:hanging="29"/>
      </w:pPr>
      <w:r>
        <w:rPr>
          <w:rFonts w:ascii="DejaVu Sans" w:hAnsi="DejaVu Sans"/>
          <w:sz w:val="20"/>
        </w:rPr>
        <w:t xml:space="preserve">☐ </w:t>
      </w:r>
      <w:r>
        <w:t>Preserve supporting documentation showing when and how each correction was completed.</w:t>
      </w:r>
    </w:p>
    <w:p>
      <w:pPr>
        <w:spacing w:after="40"/>
        <w:ind w:left="115" w:hanging="29"/>
      </w:pPr>
      <w:r>
        <w:rPr>
          <w:rFonts w:ascii="DejaVu Sans" w:hAnsi="DejaVu Sans"/>
          <w:sz w:val="20"/>
        </w:rPr>
        <w:t xml:space="preserve">☐ </w:t>
      </w:r>
      <w:r>
        <w:t>Review the formal MOR report carefully and distinguish findings, observations, corrective actions, and response deadlines.</w:t>
      </w:r>
    </w:p>
    <w:p>
      <w:pPr>
        <w:spacing w:after="40"/>
        <w:ind w:left="115" w:hanging="29"/>
      </w:pPr>
      <w:r>
        <w:rPr>
          <w:rFonts w:ascii="DejaVu Sans" w:hAnsi="DejaVu Sans"/>
          <w:sz w:val="20"/>
        </w:rPr>
        <w:t xml:space="preserve">☐ </w:t>
      </w:r>
      <w:r>
        <w:t>Prepare a clear written response supported by documentation for each required corrective action.</w:t>
      </w:r>
    </w:p>
    <w:p>
      <w:pPr>
        <w:spacing w:after="40"/>
        <w:ind w:left="115" w:hanging="29"/>
      </w:pPr>
      <w:r>
        <w:rPr>
          <w:rFonts w:ascii="DejaVu Sans" w:hAnsi="DejaVu Sans"/>
          <w:sz w:val="20"/>
        </w:rPr>
        <w:t xml:space="preserve">☐ </w:t>
      </w:r>
      <w:r>
        <w:t>Use MOR results to update policies, training, file-audit procedures, and internal quality-control practices so the same issue does not recur.</w:t>
      </w:r>
    </w:p>
    <w:p>
      <w:pPr>
        <w:pStyle w:val="Heading1"/>
        <w:keepNext/>
        <w:spacing w:before="160" w:after="60"/>
      </w:pPr>
      <w:r>
        <w:t>MOR READINESS SIGN-OFF</w:t>
      </w:r>
    </w:p>
    <w:p>
      <w:pPr>
        <w:spacing w:after="40"/>
        <w:ind w:left="115" w:hanging="29"/>
      </w:pPr>
      <w:r>
        <w:rPr>
          <w:rFonts w:ascii="DejaVu Sans" w:hAnsi="DejaVu Sans"/>
          <w:sz w:val="20"/>
        </w:rPr>
        <w:t xml:space="preserve">☐ </w:t>
      </w:r>
      <w:r>
        <w:t>All requested MOR documents have been assembled and quality-checked.</w:t>
      </w:r>
    </w:p>
    <w:p>
      <w:pPr>
        <w:spacing w:after="40"/>
        <w:ind w:left="115" w:hanging="29"/>
      </w:pPr>
      <w:r>
        <w:rPr>
          <w:rFonts w:ascii="DejaVu Sans" w:hAnsi="DejaVu Sans"/>
          <w:sz w:val="20"/>
        </w:rPr>
        <w:t xml:space="preserve">☐ </w:t>
      </w:r>
      <w:r>
        <w:t>Internal tenant-file audit is complete and identified corrections have been addressed or documented.</w:t>
      </w:r>
    </w:p>
    <w:p>
      <w:pPr>
        <w:spacing w:after="40"/>
        <w:ind w:left="115" w:hanging="29"/>
      </w:pPr>
      <w:r>
        <w:rPr>
          <w:rFonts w:ascii="DejaVu Sans" w:hAnsi="DejaVu Sans"/>
          <w:sz w:val="20"/>
        </w:rPr>
        <w:t xml:space="preserve">☐ </w:t>
      </w:r>
      <w:r>
        <w:t>Waiting list and applicant records have been reviewed.</w:t>
      </w:r>
    </w:p>
    <w:p>
      <w:pPr>
        <w:spacing w:after="40"/>
        <w:ind w:left="115" w:hanging="29"/>
      </w:pPr>
      <w:r>
        <w:rPr>
          <w:rFonts w:ascii="DejaVu Sans" w:hAnsi="DejaVu Sans"/>
          <w:sz w:val="20"/>
        </w:rPr>
        <w:t xml:space="preserve">☐ </w:t>
      </w:r>
      <w:r>
        <w:t>EIV/TRACS/HAP reconciliation has been reviewed.</w:t>
      </w:r>
    </w:p>
    <w:p>
      <w:pPr>
        <w:spacing w:after="40"/>
        <w:ind w:left="115" w:hanging="29"/>
      </w:pPr>
      <w:r>
        <w:rPr>
          <w:rFonts w:ascii="DejaVu Sans" w:hAnsi="DejaVu Sans"/>
          <w:sz w:val="20"/>
        </w:rPr>
        <w:t xml:space="preserve">☐ </w:t>
      </w:r>
      <w:r>
        <w:t>Physical-condition/NSPIRE pre-inspection has been completed.</w:t>
      </w:r>
    </w:p>
    <w:p>
      <w:pPr>
        <w:spacing w:after="40"/>
        <w:ind w:left="115" w:hanging="29"/>
      </w:pPr>
      <w:r>
        <w:rPr>
          <w:rFonts w:ascii="DejaVu Sans" w:hAnsi="DejaVu Sans"/>
          <w:sz w:val="20"/>
        </w:rPr>
        <w:t xml:space="preserve">☐ </w:t>
      </w:r>
      <w:r>
        <w:t>Prior MOR/audit findings have been reviewed for closure.</w:t>
      </w:r>
    </w:p>
    <w:p>
      <w:pPr>
        <w:spacing w:after="40"/>
        <w:ind w:left="115" w:hanging="29"/>
      </w:pPr>
      <w:r>
        <w:rPr>
          <w:rFonts w:ascii="DejaVu Sans" w:hAnsi="DejaVu Sans"/>
          <w:sz w:val="20"/>
        </w:rPr>
        <w:t xml:space="preserve">☐ </w:t>
      </w:r>
      <w:r>
        <w:t>Staff have completed MOR preparation briefing/mock interview.</w:t>
      </w:r>
    </w:p>
    <w:tbl>
      <w:tblPr>
        <w:tblStyle w:val="TableGrid"/>
        <w:tblW w:type="auto" w:w="0"/>
        <w:tblLook w:firstColumn="1" w:firstRow="1" w:lastColumn="0" w:lastRow="0" w:noHBand="0" w:noVBand="1" w:val="04A0"/>
      </w:tblPr>
      <w:tblGrid>
        <w:gridCol w:w="5184"/>
        <w:gridCol w:w="5184"/>
      </w:tblGrid>
      <w:tr>
        <w:tc>
          <w:tcPr>
            <w:tcW w:type="dxa" w:w="5184"/>
          </w:tcPr>
          <w:p>
            <w:r>
              <w:rPr>
                <w:b/>
                <w:sz w:val="18"/>
              </w:rPr>
              <w:t>Prepared By:</w:t>
              <w:br/>
              <w:br/>
            </w:r>
          </w:p>
        </w:tc>
        <w:tc>
          <w:tcPr>
            <w:tcW w:type="dxa" w:w="5184"/>
          </w:tcPr>
          <w:p>
            <w:r>
              <w:rPr>
                <w:b/>
                <w:sz w:val="18"/>
              </w:rPr>
              <w:t>Date:</w:t>
              <w:br/>
              <w:br/>
            </w:r>
          </w:p>
        </w:tc>
      </w:tr>
      <w:tr>
        <w:tc>
          <w:tcPr>
            <w:tcW w:type="dxa" w:w="5184"/>
          </w:tcPr>
          <w:p>
            <w:r>
              <w:rPr>
                <w:b/>
                <w:sz w:val="18"/>
              </w:rPr>
              <w:t>Reviewed By:</w:t>
              <w:br/>
              <w:br/>
            </w:r>
          </w:p>
        </w:tc>
        <w:tc>
          <w:tcPr>
            <w:tcW w:type="dxa" w:w="5184"/>
          </w:tcPr>
          <w:p>
            <w:r>
              <w:rPr>
                <w:b/>
                <w:sz w:val="18"/>
              </w:rPr>
              <w:t>Date:</w:t>
              <w:br/>
              <w:br/>
            </w:r>
          </w:p>
        </w:tc>
      </w:tr>
      <w:tr>
        <w:tc>
          <w:tcPr>
            <w:tcW w:type="dxa" w:w="5184"/>
          </w:tcPr>
          <w:p>
            <w:r>
              <w:rPr>
                <w:b/>
                <w:sz w:val="18"/>
              </w:rPr>
              <w:t>Property Manager Approval:</w:t>
              <w:br/>
              <w:br/>
            </w:r>
          </w:p>
        </w:tc>
        <w:tc>
          <w:tcPr>
            <w:tcW w:type="dxa" w:w="5184"/>
          </w:tcPr>
          <w:p>
            <w:r>
              <w:rPr>
                <w:b/>
                <w:sz w:val="18"/>
              </w:rPr>
              <w:t>Date:</w:t>
              <w:br/>
              <w:br/>
            </w:r>
          </w:p>
        </w:tc>
      </w:tr>
      <w:tr>
        <w:tc>
          <w:tcPr>
            <w:tcW w:type="dxa" w:w="5184"/>
          </w:tcPr>
          <w:p>
            <w:r>
              <w:rPr>
                <w:b/>
                <w:sz w:val="18"/>
              </w:rPr>
              <w:t>Owner/Regional Approval:</w:t>
              <w:br/>
              <w:br/>
            </w:r>
          </w:p>
        </w:tc>
        <w:tc>
          <w:tcPr>
            <w:tcW w:type="dxa" w:w="5184"/>
          </w:tcPr>
          <w:p>
            <w:r>
              <w:rPr>
                <w:b/>
                <w:sz w:val="18"/>
              </w:rPr>
              <w:t>Date:</w:t>
              <w:br/>
              <w:br/>
            </w:r>
          </w:p>
        </w:tc>
      </w:tr>
    </w:tbl>
    <w:p/>
    <w:p>
      <w:pPr>
        <w:jc w:val="center"/>
      </w:pPr>
      <w:r>
        <w:rPr>
          <w:b/>
          <w:sz w:val="20"/>
        </w:rPr>
        <w:t>Published by Housing Consultants of America</w:t>
      </w:r>
    </w:p>
    <w:p>
      <w:pPr>
        <w:jc w:val="center"/>
      </w:pPr>
      <w:r>
        <w:rPr>
          <w:sz w:val="18"/>
        </w:rPr>
        <w:t>Affordable Housing Compliance • File Audits • MOR Preparation • Remote &amp; Onsite Support</w:t>
      </w:r>
    </w:p>
    <w:sectPr w:rsidR="00FC693F" w:rsidRPr="0006063C" w:rsidSect="00034616">
      <w:headerReference w:type="default" r:id="rId9"/>
      <w:footerReference w:type="default" r:id="rId10"/>
      <w:pgSz w:w="12240" w:h="15840"/>
      <w:pgMar w:top="792"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sz w:val="18"/>
      </w:rPr>
      <w:t>www.housingconsultantsofamerica.com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sz w:val="18"/>
      </w:rPr>
      <w:t>HOUSING CONSULTANTS OF AMERICA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