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77FD905" w14:textId="4B0B381F" w:rsidR="005B5878" w:rsidRPr="00FC3014" w:rsidRDefault="00695F43" w:rsidP="00695F43">
      <w:pPr>
        <w:spacing w:after="0"/>
        <w:rPr>
          <w:rFonts w:asciiTheme="majorHAnsi" w:eastAsia="Calibri" w:hAnsiTheme="majorHAnsi" w:cstheme="majorHAnsi"/>
          <w:b/>
          <w:bCs/>
          <w:i/>
          <w:iCs/>
          <w:sz w:val="40"/>
          <w:szCs w:val="40"/>
        </w:rPr>
      </w:pPr>
      <w:r w:rsidRPr="00FC3014">
        <w:rPr>
          <w:rFonts w:asciiTheme="majorHAnsi" w:eastAsia="Calibri" w:hAnsiTheme="majorHAnsi" w:cstheme="majorHAnsi"/>
          <w:b/>
          <w:bCs/>
          <w:i/>
          <w:iCs/>
          <w:sz w:val="40"/>
          <w:szCs w:val="40"/>
        </w:rPr>
        <w:t>The Future of Careers Policy: Progress and Priorities</w:t>
      </w:r>
    </w:p>
    <w:p w14:paraId="21CD0751" w14:textId="1E42A790" w:rsidR="00BA6F85" w:rsidRPr="00FC3014" w:rsidRDefault="005B5878" w:rsidP="00FC3014">
      <w:pPr>
        <w:spacing w:after="160" w:line="259" w:lineRule="auto"/>
        <w:rPr>
          <w:rFonts w:asciiTheme="majorHAnsi" w:eastAsia="Calibri" w:hAnsiTheme="majorHAnsi" w:cstheme="majorHAnsi"/>
          <w:i/>
          <w:iCs/>
          <w:color w:val="404040"/>
          <w:lang w:eastAsia="en-US"/>
        </w:rPr>
      </w:pPr>
      <w:r w:rsidRPr="00FC3014">
        <w:rPr>
          <w:rFonts w:asciiTheme="majorHAnsi" w:eastAsia="Calibri" w:hAnsiTheme="majorHAnsi" w:cstheme="majorHAnsi"/>
          <w:i/>
          <w:iCs/>
          <w:color w:val="404040"/>
          <w:lang w:eastAsia="en-US"/>
        </w:rPr>
        <w:t>All-Party Parliamentary Group for Skills, Careers and Employment</w:t>
      </w:r>
      <w:r w:rsidR="00FC3014">
        <w:rPr>
          <w:rFonts w:asciiTheme="majorHAnsi" w:eastAsia="Calibri" w:hAnsiTheme="majorHAnsi" w:cstheme="majorHAnsi"/>
          <w:i/>
          <w:iCs/>
          <w:color w:val="404040"/>
          <w:lang w:eastAsia="en-US"/>
        </w:rPr>
        <w:t xml:space="preserve"> </w:t>
      </w:r>
      <w:r w:rsidR="001103F7" w:rsidRPr="001103F7">
        <w:rPr>
          <w:rFonts w:asciiTheme="majorHAnsi" w:eastAsia="Calibri" w:hAnsiTheme="majorHAnsi" w:cstheme="majorHAnsi"/>
          <w:color w:val="404040"/>
          <w:lang w:eastAsia="en-US"/>
        </w:rPr>
        <w:t>|</w:t>
      </w:r>
      <w:r w:rsidR="001103F7">
        <w:rPr>
          <w:rFonts w:asciiTheme="majorHAnsi" w:eastAsia="Calibri" w:hAnsiTheme="majorHAnsi" w:cstheme="majorHAnsi"/>
          <w:i/>
          <w:iCs/>
          <w:color w:val="404040"/>
          <w:lang w:eastAsia="en-US"/>
        </w:rPr>
        <w:t xml:space="preserve"> </w:t>
      </w:r>
      <w:r w:rsidR="00BA6F85" w:rsidRPr="00FC3014">
        <w:rPr>
          <w:rFonts w:asciiTheme="majorHAnsi" w:eastAsia="Aptos" w:hAnsiTheme="majorHAnsi" w:cstheme="majorHAnsi"/>
          <w:color w:val="auto"/>
        </w:rPr>
        <w:t>25</w:t>
      </w:r>
      <w:r w:rsidR="0068032C" w:rsidRPr="00FC3014">
        <w:rPr>
          <w:rFonts w:asciiTheme="majorHAnsi" w:eastAsia="Aptos" w:hAnsiTheme="majorHAnsi" w:cstheme="majorHAnsi"/>
          <w:color w:val="auto"/>
        </w:rPr>
        <w:t>.1</w:t>
      </w:r>
      <w:r w:rsidR="00BA6F85" w:rsidRPr="00FC3014">
        <w:rPr>
          <w:rFonts w:asciiTheme="majorHAnsi" w:eastAsia="Aptos" w:hAnsiTheme="majorHAnsi" w:cstheme="majorHAnsi"/>
          <w:color w:val="auto"/>
        </w:rPr>
        <w:t>1</w:t>
      </w:r>
      <w:r w:rsidR="0068032C" w:rsidRPr="00FC3014">
        <w:rPr>
          <w:rFonts w:asciiTheme="majorHAnsi" w:eastAsia="Aptos" w:hAnsiTheme="majorHAnsi" w:cstheme="majorHAnsi"/>
          <w:color w:val="auto"/>
        </w:rPr>
        <w:t>.2025</w:t>
      </w:r>
      <w:r w:rsidR="000F17A3" w:rsidRPr="00FC3014">
        <w:rPr>
          <w:rFonts w:asciiTheme="majorHAnsi" w:eastAsia="Aptos" w:hAnsiTheme="majorHAnsi" w:cstheme="majorHAnsi"/>
          <w:color w:val="auto"/>
        </w:rPr>
        <w:t xml:space="preserve"> </w:t>
      </w:r>
    </w:p>
    <w:p w14:paraId="7891E226" w14:textId="0203F58B" w:rsidR="00FC3014" w:rsidRPr="00FC3014" w:rsidRDefault="00FC3014" w:rsidP="00F82E73">
      <w:pPr>
        <w:pBdr>
          <w:bottom w:val="single" w:sz="4" w:space="1" w:color="auto"/>
        </w:pBdr>
        <w:rPr>
          <w:rFonts w:asciiTheme="majorHAnsi" w:hAnsiTheme="majorHAnsi" w:cstheme="majorHAnsi"/>
        </w:rPr>
      </w:pPr>
      <w:r w:rsidRPr="00FC3014">
        <w:rPr>
          <w:rFonts w:asciiTheme="majorHAnsi" w:hAnsiTheme="majorHAnsi" w:cstheme="majorHAnsi"/>
        </w:rPr>
        <w:t>Prepared by Alyson Hwang, Policy Connect (</w:t>
      </w:r>
      <w:hyperlink r:id="rId11" w:history="1">
        <w:r w:rsidRPr="00FC3014">
          <w:rPr>
            <w:rStyle w:val="Hyperlink"/>
            <w:rFonts w:asciiTheme="majorHAnsi" w:hAnsiTheme="majorHAnsi" w:cstheme="majorHAnsi"/>
          </w:rPr>
          <w:t>Alyson.hwang@policyconnect.org.uk</w:t>
        </w:r>
      </w:hyperlink>
      <w:r w:rsidRPr="00FC3014">
        <w:rPr>
          <w:rFonts w:asciiTheme="majorHAnsi" w:hAnsiTheme="majorHAnsi" w:cstheme="majorHAnsi"/>
        </w:rPr>
        <w:t xml:space="preserve">), </w:t>
      </w:r>
      <w:proofErr w:type="gramStart"/>
      <w:r w:rsidRPr="00FC3014">
        <w:rPr>
          <w:rFonts w:asciiTheme="majorHAnsi" w:hAnsiTheme="majorHAnsi" w:cstheme="majorHAnsi"/>
        </w:rPr>
        <w:t>Secretariat</w:t>
      </w:r>
      <w:proofErr w:type="gramEnd"/>
    </w:p>
    <w:p w14:paraId="51D81D3F" w14:textId="77777777" w:rsidR="00B109DC" w:rsidRPr="00154AD6" w:rsidRDefault="00B109DC" w:rsidP="00F82E73">
      <w:pPr>
        <w:pStyle w:val="Heading4"/>
        <w:spacing w:before="120" w:after="120"/>
      </w:pPr>
      <w:r w:rsidRPr="00154AD6">
        <w:t>EXECUTIVE SUMMARY</w:t>
      </w:r>
    </w:p>
    <w:p w14:paraId="749BBA1F" w14:textId="6910BBA7" w:rsidR="00F82E73" w:rsidRPr="00B109DC" w:rsidRDefault="00B109DC" w:rsidP="00B109DC">
      <w:pPr>
        <w:rPr>
          <w:rFonts w:asciiTheme="majorHAnsi" w:eastAsia="Aptos" w:hAnsiTheme="majorHAnsi" w:cstheme="majorHAnsi"/>
        </w:rPr>
      </w:pPr>
      <w:r w:rsidRPr="00B109DC">
        <w:rPr>
          <w:rFonts w:asciiTheme="majorHAnsi" w:eastAsia="Aptos" w:hAnsiTheme="majorHAnsi" w:cstheme="majorHAnsi"/>
        </w:rPr>
        <w:t xml:space="preserve">A major careers policy symposium convened by the APPG for Skills, Careers and Employment </w:t>
      </w:r>
      <w:r w:rsidR="00DA355A">
        <w:rPr>
          <w:rFonts w:asciiTheme="majorHAnsi" w:eastAsia="Aptos" w:hAnsiTheme="majorHAnsi" w:cstheme="majorHAnsi"/>
        </w:rPr>
        <w:t xml:space="preserve">with the support of the Career Development Policy Group (CDPG) </w:t>
      </w:r>
      <w:r w:rsidRPr="00B109DC">
        <w:rPr>
          <w:rFonts w:asciiTheme="majorHAnsi" w:eastAsia="Aptos" w:hAnsiTheme="majorHAnsi" w:cstheme="majorHAnsi"/>
        </w:rPr>
        <w:t xml:space="preserve">explored progress, challenges, and priorities for careers guidance in England. Chaired by Darren </w:t>
      </w:r>
      <w:r w:rsidR="001B5007">
        <w:rPr>
          <w:rFonts w:asciiTheme="majorHAnsi" w:eastAsia="Aptos" w:hAnsiTheme="majorHAnsi" w:cstheme="majorHAnsi"/>
        </w:rPr>
        <w:t>Paffey</w:t>
      </w:r>
      <w:r w:rsidRPr="00B109DC">
        <w:rPr>
          <w:rFonts w:asciiTheme="majorHAnsi" w:eastAsia="Aptos" w:hAnsiTheme="majorHAnsi" w:cstheme="majorHAnsi"/>
        </w:rPr>
        <w:t xml:space="preserve"> MP</w:t>
      </w:r>
      <w:r w:rsidR="001B5007">
        <w:rPr>
          <w:rFonts w:asciiTheme="majorHAnsi" w:eastAsia="Aptos" w:hAnsiTheme="majorHAnsi" w:cstheme="majorHAnsi"/>
        </w:rPr>
        <w:t xml:space="preserve"> with remarks from Baroness Sue Garden of Frognal</w:t>
      </w:r>
      <w:r w:rsidRPr="00B109DC">
        <w:rPr>
          <w:rFonts w:asciiTheme="majorHAnsi" w:eastAsia="Aptos" w:hAnsiTheme="majorHAnsi" w:cstheme="majorHAnsi"/>
        </w:rPr>
        <w:t>, the event brought together government officials, careers professionals, employers, educators, and young people to assess policy developments under the Labour government and identify gaps in service delivery. Key findings highlight significant opportunities for systemic reform alongside persistent structural barriers to implementation.</w:t>
      </w:r>
    </w:p>
    <w:p w14:paraId="0A1A8DF3" w14:textId="77777777" w:rsidR="00B109DC" w:rsidRPr="00154AD6" w:rsidRDefault="00B109DC" w:rsidP="00F82E73">
      <w:pPr>
        <w:pStyle w:val="Heading4"/>
        <w:spacing w:before="120" w:after="120"/>
      </w:pPr>
      <w:r w:rsidRPr="00154AD6">
        <w:t>KEY POLICY LANDSCAPE DEVELOPMENTS</w:t>
      </w:r>
    </w:p>
    <w:p w14:paraId="37C451E2" w14:textId="61AE9CDB" w:rsidR="00B109DC" w:rsidRPr="00B109DC" w:rsidRDefault="00B109DC" w:rsidP="00B109DC">
      <w:pPr>
        <w:rPr>
          <w:rFonts w:asciiTheme="majorHAnsi" w:eastAsia="Aptos" w:hAnsiTheme="majorHAnsi" w:cstheme="majorHAnsi"/>
        </w:rPr>
      </w:pPr>
      <w:r w:rsidRPr="00B109DC">
        <w:rPr>
          <w:rFonts w:asciiTheme="majorHAnsi" w:eastAsia="Aptos" w:hAnsiTheme="majorHAnsi" w:cstheme="majorHAnsi"/>
        </w:rPr>
        <w:t>The government has committed to substantial career support reforms. Cla</w:t>
      </w:r>
      <w:r w:rsidR="001B5007">
        <w:rPr>
          <w:rFonts w:asciiTheme="majorHAnsi" w:eastAsia="Aptos" w:hAnsiTheme="majorHAnsi" w:cstheme="majorHAnsi"/>
        </w:rPr>
        <w:t xml:space="preserve">re Viney </w:t>
      </w:r>
      <w:r w:rsidRPr="00B109DC">
        <w:rPr>
          <w:rFonts w:asciiTheme="majorHAnsi" w:eastAsia="Aptos" w:hAnsiTheme="majorHAnsi" w:cstheme="majorHAnsi"/>
        </w:rPr>
        <w:t xml:space="preserve">from the </w:t>
      </w:r>
      <w:r w:rsidR="00DA355A">
        <w:rPr>
          <w:rFonts w:asciiTheme="majorHAnsi" w:eastAsia="Aptos" w:hAnsiTheme="majorHAnsi" w:cstheme="majorHAnsi"/>
        </w:rPr>
        <w:t>CDPG</w:t>
      </w:r>
      <w:r w:rsidRPr="00B109DC">
        <w:rPr>
          <w:rFonts w:asciiTheme="majorHAnsi" w:eastAsia="Aptos" w:hAnsiTheme="majorHAnsi" w:cstheme="majorHAnsi"/>
        </w:rPr>
        <w:t xml:space="preserve"> outlined that promised initiatives include 1,000 new careers advis</w:t>
      </w:r>
      <w:r w:rsidR="00DA355A">
        <w:rPr>
          <w:rFonts w:asciiTheme="majorHAnsi" w:eastAsia="Aptos" w:hAnsiTheme="majorHAnsi" w:cstheme="majorHAnsi"/>
        </w:rPr>
        <w:t>e</w:t>
      </w:r>
      <w:r w:rsidRPr="00B109DC">
        <w:rPr>
          <w:rFonts w:asciiTheme="majorHAnsi" w:eastAsia="Aptos" w:hAnsiTheme="majorHAnsi" w:cstheme="majorHAnsi"/>
        </w:rPr>
        <w:t>rs, £85 million in dedicated funding, a two-week work experience guarantee for all young people, and improved careers advice in schools and colleges. However, she noted that these specific policies have yet</w:t>
      </w:r>
      <w:r w:rsidR="00DA355A">
        <w:rPr>
          <w:rFonts w:asciiTheme="majorHAnsi" w:eastAsia="Aptos" w:hAnsiTheme="majorHAnsi" w:cstheme="majorHAnsi"/>
        </w:rPr>
        <w:t xml:space="preserve"> to</w:t>
      </w:r>
      <w:r w:rsidRPr="00B109DC">
        <w:rPr>
          <w:rFonts w:asciiTheme="majorHAnsi" w:eastAsia="Aptos" w:hAnsiTheme="majorHAnsi" w:cstheme="majorHAnsi"/>
        </w:rPr>
        <w:t xml:space="preserve"> material</w:t>
      </w:r>
      <w:r w:rsidR="001B5007">
        <w:rPr>
          <w:rFonts w:asciiTheme="majorHAnsi" w:eastAsia="Aptos" w:hAnsiTheme="majorHAnsi" w:cstheme="majorHAnsi"/>
        </w:rPr>
        <w:t>is</w:t>
      </w:r>
      <w:r w:rsidRPr="00B109DC">
        <w:rPr>
          <w:rFonts w:asciiTheme="majorHAnsi" w:eastAsia="Aptos" w:hAnsiTheme="majorHAnsi" w:cstheme="majorHAnsi"/>
        </w:rPr>
        <w:t>e.</w:t>
      </w:r>
    </w:p>
    <w:p w14:paraId="01862432" w14:textId="544B0229" w:rsidR="00B109DC" w:rsidRPr="00B109DC" w:rsidRDefault="00B109DC" w:rsidP="00B109DC">
      <w:pPr>
        <w:rPr>
          <w:rFonts w:asciiTheme="majorHAnsi" w:eastAsia="Aptos" w:hAnsiTheme="majorHAnsi" w:cstheme="majorHAnsi"/>
        </w:rPr>
      </w:pPr>
      <w:r w:rsidRPr="00B109DC">
        <w:rPr>
          <w:rFonts w:asciiTheme="majorHAnsi" w:eastAsia="Aptos" w:hAnsiTheme="majorHAnsi" w:cstheme="majorHAnsi"/>
        </w:rPr>
        <w:t>The government has established Skills England to drive post-</w:t>
      </w:r>
      <w:proofErr w:type="gramStart"/>
      <w:r w:rsidRPr="00B109DC">
        <w:rPr>
          <w:rFonts w:asciiTheme="majorHAnsi" w:eastAsia="Aptos" w:hAnsiTheme="majorHAnsi" w:cstheme="majorHAnsi"/>
        </w:rPr>
        <w:t>16</w:t>
      </w:r>
      <w:proofErr w:type="gramEnd"/>
      <w:r w:rsidRPr="00B109DC">
        <w:rPr>
          <w:rFonts w:asciiTheme="majorHAnsi" w:eastAsia="Aptos" w:hAnsiTheme="majorHAnsi" w:cstheme="majorHAnsi"/>
        </w:rPr>
        <w:t xml:space="preserve"> reform, with ambitious targets: two-thirds of young people will be in tertiary education by age 25, and technical education uptake will increase significantly with T-levels and </w:t>
      </w:r>
      <w:r w:rsidR="00DA355A">
        <w:rPr>
          <w:rFonts w:asciiTheme="majorHAnsi" w:eastAsia="Aptos" w:hAnsiTheme="majorHAnsi" w:cstheme="majorHAnsi"/>
        </w:rPr>
        <w:t>V</w:t>
      </w:r>
      <w:r w:rsidRPr="00B109DC">
        <w:rPr>
          <w:rFonts w:asciiTheme="majorHAnsi" w:eastAsia="Aptos" w:hAnsiTheme="majorHAnsi" w:cstheme="majorHAnsi"/>
        </w:rPr>
        <w:t>-levels sitting alongside A-levels</w:t>
      </w:r>
      <w:r w:rsidR="00DA355A">
        <w:rPr>
          <w:rFonts w:asciiTheme="majorHAnsi" w:eastAsia="Aptos" w:hAnsiTheme="majorHAnsi" w:cstheme="majorHAnsi"/>
        </w:rPr>
        <w:t>.</w:t>
      </w:r>
      <w:r w:rsidRPr="00B109DC">
        <w:rPr>
          <w:rFonts w:asciiTheme="majorHAnsi" w:eastAsia="Aptos" w:hAnsiTheme="majorHAnsi" w:cstheme="majorHAnsi"/>
        </w:rPr>
        <w:t xml:space="preserve"> Over £1.7 billion has been allocated for college infrastructure and regional skills ecosystems focusing on clean energy and digital sectors through 2030.</w:t>
      </w:r>
    </w:p>
    <w:p w14:paraId="12274485" w14:textId="5C2A33F4" w:rsidR="00B109DC" w:rsidRDefault="00B109DC" w:rsidP="00B109DC">
      <w:pPr>
        <w:rPr>
          <w:rFonts w:asciiTheme="majorHAnsi" w:eastAsia="Aptos" w:hAnsiTheme="majorHAnsi" w:cstheme="majorHAnsi"/>
        </w:rPr>
      </w:pPr>
      <w:r w:rsidRPr="00B109DC">
        <w:rPr>
          <w:rFonts w:asciiTheme="majorHAnsi" w:eastAsia="Aptos" w:hAnsiTheme="majorHAnsi" w:cstheme="majorHAnsi"/>
        </w:rPr>
        <w:t xml:space="preserve">A critical integration </w:t>
      </w:r>
      <w:proofErr w:type="gramStart"/>
      <w:r w:rsidRPr="00B109DC">
        <w:rPr>
          <w:rFonts w:asciiTheme="majorHAnsi" w:eastAsia="Aptos" w:hAnsiTheme="majorHAnsi" w:cstheme="majorHAnsi"/>
        </w:rPr>
        <w:t>is planned</w:t>
      </w:r>
      <w:proofErr w:type="gramEnd"/>
      <w:r w:rsidRPr="00B109DC">
        <w:rPr>
          <w:rFonts w:asciiTheme="majorHAnsi" w:eastAsia="Aptos" w:hAnsiTheme="majorHAnsi" w:cstheme="majorHAnsi"/>
        </w:rPr>
        <w:t xml:space="preserve">: the National Career Service will merge with job centres under the Department for Work and Pensions in October 2026, creating a unified Jobs and Career Service aimed at shifting focus from short-term placement to long-term career progression, including in-work advancement. The government earmarked £55 million for developing and </w:t>
      </w:r>
      <w:proofErr w:type="gramStart"/>
      <w:r w:rsidRPr="00B109DC">
        <w:rPr>
          <w:rFonts w:asciiTheme="majorHAnsi" w:eastAsia="Aptos" w:hAnsiTheme="majorHAnsi" w:cstheme="majorHAnsi"/>
        </w:rPr>
        <w:t>testing</w:t>
      </w:r>
      <w:proofErr w:type="gramEnd"/>
      <w:r w:rsidRPr="00B109DC">
        <w:rPr>
          <w:rFonts w:asciiTheme="majorHAnsi" w:eastAsia="Aptos" w:hAnsiTheme="majorHAnsi" w:cstheme="majorHAnsi"/>
        </w:rPr>
        <w:t xml:space="preserve"> this integration during 2025–2026.</w:t>
      </w:r>
    </w:p>
    <w:p w14:paraId="077C5832" w14:textId="3B313024" w:rsidR="00B109DC" w:rsidRPr="00B109DC" w:rsidRDefault="00DA355A" w:rsidP="00B109DC">
      <w:pPr>
        <w:rPr>
          <w:rFonts w:asciiTheme="majorHAnsi" w:eastAsia="Aptos" w:hAnsiTheme="majorHAnsi" w:cstheme="majorHAnsi"/>
        </w:rPr>
      </w:pPr>
      <w:r>
        <w:rPr>
          <w:rFonts w:asciiTheme="majorHAnsi" w:eastAsia="Aptos" w:hAnsiTheme="majorHAnsi" w:cstheme="majorHAnsi"/>
        </w:rPr>
        <w:t>All these developments while welcomed raise huge questions over resourcing</w:t>
      </w:r>
      <w:r w:rsidR="00772C09">
        <w:rPr>
          <w:rFonts w:asciiTheme="majorHAnsi" w:eastAsia="Aptos" w:hAnsiTheme="majorHAnsi" w:cstheme="majorHAnsi"/>
        </w:rPr>
        <w:t>,</w:t>
      </w:r>
      <w:r>
        <w:rPr>
          <w:rFonts w:asciiTheme="majorHAnsi" w:eastAsia="Aptos" w:hAnsiTheme="majorHAnsi" w:cstheme="majorHAnsi"/>
        </w:rPr>
        <w:t xml:space="preserve"> investment in the career guidance profession and the need for a coherent all age career guidance strategy.</w:t>
      </w:r>
    </w:p>
    <w:p w14:paraId="485025C8" w14:textId="77777777" w:rsidR="00B109DC" w:rsidRPr="00154AD6" w:rsidRDefault="00B109DC" w:rsidP="00F82E73">
      <w:pPr>
        <w:pStyle w:val="Heading4"/>
        <w:spacing w:before="120" w:after="120"/>
      </w:pPr>
      <w:r w:rsidRPr="00154AD6">
        <w:t>THE VALUE OF CAREERS GUIDANCE: EVIDENCE AND EMERGING INSIGHTS</w:t>
      </w:r>
    </w:p>
    <w:p w14:paraId="45C640E9" w14:textId="6A48E6E8" w:rsidR="00B109DC" w:rsidRPr="00B109DC" w:rsidRDefault="00B109DC" w:rsidP="00B109DC">
      <w:pPr>
        <w:rPr>
          <w:rFonts w:asciiTheme="majorHAnsi" w:eastAsia="Aptos" w:hAnsiTheme="majorHAnsi" w:cstheme="majorHAnsi"/>
        </w:rPr>
      </w:pPr>
      <w:r w:rsidRPr="00B109DC">
        <w:rPr>
          <w:rFonts w:asciiTheme="majorHAnsi" w:eastAsia="Aptos" w:hAnsiTheme="majorHAnsi" w:cstheme="majorHAnsi"/>
        </w:rPr>
        <w:t xml:space="preserve">Dr. Chris </w:t>
      </w:r>
      <w:r w:rsidRPr="00154AD6">
        <w:rPr>
          <w:rFonts w:asciiTheme="majorHAnsi" w:eastAsia="Aptos" w:hAnsiTheme="majorHAnsi" w:cstheme="majorHAnsi"/>
        </w:rPr>
        <w:t>Percy</w:t>
      </w:r>
      <w:r w:rsidR="00F82E73">
        <w:rPr>
          <w:rFonts w:asciiTheme="majorHAnsi" w:eastAsia="Aptos" w:hAnsiTheme="majorHAnsi" w:cstheme="majorHAnsi"/>
        </w:rPr>
        <w:t xml:space="preserve"> (Strategy and Policy Consultant) </w:t>
      </w:r>
      <w:r w:rsidRPr="00B109DC">
        <w:rPr>
          <w:rFonts w:asciiTheme="majorHAnsi" w:eastAsia="Aptos" w:hAnsiTheme="majorHAnsi" w:cstheme="majorHAnsi"/>
        </w:rPr>
        <w:t>presented research demonstrating significant return on investment from career interventions. Cost-benefit analyses typically show positive outcomes, with every pound invested returning 2</w:t>
      </w:r>
      <w:r w:rsidR="00276D2E">
        <w:rPr>
          <w:rFonts w:asciiTheme="majorHAnsi" w:eastAsia="Aptos" w:hAnsiTheme="majorHAnsi" w:cstheme="majorHAnsi"/>
        </w:rPr>
        <w:t>-</w:t>
      </w:r>
      <w:r w:rsidRPr="00B109DC">
        <w:rPr>
          <w:rFonts w:asciiTheme="majorHAnsi" w:eastAsia="Aptos" w:hAnsiTheme="majorHAnsi" w:cstheme="majorHAnsi"/>
        </w:rPr>
        <w:t>4</w:t>
      </w:r>
      <w:r w:rsidR="001B5007">
        <w:rPr>
          <w:rFonts w:asciiTheme="majorHAnsi" w:eastAsia="Aptos" w:hAnsiTheme="majorHAnsi" w:cstheme="majorHAnsi"/>
        </w:rPr>
        <w:t xml:space="preserve"> pounds </w:t>
      </w:r>
      <w:r w:rsidRPr="00B109DC">
        <w:rPr>
          <w:rFonts w:asciiTheme="majorHAnsi" w:eastAsia="Aptos" w:hAnsiTheme="majorHAnsi" w:cstheme="majorHAnsi"/>
        </w:rPr>
        <w:t>over 10</w:t>
      </w:r>
      <w:r w:rsidR="00276D2E">
        <w:rPr>
          <w:rFonts w:asciiTheme="majorHAnsi" w:eastAsia="Aptos" w:hAnsiTheme="majorHAnsi" w:cstheme="majorHAnsi"/>
        </w:rPr>
        <w:t>-</w:t>
      </w:r>
      <w:r w:rsidRPr="00B109DC">
        <w:rPr>
          <w:rFonts w:asciiTheme="majorHAnsi" w:eastAsia="Aptos" w:hAnsiTheme="majorHAnsi" w:cstheme="majorHAnsi"/>
        </w:rPr>
        <w:t>20 years through improved tax payments and reduced benefit claims. This fiscal impact applies across various intervention types: work experience, career support, embedded interventions, and professional one-on-one guidance for both young people and adults.</w:t>
      </w:r>
      <w:r w:rsidRPr="00154AD6">
        <w:rPr>
          <w:rFonts w:asciiTheme="majorHAnsi" w:eastAsia="Aptos" w:hAnsiTheme="majorHAnsi" w:cstheme="majorHAnsi"/>
        </w:rPr>
        <w:t xml:space="preserve"> </w:t>
      </w:r>
    </w:p>
    <w:p w14:paraId="61B5054E" w14:textId="4CD8932A" w:rsidR="00B109DC" w:rsidRPr="00B109DC" w:rsidRDefault="00B109DC" w:rsidP="00B109DC">
      <w:pPr>
        <w:rPr>
          <w:rFonts w:asciiTheme="majorHAnsi" w:eastAsia="Aptos" w:hAnsiTheme="majorHAnsi" w:cstheme="majorHAnsi"/>
        </w:rPr>
      </w:pPr>
      <w:r w:rsidRPr="00B109DC">
        <w:rPr>
          <w:rFonts w:asciiTheme="majorHAnsi" w:eastAsia="Aptos" w:hAnsiTheme="majorHAnsi" w:cstheme="majorHAnsi"/>
        </w:rPr>
        <w:t xml:space="preserve">A striking finding from longitudinal data analysis suggests an </w:t>
      </w:r>
      <w:r w:rsidRPr="00B109DC">
        <w:rPr>
          <w:rFonts w:asciiTheme="majorHAnsi" w:eastAsia="Aptos" w:hAnsiTheme="majorHAnsi" w:cstheme="majorHAnsi"/>
          <w:b/>
          <w:bCs/>
        </w:rPr>
        <w:t>accelerating returns pattern</w:t>
      </w:r>
      <w:r w:rsidR="001B5007">
        <w:rPr>
          <w:rFonts w:asciiTheme="majorHAnsi" w:eastAsia="Aptos" w:hAnsiTheme="majorHAnsi" w:cstheme="majorHAnsi"/>
        </w:rPr>
        <w:t xml:space="preserve">, </w:t>
      </w:r>
      <w:r w:rsidRPr="00B109DC">
        <w:rPr>
          <w:rFonts w:asciiTheme="majorHAnsi" w:eastAsia="Aptos" w:hAnsiTheme="majorHAnsi" w:cstheme="majorHAnsi"/>
        </w:rPr>
        <w:t>contrary to conventional diminishing returns assumptions. Analysis of career talks for 15</w:t>
      </w:r>
      <w:r w:rsidR="00F451BD">
        <w:rPr>
          <w:rFonts w:asciiTheme="majorHAnsi" w:eastAsia="Aptos" w:hAnsiTheme="majorHAnsi" w:cstheme="majorHAnsi"/>
        </w:rPr>
        <w:t>-</w:t>
      </w:r>
      <w:r w:rsidRPr="00B109DC">
        <w:rPr>
          <w:rFonts w:asciiTheme="majorHAnsi" w:eastAsia="Aptos" w:hAnsiTheme="majorHAnsi" w:cstheme="majorHAnsi"/>
        </w:rPr>
        <w:t>16-year-olds reveals that initial talks yield minimal wage-increase effects, but beyond three to four talks per year, income impacts accelerate significantly. Similar patterns appear in group guidance sessions and primary school interventions.</w:t>
      </w:r>
    </w:p>
    <w:p w14:paraId="32CF2B08" w14:textId="0E40FC32" w:rsidR="00B109DC" w:rsidRPr="00B109DC" w:rsidRDefault="00B109DC" w:rsidP="00B109DC">
      <w:pPr>
        <w:rPr>
          <w:rFonts w:asciiTheme="majorHAnsi" w:eastAsia="Aptos" w:hAnsiTheme="majorHAnsi" w:cstheme="majorHAnsi"/>
        </w:rPr>
      </w:pPr>
      <w:r w:rsidRPr="00B109DC">
        <w:rPr>
          <w:rFonts w:asciiTheme="majorHAnsi" w:eastAsia="Aptos" w:hAnsiTheme="majorHAnsi" w:cstheme="majorHAnsi"/>
        </w:rPr>
        <w:t xml:space="preserve">This insight has policy implications: rather than </w:t>
      </w:r>
      <w:r w:rsidR="00F82E73">
        <w:rPr>
          <w:rFonts w:asciiTheme="majorHAnsi" w:eastAsia="Aptos" w:hAnsiTheme="majorHAnsi" w:cstheme="majorHAnsi"/>
        </w:rPr>
        <w:t xml:space="preserve">isolated </w:t>
      </w:r>
      <w:r w:rsidRPr="00B109DC">
        <w:rPr>
          <w:rFonts w:asciiTheme="majorHAnsi" w:eastAsia="Aptos" w:hAnsiTheme="majorHAnsi" w:cstheme="majorHAnsi"/>
        </w:rPr>
        <w:t xml:space="preserve">interventions to achieve "quick wins," sustained, higher-volume engagement yields superior long-term outcomes. Dr. </w:t>
      </w:r>
      <w:r w:rsidRPr="00154AD6">
        <w:rPr>
          <w:rFonts w:asciiTheme="majorHAnsi" w:eastAsia="Aptos" w:hAnsiTheme="majorHAnsi" w:cstheme="majorHAnsi"/>
        </w:rPr>
        <w:t>Percy</w:t>
      </w:r>
      <w:r w:rsidRPr="00B109DC">
        <w:rPr>
          <w:rFonts w:asciiTheme="majorHAnsi" w:eastAsia="Aptos" w:hAnsiTheme="majorHAnsi" w:cstheme="majorHAnsi"/>
        </w:rPr>
        <w:t xml:space="preserve"> suggested that this </w:t>
      </w:r>
      <w:proofErr w:type="gramStart"/>
      <w:r w:rsidRPr="00B109DC">
        <w:rPr>
          <w:rFonts w:asciiTheme="majorHAnsi" w:eastAsia="Aptos" w:hAnsiTheme="majorHAnsi" w:cstheme="majorHAnsi"/>
        </w:rPr>
        <w:t>is driven</w:t>
      </w:r>
      <w:proofErr w:type="gramEnd"/>
      <w:r w:rsidRPr="00B109DC">
        <w:rPr>
          <w:rFonts w:asciiTheme="majorHAnsi" w:eastAsia="Aptos" w:hAnsiTheme="majorHAnsi" w:cstheme="majorHAnsi"/>
        </w:rPr>
        <w:t xml:space="preserve"> by cumulative learning</w:t>
      </w:r>
      <w:r w:rsidRPr="00154AD6">
        <w:rPr>
          <w:rFonts w:asciiTheme="majorHAnsi" w:eastAsia="Aptos" w:hAnsiTheme="majorHAnsi" w:cstheme="majorHAnsi"/>
        </w:rPr>
        <w:t xml:space="preserve">: </w:t>
      </w:r>
      <w:r w:rsidRPr="00B109DC">
        <w:rPr>
          <w:rFonts w:asciiTheme="majorHAnsi" w:eastAsia="Aptos" w:hAnsiTheme="majorHAnsi" w:cstheme="majorHAnsi"/>
        </w:rPr>
        <w:t xml:space="preserve">young people must understand how to engage with employers and careers </w:t>
      </w:r>
      <w:r w:rsidRPr="00154AD6">
        <w:rPr>
          <w:rFonts w:asciiTheme="majorHAnsi" w:eastAsia="Aptos" w:hAnsiTheme="majorHAnsi" w:cstheme="majorHAnsi"/>
        </w:rPr>
        <w:t>professionals and</w:t>
      </w:r>
      <w:r w:rsidRPr="00B109DC">
        <w:rPr>
          <w:rFonts w:asciiTheme="majorHAnsi" w:eastAsia="Aptos" w:hAnsiTheme="majorHAnsi" w:cstheme="majorHAnsi"/>
        </w:rPr>
        <w:t xml:space="preserve"> comparing multiple employer/career data points helps map the vast economy. The challenge is implementing this at scale without proportional cost increases, potentially through curriculum integration and technology leverage.</w:t>
      </w:r>
    </w:p>
    <w:p w14:paraId="50B2A440" w14:textId="77777777" w:rsidR="00B109DC" w:rsidRPr="00154AD6" w:rsidRDefault="00B109DC" w:rsidP="00F82E73">
      <w:pPr>
        <w:pStyle w:val="Heading4"/>
        <w:spacing w:before="120" w:after="120"/>
      </w:pPr>
      <w:r w:rsidRPr="00154AD6">
        <w:lastRenderedPageBreak/>
        <w:t>EMPOWERING YOUNG PEOPLE: LIVED PERSPECTIVES AND STRUCTURAL GAPS</w:t>
      </w:r>
    </w:p>
    <w:p w14:paraId="70541CFD" w14:textId="77777777" w:rsidR="00B109DC" w:rsidRPr="00B109DC" w:rsidRDefault="00B109DC" w:rsidP="00B109DC">
      <w:pPr>
        <w:rPr>
          <w:rFonts w:asciiTheme="majorHAnsi" w:eastAsia="Aptos" w:hAnsiTheme="majorHAnsi" w:cstheme="majorHAnsi"/>
          <w:b/>
          <w:bCs/>
        </w:rPr>
      </w:pPr>
      <w:r w:rsidRPr="00B109DC">
        <w:rPr>
          <w:rFonts w:asciiTheme="majorHAnsi" w:eastAsia="Aptos" w:hAnsiTheme="majorHAnsi" w:cstheme="majorHAnsi"/>
          <w:b/>
          <w:bCs/>
        </w:rPr>
        <w:t>Young People's Voice</w:t>
      </w:r>
    </w:p>
    <w:p w14:paraId="65E90BC5" w14:textId="1338889D" w:rsidR="00B109DC" w:rsidRPr="00B109DC" w:rsidRDefault="00B109DC" w:rsidP="00B109DC">
      <w:pPr>
        <w:rPr>
          <w:rFonts w:asciiTheme="majorHAnsi" w:eastAsia="Aptos" w:hAnsiTheme="majorHAnsi" w:cstheme="majorHAnsi"/>
        </w:rPr>
      </w:pPr>
      <w:r w:rsidRPr="00B109DC">
        <w:rPr>
          <w:rFonts w:asciiTheme="majorHAnsi" w:eastAsia="Aptos" w:hAnsiTheme="majorHAnsi" w:cstheme="majorHAnsi"/>
        </w:rPr>
        <w:t xml:space="preserve">Matthew, a college student, provided </w:t>
      </w:r>
      <w:r w:rsidR="00867129">
        <w:rPr>
          <w:rFonts w:asciiTheme="majorHAnsi" w:eastAsia="Aptos" w:hAnsiTheme="majorHAnsi" w:cstheme="majorHAnsi"/>
        </w:rPr>
        <w:t>a valuable first-hand</w:t>
      </w:r>
      <w:r w:rsidRPr="00B109DC">
        <w:rPr>
          <w:rFonts w:asciiTheme="majorHAnsi" w:eastAsia="Aptos" w:hAnsiTheme="majorHAnsi" w:cstheme="majorHAnsi"/>
        </w:rPr>
        <w:t xml:space="preserve"> perspective on peer experience. He emphasi</w:t>
      </w:r>
      <w:r w:rsidR="00411756" w:rsidRPr="00154AD6">
        <w:rPr>
          <w:rFonts w:asciiTheme="majorHAnsi" w:eastAsia="Aptos" w:hAnsiTheme="majorHAnsi" w:cstheme="majorHAnsi"/>
        </w:rPr>
        <w:t>s</w:t>
      </w:r>
      <w:r w:rsidRPr="00B109DC">
        <w:rPr>
          <w:rFonts w:asciiTheme="majorHAnsi" w:eastAsia="Aptos" w:hAnsiTheme="majorHAnsi" w:cstheme="majorHAnsi"/>
        </w:rPr>
        <w:t>ed that careers advice is critical from Year 10 through Year 13, noting that his own needs evolved through repeated conversations with career advis</w:t>
      </w:r>
      <w:r w:rsidR="00772C09">
        <w:rPr>
          <w:rFonts w:asciiTheme="majorHAnsi" w:eastAsia="Aptos" w:hAnsiTheme="majorHAnsi" w:cstheme="majorHAnsi"/>
        </w:rPr>
        <w:t>e</w:t>
      </w:r>
      <w:r w:rsidRPr="00B109DC">
        <w:rPr>
          <w:rFonts w:asciiTheme="majorHAnsi" w:eastAsia="Aptos" w:hAnsiTheme="majorHAnsi" w:cstheme="majorHAnsi"/>
        </w:rPr>
        <w:t>rs. He highlighted three key insights:</w:t>
      </w:r>
    </w:p>
    <w:p w14:paraId="38757A21" w14:textId="6F6E51BB" w:rsidR="00B109DC" w:rsidRPr="00B109DC" w:rsidRDefault="00B109DC" w:rsidP="00B109DC">
      <w:pPr>
        <w:numPr>
          <w:ilvl w:val="0"/>
          <w:numId w:val="37"/>
        </w:numPr>
        <w:rPr>
          <w:rFonts w:asciiTheme="majorHAnsi" w:eastAsia="Aptos" w:hAnsiTheme="majorHAnsi" w:cstheme="majorHAnsi"/>
        </w:rPr>
      </w:pPr>
      <w:r w:rsidRPr="00B109DC">
        <w:rPr>
          <w:rFonts w:asciiTheme="majorHAnsi" w:eastAsia="Aptos" w:hAnsiTheme="majorHAnsi" w:cstheme="majorHAnsi"/>
          <w:b/>
          <w:bCs/>
        </w:rPr>
        <w:t>Flexibility and pathway diversity</w:t>
      </w:r>
      <w:r w:rsidRPr="00B109DC">
        <w:rPr>
          <w:rFonts w:asciiTheme="majorHAnsi" w:eastAsia="Aptos" w:hAnsiTheme="majorHAnsi" w:cstheme="majorHAnsi"/>
        </w:rPr>
        <w:t xml:space="preserve">: Young people need messaging that multiple pathways exist beyond sixth form and university, with </w:t>
      </w:r>
      <w:proofErr w:type="gramStart"/>
      <w:r w:rsidRPr="00B109DC">
        <w:rPr>
          <w:rFonts w:asciiTheme="majorHAnsi" w:eastAsia="Aptos" w:hAnsiTheme="majorHAnsi" w:cstheme="majorHAnsi"/>
        </w:rPr>
        <w:t>hands-on</w:t>
      </w:r>
      <w:proofErr w:type="gramEnd"/>
      <w:r w:rsidRPr="00B109DC">
        <w:rPr>
          <w:rFonts w:asciiTheme="majorHAnsi" w:eastAsia="Aptos" w:hAnsiTheme="majorHAnsi" w:cstheme="majorHAnsi"/>
        </w:rPr>
        <w:t xml:space="preserve"> alternatives (e.g., apprenticeships) presented as equally valid. The current narrative disproportionately promotes academic progression.</w:t>
      </w:r>
    </w:p>
    <w:p w14:paraId="0DDB1D9B" w14:textId="6A6163B1" w:rsidR="00B109DC" w:rsidRPr="00B109DC" w:rsidRDefault="00B109DC" w:rsidP="00B109DC">
      <w:pPr>
        <w:numPr>
          <w:ilvl w:val="0"/>
          <w:numId w:val="37"/>
        </w:numPr>
        <w:rPr>
          <w:rFonts w:asciiTheme="majorHAnsi" w:eastAsia="Aptos" w:hAnsiTheme="majorHAnsi" w:cstheme="majorHAnsi"/>
        </w:rPr>
      </w:pPr>
      <w:r w:rsidRPr="00B109DC">
        <w:rPr>
          <w:rFonts w:asciiTheme="majorHAnsi" w:eastAsia="Aptos" w:hAnsiTheme="majorHAnsi" w:cstheme="majorHAnsi"/>
          <w:b/>
          <w:bCs/>
        </w:rPr>
        <w:t>Work experience value</w:t>
      </w:r>
      <w:r w:rsidRPr="00B109DC">
        <w:rPr>
          <w:rFonts w:asciiTheme="majorHAnsi" w:eastAsia="Aptos" w:hAnsiTheme="majorHAnsi" w:cstheme="majorHAnsi"/>
        </w:rPr>
        <w:t>: First-hand exposure</w:t>
      </w:r>
      <w:r w:rsidR="001B5007">
        <w:rPr>
          <w:rFonts w:asciiTheme="majorHAnsi" w:eastAsia="Aptos" w:hAnsiTheme="majorHAnsi" w:cstheme="majorHAnsi"/>
        </w:rPr>
        <w:t xml:space="preserve"> provides essential grounding for the world of work, and even </w:t>
      </w:r>
      <w:r w:rsidRPr="00B109DC">
        <w:rPr>
          <w:rFonts w:asciiTheme="majorHAnsi" w:eastAsia="Aptos" w:hAnsiTheme="majorHAnsi" w:cstheme="majorHAnsi"/>
        </w:rPr>
        <w:t>negative experiences clarify what not to pursue. Matthew's work experience at a Crown Court and with his local MP clarified his interest in political rather than legal careers.</w:t>
      </w:r>
    </w:p>
    <w:p w14:paraId="2A0B8014" w14:textId="44832433" w:rsidR="00B109DC" w:rsidRPr="00B109DC" w:rsidRDefault="00B109DC" w:rsidP="00B109DC">
      <w:pPr>
        <w:numPr>
          <w:ilvl w:val="0"/>
          <w:numId w:val="37"/>
        </w:numPr>
        <w:rPr>
          <w:rFonts w:asciiTheme="majorHAnsi" w:eastAsia="Aptos" w:hAnsiTheme="majorHAnsi" w:cstheme="majorHAnsi"/>
        </w:rPr>
      </w:pPr>
      <w:r w:rsidRPr="00B109DC">
        <w:rPr>
          <w:rFonts w:asciiTheme="majorHAnsi" w:eastAsia="Aptos" w:hAnsiTheme="majorHAnsi" w:cstheme="majorHAnsi"/>
          <w:b/>
          <w:bCs/>
        </w:rPr>
        <w:t>Reducing uncertainty</w:t>
      </w:r>
      <w:r w:rsidRPr="00B109DC">
        <w:rPr>
          <w:rFonts w:asciiTheme="majorHAnsi" w:eastAsia="Aptos" w:hAnsiTheme="majorHAnsi" w:cstheme="majorHAnsi"/>
        </w:rPr>
        <w:t xml:space="preserve">: Guided pathways, supported by </w:t>
      </w:r>
      <w:r w:rsidR="00772C09">
        <w:rPr>
          <w:rFonts w:asciiTheme="majorHAnsi" w:eastAsia="Aptos" w:hAnsiTheme="majorHAnsi" w:cstheme="majorHAnsi"/>
        </w:rPr>
        <w:t xml:space="preserve">ongoing </w:t>
      </w:r>
      <w:r w:rsidRPr="00B109DC">
        <w:rPr>
          <w:rFonts w:asciiTheme="majorHAnsi" w:eastAsia="Aptos" w:hAnsiTheme="majorHAnsi" w:cstheme="majorHAnsi"/>
        </w:rPr>
        <w:t>information and mentorship, help young people move forward with confidence rather than "going blind."</w:t>
      </w:r>
    </w:p>
    <w:p w14:paraId="163D3EA8" w14:textId="77777777" w:rsidR="00B109DC" w:rsidRPr="00154AD6" w:rsidRDefault="00B109DC" w:rsidP="00154AD6">
      <w:pPr>
        <w:rPr>
          <w:rFonts w:asciiTheme="majorHAnsi" w:hAnsiTheme="majorHAnsi" w:cstheme="majorHAnsi"/>
          <w:b/>
          <w:bCs/>
        </w:rPr>
      </w:pPr>
      <w:r w:rsidRPr="00154AD6">
        <w:rPr>
          <w:rFonts w:asciiTheme="majorHAnsi" w:hAnsiTheme="majorHAnsi" w:cstheme="majorHAnsi"/>
          <w:b/>
          <w:bCs/>
        </w:rPr>
        <w:t>Structural Challenges</w:t>
      </w:r>
    </w:p>
    <w:p w14:paraId="46998022" w14:textId="0AC8599A" w:rsidR="00B109DC" w:rsidRPr="00B109DC" w:rsidRDefault="00B109DC" w:rsidP="00B109DC">
      <w:pPr>
        <w:rPr>
          <w:rFonts w:asciiTheme="majorHAnsi" w:eastAsia="Aptos" w:hAnsiTheme="majorHAnsi" w:cstheme="majorHAnsi"/>
        </w:rPr>
      </w:pPr>
      <w:r w:rsidRPr="00B109DC">
        <w:rPr>
          <w:rFonts w:asciiTheme="majorHAnsi" w:eastAsia="Aptos" w:hAnsiTheme="majorHAnsi" w:cstheme="majorHAnsi"/>
        </w:rPr>
        <w:t>Nicola</w:t>
      </w:r>
      <w:r w:rsidR="00154AD6" w:rsidRPr="00154AD6">
        <w:rPr>
          <w:rFonts w:asciiTheme="majorHAnsi" w:eastAsia="Aptos" w:hAnsiTheme="majorHAnsi" w:cstheme="majorHAnsi"/>
        </w:rPr>
        <w:t xml:space="preserve"> Hall</w:t>
      </w:r>
      <w:r w:rsidRPr="00B109DC">
        <w:rPr>
          <w:rFonts w:asciiTheme="majorHAnsi" w:eastAsia="Aptos" w:hAnsiTheme="majorHAnsi" w:cstheme="majorHAnsi"/>
        </w:rPr>
        <w:t>, Director of Education at the Careers and Enterprise Company, identified four persistent</w:t>
      </w:r>
      <w:r w:rsidR="00154AD6" w:rsidRPr="00154AD6">
        <w:rPr>
          <w:rFonts w:asciiTheme="majorHAnsi" w:eastAsia="Aptos" w:hAnsiTheme="majorHAnsi" w:cstheme="majorHAnsi"/>
        </w:rPr>
        <w:t xml:space="preserve"> issues: </w:t>
      </w:r>
    </w:p>
    <w:p w14:paraId="09D56EAC" w14:textId="764261F9" w:rsidR="00B109DC" w:rsidRPr="00B109DC" w:rsidRDefault="00B109DC" w:rsidP="00B109DC">
      <w:pPr>
        <w:numPr>
          <w:ilvl w:val="0"/>
          <w:numId w:val="38"/>
        </w:numPr>
        <w:rPr>
          <w:rFonts w:asciiTheme="majorHAnsi" w:eastAsia="Aptos" w:hAnsiTheme="majorHAnsi" w:cstheme="majorHAnsi"/>
        </w:rPr>
      </w:pPr>
      <w:r w:rsidRPr="00B109DC">
        <w:rPr>
          <w:rFonts w:asciiTheme="majorHAnsi" w:eastAsia="Aptos" w:hAnsiTheme="majorHAnsi" w:cstheme="majorHAnsi"/>
          <w:b/>
          <w:bCs/>
        </w:rPr>
        <w:t>Access gaps</w:t>
      </w:r>
      <w:r w:rsidRPr="00B109DC">
        <w:rPr>
          <w:rFonts w:asciiTheme="majorHAnsi" w:eastAsia="Aptos" w:hAnsiTheme="majorHAnsi" w:cstheme="majorHAnsi"/>
        </w:rPr>
        <w:t>: The largest barriers exist for young people with long-term health needs, those in alternative provision, and girls (5</w:t>
      </w:r>
      <w:r w:rsidR="00BA3A27">
        <w:rPr>
          <w:rFonts w:asciiTheme="majorHAnsi" w:eastAsia="Aptos" w:hAnsiTheme="majorHAnsi" w:cstheme="majorHAnsi"/>
        </w:rPr>
        <w:t>-</w:t>
      </w:r>
      <w:r w:rsidRPr="00B109DC">
        <w:rPr>
          <w:rFonts w:asciiTheme="majorHAnsi" w:eastAsia="Aptos" w:hAnsiTheme="majorHAnsi" w:cstheme="majorHAnsi"/>
        </w:rPr>
        <w:t>10 percentage points less confident than peers about discussing future skills). While special schools and alternative provision often outperform mainstream institutions, systemic investment is lacking.</w:t>
      </w:r>
    </w:p>
    <w:p w14:paraId="5C03798D" w14:textId="7DB897A4" w:rsidR="00B109DC" w:rsidRPr="00B109DC" w:rsidRDefault="00B109DC" w:rsidP="00B109DC">
      <w:pPr>
        <w:numPr>
          <w:ilvl w:val="0"/>
          <w:numId w:val="38"/>
        </w:numPr>
        <w:rPr>
          <w:rFonts w:asciiTheme="majorHAnsi" w:eastAsia="Aptos" w:hAnsiTheme="majorHAnsi" w:cstheme="majorHAnsi"/>
        </w:rPr>
      </w:pPr>
      <w:r w:rsidRPr="00B109DC">
        <w:rPr>
          <w:rFonts w:asciiTheme="majorHAnsi" w:eastAsia="Aptos" w:hAnsiTheme="majorHAnsi" w:cstheme="majorHAnsi"/>
          <w:b/>
          <w:bCs/>
        </w:rPr>
        <w:t>Workforce capacity crunch</w:t>
      </w:r>
      <w:r w:rsidRPr="00B109DC">
        <w:rPr>
          <w:rFonts w:asciiTheme="majorHAnsi" w:eastAsia="Aptos" w:hAnsiTheme="majorHAnsi" w:cstheme="majorHAnsi"/>
        </w:rPr>
        <w:t>: Career leaders, advis</w:t>
      </w:r>
      <w:r w:rsidR="00772C09">
        <w:rPr>
          <w:rFonts w:asciiTheme="majorHAnsi" w:eastAsia="Aptos" w:hAnsiTheme="majorHAnsi" w:cstheme="majorHAnsi"/>
        </w:rPr>
        <w:t>e</w:t>
      </w:r>
      <w:r w:rsidRPr="00B109DC">
        <w:rPr>
          <w:rFonts w:asciiTheme="majorHAnsi" w:eastAsia="Aptos" w:hAnsiTheme="majorHAnsi" w:cstheme="majorHAnsi"/>
        </w:rPr>
        <w:t xml:space="preserve">rs, and work experience coordinators are distinct professional roles requiring expertise. </w:t>
      </w:r>
      <w:proofErr w:type="gramStart"/>
      <w:r w:rsidRPr="00B109DC">
        <w:rPr>
          <w:rFonts w:asciiTheme="majorHAnsi" w:eastAsia="Aptos" w:hAnsiTheme="majorHAnsi" w:cstheme="majorHAnsi"/>
        </w:rPr>
        <w:t>Many</w:t>
      </w:r>
      <w:proofErr w:type="gramEnd"/>
      <w:r w:rsidRPr="00B109DC">
        <w:rPr>
          <w:rFonts w:asciiTheme="majorHAnsi" w:eastAsia="Aptos" w:hAnsiTheme="majorHAnsi" w:cstheme="majorHAnsi"/>
        </w:rPr>
        <w:t xml:space="preserve"> schools assign multiple roles to single staff, creating unsustainable workloads, particularly as new work experience commitments loom.</w:t>
      </w:r>
    </w:p>
    <w:p w14:paraId="0C5AF17D" w14:textId="4B648632" w:rsidR="00B109DC" w:rsidRPr="00B109DC" w:rsidRDefault="00B109DC" w:rsidP="00B109DC">
      <w:pPr>
        <w:numPr>
          <w:ilvl w:val="0"/>
          <w:numId w:val="38"/>
        </w:numPr>
        <w:rPr>
          <w:rFonts w:asciiTheme="majorHAnsi" w:eastAsia="Aptos" w:hAnsiTheme="majorHAnsi" w:cstheme="majorHAnsi"/>
        </w:rPr>
      </w:pPr>
      <w:r w:rsidRPr="00B109DC">
        <w:rPr>
          <w:rFonts w:asciiTheme="majorHAnsi" w:eastAsia="Aptos" w:hAnsiTheme="majorHAnsi" w:cstheme="majorHAnsi"/>
          <w:b/>
          <w:bCs/>
        </w:rPr>
        <w:t>Curriculum and accountability barriers</w:t>
      </w:r>
      <w:r w:rsidRPr="00B109DC">
        <w:rPr>
          <w:rFonts w:asciiTheme="majorHAnsi" w:eastAsia="Aptos" w:hAnsiTheme="majorHAnsi" w:cstheme="majorHAnsi"/>
        </w:rPr>
        <w:t>: High-stakes examinations, progress measures, and curriculum congestion squeeze out space for meaningful personal development and careers engagement. School accountability frameworks inadvertently penali</w:t>
      </w:r>
      <w:r w:rsidR="00F82E73">
        <w:rPr>
          <w:rFonts w:asciiTheme="majorHAnsi" w:eastAsia="Aptos" w:hAnsiTheme="majorHAnsi" w:cstheme="majorHAnsi"/>
        </w:rPr>
        <w:t>s</w:t>
      </w:r>
      <w:r w:rsidRPr="00B109DC">
        <w:rPr>
          <w:rFonts w:asciiTheme="majorHAnsi" w:eastAsia="Aptos" w:hAnsiTheme="majorHAnsi" w:cstheme="majorHAnsi"/>
        </w:rPr>
        <w:t>e non-traditional progression pathways.</w:t>
      </w:r>
    </w:p>
    <w:p w14:paraId="17EF0508" w14:textId="435DC5D3" w:rsidR="00B109DC" w:rsidRPr="00B109DC" w:rsidRDefault="00B109DC" w:rsidP="00B109DC">
      <w:pPr>
        <w:numPr>
          <w:ilvl w:val="0"/>
          <w:numId w:val="38"/>
        </w:numPr>
        <w:rPr>
          <w:rFonts w:asciiTheme="majorHAnsi" w:eastAsia="Aptos" w:hAnsiTheme="majorHAnsi" w:cstheme="majorHAnsi"/>
        </w:rPr>
      </w:pPr>
      <w:r w:rsidRPr="00B109DC">
        <w:rPr>
          <w:rFonts w:asciiTheme="majorHAnsi" w:eastAsia="Aptos" w:hAnsiTheme="majorHAnsi" w:cstheme="majorHAnsi"/>
          <w:b/>
          <w:bCs/>
        </w:rPr>
        <w:t>Institutional rather than learner-centric design</w:t>
      </w:r>
      <w:r w:rsidRPr="00B109DC">
        <w:rPr>
          <w:rFonts w:asciiTheme="majorHAnsi" w:eastAsia="Aptos" w:hAnsiTheme="majorHAnsi" w:cstheme="majorHAnsi"/>
        </w:rPr>
        <w:t xml:space="preserve">: England's system treats young people as institutional products rather than lifelong learners. School-level focus </w:t>
      </w:r>
      <w:r w:rsidR="00154AD6" w:rsidRPr="00154AD6">
        <w:rPr>
          <w:rFonts w:asciiTheme="majorHAnsi" w:eastAsia="Aptos" w:hAnsiTheme="majorHAnsi" w:cstheme="majorHAnsi"/>
        </w:rPr>
        <w:t xml:space="preserve">often </w:t>
      </w:r>
      <w:r w:rsidR="008B2F7D" w:rsidRPr="00154AD6">
        <w:rPr>
          <w:rFonts w:asciiTheme="majorHAnsi" w:eastAsia="Aptos" w:hAnsiTheme="majorHAnsi" w:cstheme="majorHAnsi"/>
        </w:rPr>
        <w:t>does</w:t>
      </w:r>
      <w:r w:rsidR="00154AD6" w:rsidRPr="00154AD6">
        <w:rPr>
          <w:rFonts w:asciiTheme="majorHAnsi" w:eastAsia="Aptos" w:hAnsiTheme="majorHAnsi" w:cstheme="majorHAnsi"/>
        </w:rPr>
        <w:t xml:space="preserve"> not offer</w:t>
      </w:r>
      <w:r w:rsidRPr="00B109DC">
        <w:rPr>
          <w:rFonts w:asciiTheme="majorHAnsi" w:eastAsia="Aptos" w:hAnsiTheme="majorHAnsi" w:cstheme="majorHAnsi"/>
        </w:rPr>
        <w:t xml:space="preserve"> continuity across transitions (primary to secondary, Year 11 to sixth form/college, post-</w:t>
      </w:r>
      <w:proofErr w:type="gramStart"/>
      <w:r w:rsidRPr="00B109DC">
        <w:rPr>
          <w:rFonts w:asciiTheme="majorHAnsi" w:eastAsia="Aptos" w:hAnsiTheme="majorHAnsi" w:cstheme="majorHAnsi"/>
        </w:rPr>
        <w:t>18</w:t>
      </w:r>
      <w:proofErr w:type="gramEnd"/>
      <w:r w:rsidRPr="00B109DC">
        <w:rPr>
          <w:rFonts w:asciiTheme="majorHAnsi" w:eastAsia="Aptos" w:hAnsiTheme="majorHAnsi" w:cstheme="majorHAnsi"/>
        </w:rPr>
        <w:t xml:space="preserve"> to adulthood).</w:t>
      </w:r>
    </w:p>
    <w:p w14:paraId="47A0B55C" w14:textId="77777777" w:rsidR="00B109DC" w:rsidRPr="00B109DC" w:rsidRDefault="00B109DC" w:rsidP="00B109DC">
      <w:pPr>
        <w:rPr>
          <w:rFonts w:asciiTheme="majorHAnsi" w:eastAsia="Aptos" w:hAnsiTheme="majorHAnsi" w:cstheme="majorHAnsi"/>
          <w:b/>
          <w:bCs/>
        </w:rPr>
      </w:pPr>
      <w:r w:rsidRPr="00B109DC">
        <w:rPr>
          <w:rFonts w:asciiTheme="majorHAnsi" w:eastAsia="Aptos" w:hAnsiTheme="majorHAnsi" w:cstheme="majorHAnsi"/>
          <w:b/>
          <w:bCs/>
        </w:rPr>
        <w:t>Shifting from Access to Agency</w:t>
      </w:r>
    </w:p>
    <w:p w14:paraId="5518B7C5" w14:textId="67A5658F" w:rsidR="00B109DC" w:rsidRPr="00B109DC" w:rsidRDefault="00B109DC" w:rsidP="00B109DC">
      <w:pPr>
        <w:rPr>
          <w:rFonts w:asciiTheme="majorHAnsi" w:eastAsia="Aptos" w:hAnsiTheme="majorHAnsi" w:cstheme="majorHAnsi"/>
        </w:rPr>
      </w:pPr>
      <w:r w:rsidRPr="00B109DC">
        <w:rPr>
          <w:rFonts w:asciiTheme="majorHAnsi" w:eastAsia="Aptos" w:hAnsiTheme="majorHAnsi" w:cstheme="majorHAnsi"/>
        </w:rPr>
        <w:t xml:space="preserve">Solutions require moving beyond passive "next steps" messaging to building </w:t>
      </w:r>
      <w:r w:rsidRPr="00B109DC">
        <w:rPr>
          <w:rFonts w:asciiTheme="majorHAnsi" w:eastAsia="Aptos" w:hAnsiTheme="majorHAnsi" w:cstheme="majorHAnsi"/>
          <w:b/>
          <w:bCs/>
        </w:rPr>
        <w:t>lifelong career management skills</w:t>
      </w:r>
      <w:r w:rsidRPr="00B109DC">
        <w:rPr>
          <w:rFonts w:asciiTheme="majorHAnsi" w:eastAsia="Aptos" w:hAnsiTheme="majorHAnsi" w:cstheme="majorHAnsi"/>
        </w:rPr>
        <w:t xml:space="preserve">: self-awareness, decision-making, market navigation, and adaptability. Career learning must </w:t>
      </w:r>
      <w:proofErr w:type="gramStart"/>
      <w:r w:rsidRPr="00B109DC">
        <w:rPr>
          <w:rFonts w:asciiTheme="majorHAnsi" w:eastAsia="Aptos" w:hAnsiTheme="majorHAnsi" w:cstheme="majorHAnsi"/>
        </w:rPr>
        <w:t>be embedded</w:t>
      </w:r>
      <w:proofErr w:type="gramEnd"/>
      <w:r w:rsidRPr="00B109DC">
        <w:rPr>
          <w:rFonts w:asciiTheme="majorHAnsi" w:eastAsia="Aptos" w:hAnsiTheme="majorHAnsi" w:cstheme="majorHAnsi"/>
        </w:rPr>
        <w:t xml:space="preserve"> across curricula, not relegated to enrichment activities. Critically, continuity must follow the learner across institutional boundaries (primary, secondary, post-</w:t>
      </w:r>
      <w:proofErr w:type="gramStart"/>
      <w:r w:rsidRPr="00B109DC">
        <w:rPr>
          <w:rFonts w:asciiTheme="majorHAnsi" w:eastAsia="Aptos" w:hAnsiTheme="majorHAnsi" w:cstheme="majorHAnsi"/>
        </w:rPr>
        <w:t>1</w:t>
      </w:r>
      <w:r w:rsidR="00772C09">
        <w:rPr>
          <w:rFonts w:asciiTheme="majorHAnsi" w:eastAsia="Aptos" w:hAnsiTheme="majorHAnsi" w:cstheme="majorHAnsi"/>
        </w:rPr>
        <w:t>6</w:t>
      </w:r>
      <w:proofErr w:type="gramEnd"/>
      <w:r w:rsidRPr="00B109DC">
        <w:rPr>
          <w:rFonts w:asciiTheme="majorHAnsi" w:eastAsia="Aptos" w:hAnsiTheme="majorHAnsi" w:cstheme="majorHAnsi"/>
        </w:rPr>
        <w:t xml:space="preserve">, </w:t>
      </w:r>
      <w:r w:rsidR="00772C09">
        <w:rPr>
          <w:rFonts w:asciiTheme="majorHAnsi" w:eastAsia="Aptos" w:hAnsiTheme="majorHAnsi" w:cstheme="majorHAnsi"/>
        </w:rPr>
        <w:t>post-</w:t>
      </w:r>
      <w:proofErr w:type="gramStart"/>
      <w:r w:rsidR="00772C09">
        <w:rPr>
          <w:rFonts w:asciiTheme="majorHAnsi" w:eastAsia="Aptos" w:hAnsiTheme="majorHAnsi" w:cstheme="majorHAnsi"/>
        </w:rPr>
        <w:t>18</w:t>
      </w:r>
      <w:proofErr w:type="gramEnd"/>
      <w:r w:rsidR="00772C09">
        <w:rPr>
          <w:rFonts w:asciiTheme="majorHAnsi" w:eastAsia="Aptos" w:hAnsiTheme="majorHAnsi" w:cstheme="majorHAnsi"/>
        </w:rPr>
        <w:t xml:space="preserve"> and </w:t>
      </w:r>
      <w:r w:rsidRPr="00B109DC">
        <w:rPr>
          <w:rFonts w:asciiTheme="majorHAnsi" w:eastAsia="Aptos" w:hAnsiTheme="majorHAnsi" w:cstheme="majorHAnsi"/>
        </w:rPr>
        <w:t>adult services</w:t>
      </w:r>
      <w:r w:rsidRPr="00154AD6">
        <w:rPr>
          <w:rFonts w:asciiTheme="majorHAnsi" w:eastAsia="Aptos" w:hAnsiTheme="majorHAnsi" w:cstheme="majorHAnsi"/>
        </w:rPr>
        <w:t xml:space="preserve">). </w:t>
      </w:r>
    </w:p>
    <w:p w14:paraId="304EEB31" w14:textId="77777777" w:rsidR="00B109DC" w:rsidRPr="00B109DC" w:rsidRDefault="00B109DC" w:rsidP="00F82E73">
      <w:pPr>
        <w:pStyle w:val="Heading4"/>
        <w:spacing w:before="120" w:after="120"/>
      </w:pPr>
      <w:r w:rsidRPr="00B109DC">
        <w:t>WORK EXPERIENCE AND EMPLOYER ENGAGEMENT</w:t>
      </w:r>
    </w:p>
    <w:p w14:paraId="213760EF" w14:textId="77777777" w:rsidR="00B109DC" w:rsidRPr="00154AD6" w:rsidRDefault="00B109DC" w:rsidP="00B109DC">
      <w:pPr>
        <w:tabs>
          <w:tab w:val="num" w:pos="720"/>
        </w:tabs>
        <w:rPr>
          <w:rFonts w:asciiTheme="majorHAnsi" w:eastAsia="Aptos" w:hAnsiTheme="majorHAnsi" w:cstheme="majorHAnsi"/>
        </w:rPr>
      </w:pPr>
      <w:r w:rsidRPr="00B109DC">
        <w:rPr>
          <w:rFonts w:asciiTheme="majorHAnsi" w:eastAsia="Aptos" w:hAnsiTheme="majorHAnsi" w:cstheme="majorHAnsi"/>
        </w:rPr>
        <w:t xml:space="preserve">Work experience emerged as a cornerstone lever but faces implementation hurdles. Richard Irwin (Barclays) endorsed systemic effort to create an </w:t>
      </w:r>
      <w:r w:rsidRPr="00B109DC">
        <w:rPr>
          <w:rFonts w:asciiTheme="majorHAnsi" w:eastAsia="Aptos" w:hAnsiTheme="majorHAnsi" w:cstheme="majorHAnsi"/>
          <w:b/>
          <w:bCs/>
        </w:rPr>
        <w:t>ecosystem of business support</w:t>
      </w:r>
      <w:r w:rsidRPr="00B109DC">
        <w:rPr>
          <w:rFonts w:asciiTheme="majorHAnsi" w:eastAsia="Aptos" w:hAnsiTheme="majorHAnsi" w:cstheme="majorHAnsi"/>
        </w:rPr>
        <w:t>, paralleling successful apprenticeship expansion. He emphasized:</w:t>
      </w:r>
    </w:p>
    <w:p w14:paraId="74317809" w14:textId="201E6AEC" w:rsidR="00B109DC" w:rsidRPr="00154AD6" w:rsidRDefault="00B109DC" w:rsidP="00B109DC">
      <w:pPr>
        <w:pStyle w:val="ListParagraph"/>
        <w:numPr>
          <w:ilvl w:val="0"/>
          <w:numId w:val="45"/>
        </w:numPr>
        <w:tabs>
          <w:tab w:val="num" w:pos="720"/>
        </w:tabs>
        <w:rPr>
          <w:rFonts w:asciiTheme="majorHAnsi" w:eastAsia="Aptos" w:hAnsiTheme="majorHAnsi" w:cstheme="majorHAnsi"/>
        </w:rPr>
      </w:pPr>
      <w:r w:rsidRPr="00154AD6">
        <w:rPr>
          <w:rFonts w:asciiTheme="majorHAnsi" w:eastAsia="Aptos" w:hAnsiTheme="majorHAnsi" w:cstheme="majorHAnsi"/>
        </w:rPr>
        <w:t>Urgent need for consistent expectations across schools, colleges, and alternative provision</w:t>
      </w:r>
    </w:p>
    <w:p w14:paraId="28D6ED0E" w14:textId="77777777" w:rsidR="00B109DC" w:rsidRPr="00B109DC" w:rsidRDefault="00B109DC" w:rsidP="00B109DC">
      <w:pPr>
        <w:numPr>
          <w:ilvl w:val="0"/>
          <w:numId w:val="39"/>
        </w:numPr>
        <w:rPr>
          <w:rFonts w:asciiTheme="majorHAnsi" w:eastAsia="Aptos" w:hAnsiTheme="majorHAnsi" w:cstheme="majorHAnsi"/>
        </w:rPr>
      </w:pPr>
      <w:r w:rsidRPr="00B109DC">
        <w:rPr>
          <w:rFonts w:asciiTheme="majorHAnsi" w:eastAsia="Aptos" w:hAnsiTheme="majorHAnsi" w:cstheme="majorHAnsi"/>
        </w:rPr>
        <w:t xml:space="preserve">Clear, flexible pathways for employers to engage without bureaucratic </w:t>
      </w:r>
      <w:proofErr w:type="gramStart"/>
      <w:r w:rsidRPr="00B109DC">
        <w:rPr>
          <w:rFonts w:asciiTheme="majorHAnsi" w:eastAsia="Aptos" w:hAnsiTheme="majorHAnsi" w:cstheme="majorHAnsi"/>
        </w:rPr>
        <w:t>friction</w:t>
      </w:r>
      <w:proofErr w:type="gramEnd"/>
    </w:p>
    <w:p w14:paraId="5850E842" w14:textId="77777777" w:rsidR="00B109DC" w:rsidRPr="00B109DC" w:rsidRDefault="00B109DC" w:rsidP="00B109DC">
      <w:pPr>
        <w:numPr>
          <w:ilvl w:val="0"/>
          <w:numId w:val="39"/>
        </w:numPr>
        <w:rPr>
          <w:rFonts w:asciiTheme="majorHAnsi" w:eastAsia="Aptos" w:hAnsiTheme="majorHAnsi" w:cstheme="majorHAnsi"/>
        </w:rPr>
      </w:pPr>
      <w:r w:rsidRPr="00B109DC">
        <w:rPr>
          <w:rFonts w:asciiTheme="majorHAnsi" w:eastAsia="Aptos" w:hAnsiTheme="majorHAnsi" w:cstheme="majorHAnsi"/>
        </w:rPr>
        <w:t xml:space="preserve">Skills alignment: employers increasingly value transferable skills (communication, teamwork) alongside technical competencies, including emerging AI-related </w:t>
      </w:r>
      <w:proofErr w:type="gramStart"/>
      <w:r w:rsidRPr="00B109DC">
        <w:rPr>
          <w:rFonts w:asciiTheme="majorHAnsi" w:eastAsia="Aptos" w:hAnsiTheme="majorHAnsi" w:cstheme="majorHAnsi"/>
        </w:rPr>
        <w:t>capabilities</w:t>
      </w:r>
      <w:proofErr w:type="gramEnd"/>
    </w:p>
    <w:p w14:paraId="7F2AFEFF" w14:textId="342BC1A4" w:rsidR="00B109DC" w:rsidRPr="00B109DC" w:rsidRDefault="00B109DC" w:rsidP="00B109DC">
      <w:pPr>
        <w:rPr>
          <w:rFonts w:asciiTheme="majorHAnsi" w:eastAsia="Aptos" w:hAnsiTheme="majorHAnsi" w:cstheme="majorHAnsi"/>
        </w:rPr>
      </w:pPr>
      <w:r w:rsidRPr="00B109DC">
        <w:rPr>
          <w:rFonts w:asciiTheme="majorHAnsi" w:eastAsia="Aptos" w:hAnsiTheme="majorHAnsi" w:cstheme="majorHAnsi"/>
        </w:rPr>
        <w:lastRenderedPageBreak/>
        <w:t>Barriers remain high. Safeguarding requirements, administrative burdens, and lack of coordination between educational and employment professionals create friction. Speakers called for removing systemic obstacles without lowering safety standards.</w:t>
      </w:r>
    </w:p>
    <w:p w14:paraId="2F857EB7" w14:textId="77777777" w:rsidR="00B109DC" w:rsidRPr="00B109DC" w:rsidRDefault="00B109DC" w:rsidP="00F82E73">
      <w:pPr>
        <w:pStyle w:val="Heading4"/>
        <w:spacing w:before="120" w:after="120"/>
      </w:pPr>
      <w:r w:rsidRPr="00B109DC">
        <w:t>SUPPORTING ADULTS IN CAREER TRANSITION: THE LIFELONG LEARNING IMPERATIVE</w:t>
      </w:r>
    </w:p>
    <w:p w14:paraId="2F5AF28C" w14:textId="77777777" w:rsidR="00B109DC" w:rsidRPr="00B109DC" w:rsidRDefault="00B109DC" w:rsidP="00B109DC">
      <w:pPr>
        <w:rPr>
          <w:rFonts w:asciiTheme="majorHAnsi" w:eastAsia="Aptos" w:hAnsiTheme="majorHAnsi" w:cstheme="majorHAnsi"/>
          <w:b/>
          <w:bCs/>
        </w:rPr>
      </w:pPr>
      <w:r w:rsidRPr="00B109DC">
        <w:rPr>
          <w:rFonts w:asciiTheme="majorHAnsi" w:eastAsia="Aptos" w:hAnsiTheme="majorHAnsi" w:cstheme="majorHAnsi"/>
          <w:b/>
          <w:bCs/>
        </w:rPr>
        <w:t>The Changing Nature of Work</w:t>
      </w:r>
    </w:p>
    <w:p w14:paraId="4F17A3F3" w14:textId="2E96D366" w:rsidR="00B109DC" w:rsidRPr="00B109DC" w:rsidRDefault="00411756" w:rsidP="00B109DC">
      <w:pPr>
        <w:rPr>
          <w:rFonts w:asciiTheme="majorHAnsi" w:eastAsia="Aptos" w:hAnsiTheme="majorHAnsi" w:cstheme="majorHAnsi"/>
        </w:rPr>
      </w:pPr>
      <w:r w:rsidRPr="00154AD6">
        <w:rPr>
          <w:rFonts w:asciiTheme="majorHAnsi" w:eastAsia="Aptos" w:hAnsiTheme="majorHAnsi" w:cstheme="majorHAnsi"/>
        </w:rPr>
        <w:t>Cath</w:t>
      </w:r>
      <w:r w:rsidR="00B109DC" w:rsidRPr="00B109DC">
        <w:rPr>
          <w:rFonts w:asciiTheme="majorHAnsi" w:eastAsia="Aptos" w:hAnsiTheme="majorHAnsi" w:cstheme="majorHAnsi"/>
        </w:rPr>
        <w:t xml:space="preserve"> Poss</w:t>
      </w:r>
      <w:r w:rsidRPr="00154AD6">
        <w:rPr>
          <w:rFonts w:asciiTheme="majorHAnsi" w:eastAsia="Aptos" w:hAnsiTheme="majorHAnsi" w:cstheme="majorHAnsi"/>
        </w:rPr>
        <w:t>amai (Amazon)</w:t>
      </w:r>
      <w:r w:rsidR="00B109DC" w:rsidRPr="00B109DC">
        <w:rPr>
          <w:rFonts w:asciiTheme="majorHAnsi" w:eastAsia="Aptos" w:hAnsiTheme="majorHAnsi" w:cstheme="majorHAnsi"/>
        </w:rPr>
        <w:t xml:space="preserve"> illustrated the accelerating career-switching imperative. Her recruitment firm's AI-driven transformation is forcing organisational reskilling. Workers across industries must expect multiple career changes and develop transferability awareness.</w:t>
      </w:r>
    </w:p>
    <w:p w14:paraId="58F978DE" w14:textId="5665541D" w:rsidR="00B109DC" w:rsidRPr="00B109DC" w:rsidRDefault="00B109DC" w:rsidP="00B109DC">
      <w:pPr>
        <w:rPr>
          <w:rFonts w:asciiTheme="majorHAnsi" w:eastAsia="Aptos" w:hAnsiTheme="majorHAnsi" w:cstheme="majorHAnsi"/>
        </w:rPr>
      </w:pPr>
      <w:r w:rsidRPr="00B109DC">
        <w:rPr>
          <w:rFonts w:asciiTheme="majorHAnsi" w:eastAsia="Aptos" w:hAnsiTheme="majorHAnsi" w:cstheme="majorHAnsi"/>
        </w:rPr>
        <w:t>Amazon's Career Choice programme offers a model: employees working in Amazon warehouses receive £10,000+ in education funding to upskill into new roles (</w:t>
      </w:r>
      <w:r w:rsidR="008B2F7D">
        <w:rPr>
          <w:rFonts w:asciiTheme="majorHAnsi" w:eastAsia="Aptos" w:hAnsiTheme="majorHAnsi" w:cstheme="majorHAnsi"/>
        </w:rPr>
        <w:t xml:space="preserve">e.g., </w:t>
      </w:r>
      <w:r w:rsidRPr="00B109DC">
        <w:rPr>
          <w:rFonts w:asciiTheme="majorHAnsi" w:eastAsia="Aptos" w:hAnsiTheme="majorHAnsi" w:cstheme="majorHAnsi"/>
        </w:rPr>
        <w:t xml:space="preserve">nursing, engineering, </w:t>
      </w:r>
      <w:proofErr w:type="gramStart"/>
      <w:r w:rsidRPr="00B109DC">
        <w:rPr>
          <w:rFonts w:asciiTheme="majorHAnsi" w:eastAsia="Aptos" w:hAnsiTheme="majorHAnsi" w:cstheme="majorHAnsi"/>
        </w:rPr>
        <w:t>etc</w:t>
      </w:r>
      <w:proofErr w:type="gramEnd"/>
      <w:r w:rsidRPr="00B109DC">
        <w:rPr>
          <w:rFonts w:asciiTheme="majorHAnsi" w:eastAsia="Aptos" w:hAnsiTheme="majorHAnsi" w:cstheme="majorHAnsi"/>
        </w:rPr>
        <w:t>), supporting both individual progression and organisational resilience.</w:t>
      </w:r>
    </w:p>
    <w:p w14:paraId="759EC372" w14:textId="77777777" w:rsidR="00B109DC" w:rsidRPr="00B109DC" w:rsidRDefault="00B109DC" w:rsidP="00B109DC">
      <w:pPr>
        <w:rPr>
          <w:rFonts w:asciiTheme="majorHAnsi" w:eastAsia="Aptos" w:hAnsiTheme="majorHAnsi" w:cstheme="majorHAnsi"/>
          <w:b/>
          <w:bCs/>
        </w:rPr>
      </w:pPr>
      <w:r w:rsidRPr="00B109DC">
        <w:rPr>
          <w:rFonts w:asciiTheme="majorHAnsi" w:eastAsia="Aptos" w:hAnsiTheme="majorHAnsi" w:cstheme="majorHAnsi"/>
          <w:b/>
          <w:bCs/>
        </w:rPr>
        <w:t>Policy Gaps</w:t>
      </w:r>
    </w:p>
    <w:p w14:paraId="66BCF4B5" w14:textId="67673536" w:rsidR="00B109DC" w:rsidRPr="00B109DC" w:rsidRDefault="00B109DC" w:rsidP="00B109DC">
      <w:pPr>
        <w:rPr>
          <w:rFonts w:asciiTheme="majorHAnsi" w:eastAsia="Aptos" w:hAnsiTheme="majorHAnsi" w:cstheme="majorHAnsi"/>
        </w:rPr>
      </w:pPr>
      <w:r w:rsidRPr="00B109DC">
        <w:rPr>
          <w:rFonts w:asciiTheme="majorHAnsi" w:eastAsia="Aptos" w:hAnsiTheme="majorHAnsi" w:cstheme="majorHAnsi"/>
        </w:rPr>
        <w:t xml:space="preserve">Dr. </w:t>
      </w:r>
      <w:r w:rsidR="00411756" w:rsidRPr="00695F43">
        <w:rPr>
          <w:rFonts w:asciiTheme="majorHAnsi" w:eastAsia="Aptos" w:hAnsiTheme="majorHAnsi" w:cstheme="majorHAnsi"/>
        </w:rPr>
        <w:t>Percy</w:t>
      </w:r>
      <w:r w:rsidRPr="00B109DC">
        <w:rPr>
          <w:rFonts w:asciiTheme="majorHAnsi" w:eastAsia="Aptos" w:hAnsiTheme="majorHAnsi" w:cstheme="majorHAnsi"/>
        </w:rPr>
        <w:t xml:space="preserve"> identified a critical weakness: careers policy focuses </w:t>
      </w:r>
      <w:proofErr w:type="gramStart"/>
      <w:r w:rsidRPr="00B109DC">
        <w:rPr>
          <w:rFonts w:asciiTheme="majorHAnsi" w:eastAsia="Aptos" w:hAnsiTheme="majorHAnsi" w:cstheme="majorHAnsi"/>
        </w:rPr>
        <w:t>almost exclusively</w:t>
      </w:r>
      <w:proofErr w:type="gramEnd"/>
      <w:r w:rsidRPr="00B109DC">
        <w:rPr>
          <w:rFonts w:asciiTheme="majorHAnsi" w:eastAsia="Aptos" w:hAnsiTheme="majorHAnsi" w:cstheme="majorHAnsi"/>
        </w:rPr>
        <w:t xml:space="preserve"> on young people (post-16), leaving adults </w:t>
      </w:r>
      <w:proofErr w:type="gramStart"/>
      <w:r w:rsidRPr="00B109DC">
        <w:rPr>
          <w:rFonts w:asciiTheme="majorHAnsi" w:eastAsia="Aptos" w:hAnsiTheme="majorHAnsi" w:cstheme="majorHAnsi"/>
        </w:rPr>
        <w:t>largely dependent</w:t>
      </w:r>
      <w:proofErr w:type="gramEnd"/>
      <w:r w:rsidRPr="00B109DC">
        <w:rPr>
          <w:rFonts w:asciiTheme="majorHAnsi" w:eastAsia="Aptos" w:hAnsiTheme="majorHAnsi" w:cstheme="majorHAnsi"/>
        </w:rPr>
        <w:t xml:space="preserve"> on incidental investment. </w:t>
      </w:r>
      <w:r w:rsidR="00695F43">
        <w:rPr>
          <w:rFonts w:asciiTheme="majorHAnsi" w:eastAsia="Aptos" w:hAnsiTheme="majorHAnsi" w:cstheme="majorHAnsi"/>
        </w:rPr>
        <w:t>I</w:t>
      </w:r>
      <w:r w:rsidRPr="00B109DC">
        <w:rPr>
          <w:rFonts w:asciiTheme="majorHAnsi" w:eastAsia="Aptos" w:hAnsiTheme="majorHAnsi" w:cstheme="majorHAnsi"/>
        </w:rPr>
        <w:t>f structured strategically</w:t>
      </w:r>
      <w:r w:rsidR="00695F43">
        <w:rPr>
          <w:rFonts w:asciiTheme="majorHAnsi" w:eastAsia="Aptos" w:hAnsiTheme="majorHAnsi" w:cstheme="majorHAnsi"/>
        </w:rPr>
        <w:t xml:space="preserve">, </w:t>
      </w:r>
      <w:r w:rsidR="00695F43" w:rsidRPr="00B109DC">
        <w:rPr>
          <w:rFonts w:asciiTheme="majorHAnsi" w:eastAsia="Aptos" w:hAnsiTheme="majorHAnsi" w:cstheme="majorHAnsi"/>
        </w:rPr>
        <w:t>career development policy</w:t>
      </w:r>
      <w:r w:rsidR="00695F43">
        <w:rPr>
          <w:rFonts w:asciiTheme="majorHAnsi" w:eastAsia="Aptos" w:hAnsiTheme="majorHAnsi" w:cstheme="majorHAnsi"/>
        </w:rPr>
        <w:t xml:space="preserve"> </w:t>
      </w:r>
      <w:r w:rsidRPr="00B109DC">
        <w:rPr>
          <w:rFonts w:asciiTheme="majorHAnsi" w:eastAsia="Aptos" w:hAnsiTheme="majorHAnsi" w:cstheme="majorHAnsi"/>
        </w:rPr>
        <w:t>can address multiple government priorities: reducing NEET rates, raising employment and productivity, and supporting workforce adaptation to sectoral changes (green economy, AI, health/social care).</w:t>
      </w:r>
    </w:p>
    <w:p w14:paraId="60E2CCC6" w14:textId="19887065" w:rsidR="00D4256D" w:rsidRPr="00F82E73" w:rsidRDefault="00B109DC" w:rsidP="00B109DC">
      <w:pPr>
        <w:rPr>
          <w:rFonts w:asciiTheme="majorHAnsi" w:eastAsia="Aptos" w:hAnsiTheme="majorHAnsi" w:cstheme="majorHAnsi"/>
        </w:rPr>
      </w:pPr>
      <w:r w:rsidRPr="00B109DC">
        <w:rPr>
          <w:rFonts w:asciiTheme="majorHAnsi" w:eastAsia="Aptos" w:hAnsiTheme="majorHAnsi" w:cstheme="majorHAnsi"/>
        </w:rPr>
        <w:t xml:space="preserve">The Lifelong Learning Entitlement concept is welcome but insufficient without complementary </w:t>
      </w:r>
      <w:r w:rsidR="00D4256D">
        <w:rPr>
          <w:rFonts w:asciiTheme="majorHAnsi" w:eastAsia="Aptos" w:hAnsiTheme="majorHAnsi" w:cstheme="majorHAnsi"/>
        </w:rPr>
        <w:t xml:space="preserve">career guidance </w:t>
      </w:r>
      <w:r w:rsidRPr="00B109DC">
        <w:rPr>
          <w:rFonts w:asciiTheme="majorHAnsi" w:eastAsia="Aptos" w:hAnsiTheme="majorHAnsi" w:cstheme="majorHAnsi"/>
        </w:rPr>
        <w:t>support. Low-education adults cannot access loans without prior confidence in outcomes; they require funded pathway support and access to practical, employment-linked learning</w:t>
      </w:r>
      <w:r w:rsidR="008B2F7D">
        <w:rPr>
          <w:rFonts w:asciiTheme="majorHAnsi" w:eastAsia="Aptos" w:hAnsiTheme="majorHAnsi" w:cstheme="majorHAnsi"/>
        </w:rPr>
        <w:t xml:space="preserve">, </w:t>
      </w:r>
      <w:r w:rsidRPr="00B109DC">
        <w:rPr>
          <w:rFonts w:asciiTheme="majorHAnsi" w:eastAsia="Aptos" w:hAnsiTheme="majorHAnsi" w:cstheme="majorHAnsi"/>
        </w:rPr>
        <w:t xml:space="preserve">not just abstract </w:t>
      </w:r>
      <w:proofErr w:type="gramStart"/>
      <w:r w:rsidRPr="00B109DC">
        <w:rPr>
          <w:rFonts w:asciiTheme="majorHAnsi" w:eastAsia="Aptos" w:hAnsiTheme="majorHAnsi" w:cstheme="majorHAnsi"/>
        </w:rPr>
        <w:t>courses</w:t>
      </w:r>
      <w:proofErr w:type="gramEnd"/>
      <w:r w:rsidR="00D4256D">
        <w:rPr>
          <w:rFonts w:asciiTheme="majorHAnsi" w:eastAsia="Aptos" w:hAnsiTheme="majorHAnsi" w:cstheme="majorHAnsi"/>
        </w:rPr>
        <w:t xml:space="preserve"> and ongoing advice on progression</w:t>
      </w:r>
      <w:r w:rsidRPr="00B109DC">
        <w:rPr>
          <w:rFonts w:asciiTheme="majorHAnsi" w:eastAsia="Aptos" w:hAnsiTheme="majorHAnsi" w:cstheme="majorHAnsi"/>
        </w:rPr>
        <w:t>.</w:t>
      </w:r>
    </w:p>
    <w:p w14:paraId="207486FE" w14:textId="37D0D0B0" w:rsidR="00B109DC" w:rsidRPr="00B109DC" w:rsidRDefault="00B109DC" w:rsidP="00B109DC">
      <w:pPr>
        <w:rPr>
          <w:rFonts w:asciiTheme="majorHAnsi" w:eastAsia="Aptos" w:hAnsiTheme="majorHAnsi" w:cstheme="majorHAnsi"/>
          <w:b/>
          <w:bCs/>
        </w:rPr>
      </w:pPr>
      <w:r w:rsidRPr="00B109DC">
        <w:rPr>
          <w:rFonts w:asciiTheme="majorHAnsi" w:eastAsia="Aptos" w:hAnsiTheme="majorHAnsi" w:cstheme="majorHAnsi"/>
          <w:b/>
          <w:bCs/>
        </w:rPr>
        <w:t>Integration Risks</w:t>
      </w:r>
    </w:p>
    <w:p w14:paraId="05B1F97D" w14:textId="224C93BB" w:rsidR="00B109DC" w:rsidRPr="00B109DC" w:rsidRDefault="00B109DC" w:rsidP="00B109DC">
      <w:pPr>
        <w:rPr>
          <w:rFonts w:asciiTheme="majorHAnsi" w:eastAsia="Aptos" w:hAnsiTheme="majorHAnsi" w:cstheme="majorHAnsi"/>
        </w:rPr>
      </w:pPr>
      <w:r w:rsidRPr="00B109DC">
        <w:rPr>
          <w:rFonts w:asciiTheme="majorHAnsi" w:eastAsia="Aptos" w:hAnsiTheme="majorHAnsi" w:cstheme="majorHAnsi"/>
        </w:rPr>
        <w:t xml:space="preserve">The planned merger of the National Careers Service into DWP's job centres triggered concerns. </w:t>
      </w:r>
      <w:r w:rsidR="005754AB" w:rsidRPr="00154AD6">
        <w:rPr>
          <w:rFonts w:asciiTheme="majorHAnsi" w:eastAsia="Aptos" w:hAnsiTheme="majorHAnsi" w:cstheme="majorHAnsi"/>
        </w:rPr>
        <w:t xml:space="preserve">A </w:t>
      </w:r>
      <w:r w:rsidR="008B2F7D">
        <w:rPr>
          <w:rFonts w:asciiTheme="majorHAnsi" w:eastAsia="Aptos" w:hAnsiTheme="majorHAnsi" w:cstheme="majorHAnsi"/>
        </w:rPr>
        <w:t xml:space="preserve">participant </w:t>
      </w:r>
      <w:r w:rsidRPr="00B109DC">
        <w:rPr>
          <w:rFonts w:asciiTheme="majorHAnsi" w:eastAsia="Aptos" w:hAnsiTheme="majorHAnsi" w:cstheme="majorHAnsi"/>
        </w:rPr>
        <w:t xml:space="preserve">warned that a "large organisation taking on something small" risks absorbing career guidance into job placement logic, losing professional expertise. </w:t>
      </w:r>
      <w:r w:rsidR="008B2F7D">
        <w:rPr>
          <w:rFonts w:asciiTheme="majorHAnsi" w:eastAsia="Aptos" w:hAnsiTheme="majorHAnsi" w:cstheme="majorHAnsi"/>
        </w:rPr>
        <w:t>Another participant</w:t>
      </w:r>
      <w:r w:rsidRPr="00B109DC">
        <w:rPr>
          <w:rFonts w:asciiTheme="majorHAnsi" w:eastAsia="Aptos" w:hAnsiTheme="majorHAnsi" w:cstheme="majorHAnsi"/>
        </w:rPr>
        <w:t xml:space="preserve"> reinforced this: the original Connexions service achieved NEET reduction through dual provision</w:t>
      </w:r>
      <w:r w:rsidR="008B2F7D">
        <w:rPr>
          <w:rFonts w:asciiTheme="majorHAnsi" w:eastAsia="Aptos" w:hAnsiTheme="majorHAnsi" w:cstheme="majorHAnsi"/>
        </w:rPr>
        <w:t xml:space="preserve">: </w:t>
      </w:r>
      <w:r w:rsidRPr="00B109DC">
        <w:rPr>
          <w:rFonts w:asciiTheme="majorHAnsi" w:eastAsia="Aptos" w:hAnsiTheme="majorHAnsi" w:cstheme="majorHAnsi"/>
        </w:rPr>
        <w:t xml:space="preserve">targeted support for those already NEET </w:t>
      </w:r>
      <w:r w:rsidRPr="00B109DC">
        <w:rPr>
          <w:rFonts w:asciiTheme="majorHAnsi" w:eastAsia="Aptos" w:hAnsiTheme="majorHAnsi" w:cstheme="majorHAnsi"/>
          <w:i/>
          <w:iCs/>
        </w:rPr>
        <w:t>plus</w:t>
      </w:r>
      <w:r w:rsidRPr="00B109DC">
        <w:rPr>
          <w:rFonts w:asciiTheme="majorHAnsi" w:eastAsia="Aptos" w:hAnsiTheme="majorHAnsi" w:cstheme="majorHAnsi"/>
        </w:rPr>
        <w:t xml:space="preserve"> universal careers support preventing entry into that status. Both must </w:t>
      </w:r>
      <w:proofErr w:type="gramStart"/>
      <w:r w:rsidRPr="00B109DC">
        <w:rPr>
          <w:rFonts w:asciiTheme="majorHAnsi" w:eastAsia="Aptos" w:hAnsiTheme="majorHAnsi" w:cstheme="majorHAnsi"/>
        </w:rPr>
        <w:t>be preserved</w:t>
      </w:r>
      <w:proofErr w:type="gramEnd"/>
      <w:r w:rsidRPr="00B109DC">
        <w:rPr>
          <w:rFonts w:asciiTheme="majorHAnsi" w:eastAsia="Aptos" w:hAnsiTheme="majorHAnsi" w:cstheme="majorHAnsi"/>
        </w:rPr>
        <w:t>.</w:t>
      </w:r>
    </w:p>
    <w:p w14:paraId="17BCF054" w14:textId="5AE5F451" w:rsidR="00B109DC" w:rsidRPr="00B109DC" w:rsidRDefault="00B109DC" w:rsidP="00F82E73">
      <w:pPr>
        <w:pStyle w:val="Heading4"/>
        <w:spacing w:before="120" w:after="120"/>
      </w:pPr>
      <w:r w:rsidRPr="00B109DC">
        <w:t>CROSS-CUTTING THEMES: EQUITY, EQUITY, AND PROFESSIONALI</w:t>
      </w:r>
      <w:r w:rsidR="00F82E73">
        <w:t>S</w:t>
      </w:r>
      <w:r w:rsidRPr="00B109DC">
        <w:t>ATION</w:t>
      </w:r>
    </w:p>
    <w:p w14:paraId="465C77AB" w14:textId="77777777" w:rsidR="00B109DC" w:rsidRPr="00B109DC" w:rsidRDefault="00B109DC" w:rsidP="00B109DC">
      <w:pPr>
        <w:rPr>
          <w:rFonts w:asciiTheme="majorHAnsi" w:eastAsia="Aptos" w:hAnsiTheme="majorHAnsi" w:cstheme="majorHAnsi"/>
          <w:b/>
          <w:bCs/>
        </w:rPr>
      </w:pPr>
      <w:r w:rsidRPr="00B109DC">
        <w:rPr>
          <w:rFonts w:asciiTheme="majorHAnsi" w:eastAsia="Aptos" w:hAnsiTheme="majorHAnsi" w:cstheme="majorHAnsi"/>
          <w:b/>
          <w:bCs/>
        </w:rPr>
        <w:t>Equity Imperatives</w:t>
      </w:r>
    </w:p>
    <w:p w14:paraId="6467BAF4" w14:textId="613863B0" w:rsidR="00B109DC" w:rsidRPr="00B109DC" w:rsidRDefault="00154AD6" w:rsidP="00B109DC">
      <w:pPr>
        <w:rPr>
          <w:rFonts w:asciiTheme="majorHAnsi" w:eastAsia="Aptos" w:hAnsiTheme="majorHAnsi" w:cstheme="majorHAnsi"/>
        </w:rPr>
      </w:pPr>
      <w:r>
        <w:rPr>
          <w:rFonts w:asciiTheme="majorHAnsi" w:eastAsia="Aptos" w:hAnsiTheme="majorHAnsi" w:cstheme="majorHAnsi"/>
        </w:rPr>
        <w:t xml:space="preserve">Speakers </w:t>
      </w:r>
      <w:r w:rsidR="00B109DC" w:rsidRPr="00B109DC">
        <w:rPr>
          <w:rFonts w:asciiTheme="majorHAnsi" w:eastAsia="Aptos" w:hAnsiTheme="majorHAnsi" w:cstheme="majorHAnsi"/>
        </w:rPr>
        <w:t>emphasi</w:t>
      </w:r>
      <w:r w:rsidR="008B2F7D">
        <w:rPr>
          <w:rFonts w:asciiTheme="majorHAnsi" w:eastAsia="Aptos" w:hAnsiTheme="majorHAnsi" w:cstheme="majorHAnsi"/>
        </w:rPr>
        <w:t>s</w:t>
      </w:r>
      <w:r w:rsidR="00B109DC" w:rsidRPr="00B109DC">
        <w:rPr>
          <w:rFonts w:asciiTheme="majorHAnsi" w:eastAsia="Aptos" w:hAnsiTheme="majorHAnsi" w:cstheme="majorHAnsi"/>
        </w:rPr>
        <w:t>ed that generic interventions serve those already positioned advantageously. Greatest impact requires targeted support for young people with special education needs, non-white students, and those from low-socioeconomic backgrounds. Design must involve these communities in defining solutions, not imposing external definitions of need.</w:t>
      </w:r>
    </w:p>
    <w:p w14:paraId="7A7C08B1" w14:textId="14289B99" w:rsidR="00B109DC" w:rsidRPr="00B109DC" w:rsidRDefault="00B109DC" w:rsidP="00B109DC">
      <w:pPr>
        <w:rPr>
          <w:rFonts w:asciiTheme="majorHAnsi" w:eastAsia="Aptos" w:hAnsiTheme="majorHAnsi" w:cstheme="majorHAnsi"/>
        </w:rPr>
      </w:pPr>
      <w:r w:rsidRPr="00B109DC">
        <w:rPr>
          <w:rFonts w:asciiTheme="majorHAnsi" w:eastAsia="Aptos" w:hAnsiTheme="majorHAnsi" w:cstheme="majorHAnsi"/>
        </w:rPr>
        <w:t xml:space="preserve">Baroness </w:t>
      </w:r>
      <w:r w:rsidRPr="00154AD6">
        <w:rPr>
          <w:rFonts w:asciiTheme="majorHAnsi" w:eastAsia="Aptos" w:hAnsiTheme="majorHAnsi" w:cstheme="majorHAnsi"/>
        </w:rPr>
        <w:t>Garden</w:t>
      </w:r>
      <w:r w:rsidRPr="00B109DC">
        <w:rPr>
          <w:rFonts w:asciiTheme="majorHAnsi" w:eastAsia="Aptos" w:hAnsiTheme="majorHAnsi" w:cstheme="majorHAnsi"/>
        </w:rPr>
        <w:t xml:space="preserve"> added that early interventio</w:t>
      </w:r>
      <w:r w:rsidR="00695F43">
        <w:rPr>
          <w:rFonts w:asciiTheme="majorHAnsi" w:eastAsia="Aptos" w:hAnsiTheme="majorHAnsi" w:cstheme="majorHAnsi"/>
        </w:rPr>
        <w:t xml:space="preserve">n, </w:t>
      </w:r>
      <w:r w:rsidRPr="00B109DC">
        <w:rPr>
          <w:rFonts w:asciiTheme="majorHAnsi" w:eastAsia="Aptos" w:hAnsiTheme="majorHAnsi" w:cstheme="majorHAnsi"/>
        </w:rPr>
        <w:t>starting in primary school</w:t>
      </w:r>
      <w:r w:rsidR="00695F43">
        <w:rPr>
          <w:rFonts w:asciiTheme="majorHAnsi" w:eastAsia="Aptos" w:hAnsiTheme="majorHAnsi" w:cstheme="majorHAnsi"/>
        </w:rPr>
        <w:t xml:space="preserve">, </w:t>
      </w:r>
      <w:r w:rsidRPr="00B109DC">
        <w:rPr>
          <w:rFonts w:asciiTheme="majorHAnsi" w:eastAsia="Aptos" w:hAnsiTheme="majorHAnsi" w:cstheme="majorHAnsi"/>
        </w:rPr>
        <w:t>is critical. Young children already exhibit gender stereotyping by age 6. Tools like career-themed card games</w:t>
      </w:r>
      <w:r w:rsidR="00FC3014">
        <w:rPr>
          <w:rFonts w:asciiTheme="majorHAnsi" w:eastAsia="Aptos" w:hAnsiTheme="majorHAnsi" w:cstheme="majorHAnsi"/>
        </w:rPr>
        <w:t xml:space="preserve"> (i.e., Panjango Trumps: Future Jobs)</w:t>
      </w:r>
      <w:r w:rsidRPr="00B109DC">
        <w:rPr>
          <w:rFonts w:asciiTheme="majorHAnsi" w:eastAsia="Aptos" w:hAnsiTheme="majorHAnsi" w:cstheme="majorHAnsi"/>
        </w:rPr>
        <w:t xml:space="preserve"> have proven effective in widening horizons across socioeconomic groups.</w:t>
      </w:r>
    </w:p>
    <w:p w14:paraId="03665748" w14:textId="7C9239A7" w:rsidR="00B109DC" w:rsidRPr="00B109DC" w:rsidRDefault="00B109DC" w:rsidP="00B109DC">
      <w:pPr>
        <w:rPr>
          <w:rFonts w:asciiTheme="majorHAnsi" w:eastAsia="Aptos" w:hAnsiTheme="majorHAnsi" w:cstheme="majorHAnsi"/>
          <w:b/>
          <w:bCs/>
        </w:rPr>
      </w:pPr>
      <w:r w:rsidRPr="00B109DC">
        <w:rPr>
          <w:rFonts w:asciiTheme="majorHAnsi" w:eastAsia="Aptos" w:hAnsiTheme="majorHAnsi" w:cstheme="majorHAnsi"/>
          <w:b/>
          <w:bCs/>
        </w:rPr>
        <w:t>Professionali</w:t>
      </w:r>
      <w:r w:rsidR="00695F43">
        <w:rPr>
          <w:rFonts w:asciiTheme="majorHAnsi" w:eastAsia="Aptos" w:hAnsiTheme="majorHAnsi" w:cstheme="majorHAnsi"/>
          <w:b/>
          <w:bCs/>
        </w:rPr>
        <w:t>s</w:t>
      </w:r>
      <w:r w:rsidRPr="00B109DC">
        <w:rPr>
          <w:rFonts w:asciiTheme="majorHAnsi" w:eastAsia="Aptos" w:hAnsiTheme="majorHAnsi" w:cstheme="majorHAnsi"/>
          <w:b/>
          <w:bCs/>
        </w:rPr>
        <w:t>ation and Training</w:t>
      </w:r>
    </w:p>
    <w:p w14:paraId="082F04B4" w14:textId="60A3DA28" w:rsidR="00B109DC" w:rsidRPr="00B109DC" w:rsidRDefault="00154AD6" w:rsidP="00B109DC">
      <w:pPr>
        <w:rPr>
          <w:rFonts w:asciiTheme="majorHAnsi" w:eastAsia="Aptos" w:hAnsiTheme="majorHAnsi" w:cstheme="majorHAnsi"/>
        </w:rPr>
      </w:pPr>
      <w:r>
        <w:rPr>
          <w:rFonts w:asciiTheme="majorHAnsi" w:eastAsia="Aptos" w:hAnsiTheme="majorHAnsi" w:cstheme="majorHAnsi"/>
        </w:rPr>
        <w:t>A participant</w:t>
      </w:r>
      <w:r w:rsidR="00B109DC" w:rsidRPr="00B109DC">
        <w:rPr>
          <w:rFonts w:asciiTheme="majorHAnsi" w:eastAsia="Aptos" w:hAnsiTheme="majorHAnsi" w:cstheme="majorHAnsi"/>
        </w:rPr>
        <w:t xml:space="preserve"> raised an underexplored gap: while the Careers and Enterprise Company trained ~5,000 career leaders in schools and colleges, systematic, scaled CPD for careers </w:t>
      </w:r>
      <w:r w:rsidR="00431D55">
        <w:rPr>
          <w:rFonts w:asciiTheme="majorHAnsi" w:eastAsia="Aptos" w:hAnsiTheme="majorHAnsi" w:cstheme="majorHAnsi"/>
        </w:rPr>
        <w:t xml:space="preserve">advisers </w:t>
      </w:r>
      <w:r w:rsidR="00B109DC" w:rsidRPr="00B109DC">
        <w:rPr>
          <w:rFonts w:asciiTheme="majorHAnsi" w:eastAsia="Aptos" w:hAnsiTheme="majorHAnsi" w:cstheme="majorHAnsi"/>
        </w:rPr>
        <w:t xml:space="preserve">remains fragmented. Investment in "train the trainer" models and employer engagement training for educational staff has </w:t>
      </w:r>
      <w:proofErr w:type="gramStart"/>
      <w:r w:rsidR="00B109DC" w:rsidRPr="00B109DC">
        <w:rPr>
          <w:rFonts w:asciiTheme="majorHAnsi" w:eastAsia="Aptos" w:hAnsiTheme="majorHAnsi" w:cstheme="majorHAnsi"/>
        </w:rPr>
        <w:t>been described</w:t>
      </w:r>
      <w:proofErr w:type="gramEnd"/>
      <w:r w:rsidR="00B109DC" w:rsidRPr="00B109DC">
        <w:rPr>
          <w:rFonts w:asciiTheme="majorHAnsi" w:eastAsia="Aptos" w:hAnsiTheme="majorHAnsi" w:cstheme="majorHAnsi"/>
        </w:rPr>
        <w:t xml:space="preserve"> as "ground zero."</w:t>
      </w:r>
    </w:p>
    <w:p w14:paraId="7DB27726" w14:textId="3282123C" w:rsidR="00B109DC" w:rsidRPr="00B109DC" w:rsidRDefault="008B2F7D" w:rsidP="00B109DC">
      <w:pPr>
        <w:rPr>
          <w:rFonts w:asciiTheme="majorHAnsi" w:eastAsia="Aptos" w:hAnsiTheme="majorHAnsi" w:cstheme="majorHAnsi"/>
        </w:rPr>
      </w:pPr>
      <w:r>
        <w:rPr>
          <w:rFonts w:asciiTheme="majorHAnsi" w:eastAsia="Aptos" w:hAnsiTheme="majorHAnsi" w:cstheme="majorHAnsi"/>
        </w:rPr>
        <w:t>Another participant</w:t>
      </w:r>
      <w:r w:rsidR="00B109DC" w:rsidRPr="00B109DC">
        <w:rPr>
          <w:rFonts w:asciiTheme="majorHAnsi" w:eastAsia="Aptos" w:hAnsiTheme="majorHAnsi" w:cstheme="majorHAnsi"/>
        </w:rPr>
        <w:t xml:space="preserve"> highlighted the dual challenge of AI transformation: not only must careers advis</w:t>
      </w:r>
      <w:r w:rsidR="00431D55">
        <w:rPr>
          <w:rFonts w:asciiTheme="majorHAnsi" w:eastAsia="Aptos" w:hAnsiTheme="majorHAnsi" w:cstheme="majorHAnsi"/>
        </w:rPr>
        <w:t>e</w:t>
      </w:r>
      <w:r w:rsidR="00B109DC" w:rsidRPr="00B109DC">
        <w:rPr>
          <w:rFonts w:asciiTheme="majorHAnsi" w:eastAsia="Aptos" w:hAnsiTheme="majorHAnsi" w:cstheme="majorHAnsi"/>
        </w:rPr>
        <w:t>rs upskill in AI literacy and emerging opportunities, but they must also help clients navigate uncertainty</w:t>
      </w:r>
      <w:r>
        <w:rPr>
          <w:rFonts w:asciiTheme="majorHAnsi" w:eastAsia="Aptos" w:hAnsiTheme="majorHAnsi" w:cstheme="majorHAnsi"/>
        </w:rPr>
        <w:t xml:space="preserve"> due to the </w:t>
      </w:r>
      <w:r>
        <w:rPr>
          <w:rFonts w:asciiTheme="majorHAnsi" w:eastAsia="Aptos" w:hAnsiTheme="majorHAnsi" w:cstheme="majorHAnsi"/>
        </w:rPr>
        <w:lastRenderedPageBreak/>
        <w:t xml:space="preserve">continuously changing nature of the labour market. </w:t>
      </w:r>
      <w:r w:rsidR="00B109DC" w:rsidRPr="00B109DC">
        <w:rPr>
          <w:rFonts w:asciiTheme="majorHAnsi" w:eastAsia="Aptos" w:hAnsiTheme="majorHAnsi" w:cstheme="majorHAnsi"/>
        </w:rPr>
        <w:t>This requires moving from predictable pathway advice to equipping people with adaptive skills and decision-making frameworks.</w:t>
      </w:r>
    </w:p>
    <w:p w14:paraId="4291F0D4" w14:textId="77777777" w:rsidR="00B109DC" w:rsidRPr="00B109DC" w:rsidRDefault="00B109DC" w:rsidP="00F82E73">
      <w:pPr>
        <w:pStyle w:val="Heading4"/>
        <w:spacing w:before="120" w:after="120"/>
      </w:pPr>
      <w:r w:rsidRPr="00B109DC">
        <w:t>POLICY RECOMMENDATIONS AND STRUCTURAL SHIFTS</w:t>
      </w:r>
    </w:p>
    <w:p w14:paraId="73D0D0F3" w14:textId="77777777" w:rsidR="00B109DC" w:rsidRPr="00B109DC" w:rsidRDefault="00B109DC" w:rsidP="00B109DC">
      <w:pPr>
        <w:rPr>
          <w:rFonts w:asciiTheme="majorHAnsi" w:eastAsia="Aptos" w:hAnsiTheme="majorHAnsi" w:cstheme="majorHAnsi"/>
          <w:b/>
          <w:bCs/>
        </w:rPr>
      </w:pPr>
      <w:r w:rsidRPr="00B109DC">
        <w:rPr>
          <w:rFonts w:asciiTheme="majorHAnsi" w:eastAsia="Aptos" w:hAnsiTheme="majorHAnsi" w:cstheme="majorHAnsi"/>
          <w:b/>
          <w:bCs/>
        </w:rPr>
        <w:t>Immediate Priorities</w:t>
      </w:r>
    </w:p>
    <w:p w14:paraId="2CECF59C" w14:textId="7B4BF9D3" w:rsidR="00B109DC" w:rsidRPr="00B109DC" w:rsidRDefault="00B109DC" w:rsidP="00B109DC">
      <w:pPr>
        <w:numPr>
          <w:ilvl w:val="0"/>
          <w:numId w:val="40"/>
        </w:numPr>
        <w:rPr>
          <w:rFonts w:asciiTheme="majorHAnsi" w:eastAsia="Aptos" w:hAnsiTheme="majorHAnsi" w:cstheme="majorHAnsi"/>
        </w:rPr>
      </w:pPr>
      <w:r w:rsidRPr="00B109DC">
        <w:rPr>
          <w:rFonts w:asciiTheme="majorHAnsi" w:eastAsia="Aptos" w:hAnsiTheme="majorHAnsi" w:cstheme="majorHAnsi"/>
          <w:b/>
          <w:bCs/>
        </w:rPr>
        <w:t>Time and Space in Curriculum</w:t>
      </w:r>
      <w:r w:rsidRPr="00B109DC">
        <w:rPr>
          <w:rFonts w:asciiTheme="majorHAnsi" w:eastAsia="Aptos" w:hAnsiTheme="majorHAnsi" w:cstheme="majorHAnsi"/>
        </w:rPr>
        <w:t xml:space="preserve">: Embed careers education as non-negotiable curriculum time, not discretionary enrichment. </w:t>
      </w:r>
    </w:p>
    <w:p w14:paraId="19973AEA" w14:textId="57EB0E1D" w:rsidR="00B109DC" w:rsidRPr="00B109DC" w:rsidRDefault="00B109DC" w:rsidP="00B109DC">
      <w:pPr>
        <w:numPr>
          <w:ilvl w:val="0"/>
          <w:numId w:val="40"/>
        </w:numPr>
        <w:rPr>
          <w:rFonts w:asciiTheme="majorHAnsi" w:eastAsia="Aptos" w:hAnsiTheme="majorHAnsi" w:cstheme="majorHAnsi"/>
        </w:rPr>
      </w:pPr>
      <w:r w:rsidRPr="00B109DC">
        <w:rPr>
          <w:rFonts w:asciiTheme="majorHAnsi" w:eastAsia="Aptos" w:hAnsiTheme="majorHAnsi" w:cstheme="majorHAnsi"/>
          <w:b/>
          <w:bCs/>
        </w:rPr>
        <w:t>Work Experience Scale and Standardi</w:t>
      </w:r>
      <w:r w:rsidR="00F82E73">
        <w:rPr>
          <w:rFonts w:asciiTheme="majorHAnsi" w:eastAsia="Aptos" w:hAnsiTheme="majorHAnsi" w:cstheme="majorHAnsi"/>
          <w:b/>
          <w:bCs/>
        </w:rPr>
        <w:t>s</w:t>
      </w:r>
      <w:r w:rsidRPr="00B109DC">
        <w:rPr>
          <w:rFonts w:asciiTheme="majorHAnsi" w:eastAsia="Aptos" w:hAnsiTheme="majorHAnsi" w:cstheme="majorHAnsi"/>
          <w:b/>
          <w:bCs/>
        </w:rPr>
        <w:t>ation</w:t>
      </w:r>
      <w:r w:rsidRPr="00B109DC">
        <w:rPr>
          <w:rFonts w:asciiTheme="majorHAnsi" w:eastAsia="Aptos" w:hAnsiTheme="majorHAnsi" w:cstheme="majorHAnsi"/>
        </w:rPr>
        <w:t>: Moderni</w:t>
      </w:r>
      <w:r w:rsidR="00F82E73">
        <w:rPr>
          <w:rFonts w:asciiTheme="majorHAnsi" w:eastAsia="Aptos" w:hAnsiTheme="majorHAnsi" w:cstheme="majorHAnsi"/>
        </w:rPr>
        <w:t>s</w:t>
      </w:r>
      <w:r w:rsidRPr="00B109DC">
        <w:rPr>
          <w:rFonts w:asciiTheme="majorHAnsi" w:eastAsia="Aptos" w:hAnsiTheme="majorHAnsi" w:cstheme="majorHAnsi"/>
        </w:rPr>
        <w:t>e work experience through consistent expectations, flexible employer pathways, and removal of low-value bureaucratic barriers (while maintaining safeguarding). Models like Career Bay (100,000+ annual users, 480+ placements, 600+ apprenticeships) demonstrate feasible reach.</w:t>
      </w:r>
    </w:p>
    <w:p w14:paraId="59BBE34C" w14:textId="538B3AE9" w:rsidR="00B109DC" w:rsidRPr="00B109DC" w:rsidRDefault="00B109DC" w:rsidP="00B109DC">
      <w:pPr>
        <w:numPr>
          <w:ilvl w:val="0"/>
          <w:numId w:val="40"/>
        </w:numPr>
        <w:rPr>
          <w:rFonts w:asciiTheme="majorHAnsi" w:eastAsia="Aptos" w:hAnsiTheme="majorHAnsi" w:cstheme="majorHAnsi"/>
        </w:rPr>
      </w:pPr>
      <w:r w:rsidRPr="00B109DC">
        <w:rPr>
          <w:rFonts w:asciiTheme="majorHAnsi" w:eastAsia="Aptos" w:hAnsiTheme="majorHAnsi" w:cstheme="majorHAnsi"/>
          <w:b/>
          <w:bCs/>
        </w:rPr>
        <w:t>Workforce Capacity Investment</w:t>
      </w:r>
      <w:r w:rsidRPr="00B109DC">
        <w:rPr>
          <w:rFonts w:asciiTheme="majorHAnsi" w:eastAsia="Aptos" w:hAnsiTheme="majorHAnsi" w:cstheme="majorHAnsi"/>
        </w:rPr>
        <w:t>: Fund distinct professional roles</w:t>
      </w:r>
      <w:r w:rsidR="008D559F" w:rsidRPr="00154AD6">
        <w:rPr>
          <w:rFonts w:asciiTheme="majorHAnsi" w:eastAsia="Aptos" w:hAnsiTheme="majorHAnsi" w:cstheme="majorHAnsi"/>
        </w:rPr>
        <w:t xml:space="preserve"> (e.g., </w:t>
      </w:r>
      <w:r w:rsidRPr="00B109DC">
        <w:rPr>
          <w:rFonts w:asciiTheme="majorHAnsi" w:eastAsia="Aptos" w:hAnsiTheme="majorHAnsi" w:cstheme="majorHAnsi"/>
        </w:rPr>
        <w:t>career leaders, advis</w:t>
      </w:r>
      <w:r w:rsidR="00431D55">
        <w:rPr>
          <w:rFonts w:asciiTheme="majorHAnsi" w:eastAsia="Aptos" w:hAnsiTheme="majorHAnsi" w:cstheme="majorHAnsi"/>
        </w:rPr>
        <w:t>e</w:t>
      </w:r>
      <w:r w:rsidRPr="00B109DC">
        <w:rPr>
          <w:rFonts w:asciiTheme="majorHAnsi" w:eastAsia="Aptos" w:hAnsiTheme="majorHAnsi" w:cstheme="majorHAnsi"/>
        </w:rPr>
        <w:t>rs, work experience coordinators</w:t>
      </w:r>
      <w:r w:rsidR="008D559F" w:rsidRPr="00154AD6">
        <w:rPr>
          <w:rFonts w:asciiTheme="majorHAnsi" w:eastAsia="Aptos" w:hAnsiTheme="majorHAnsi" w:cstheme="majorHAnsi"/>
        </w:rPr>
        <w:t xml:space="preserve">) </w:t>
      </w:r>
      <w:r w:rsidRPr="00B109DC">
        <w:rPr>
          <w:rFonts w:asciiTheme="majorHAnsi" w:eastAsia="Aptos" w:hAnsiTheme="majorHAnsi" w:cstheme="majorHAnsi"/>
        </w:rPr>
        <w:t xml:space="preserve">rather than assigning multiple roles to </w:t>
      </w:r>
      <w:r w:rsidR="00431D55">
        <w:rPr>
          <w:rFonts w:asciiTheme="majorHAnsi" w:eastAsia="Aptos" w:hAnsiTheme="majorHAnsi" w:cstheme="majorHAnsi"/>
        </w:rPr>
        <w:t xml:space="preserve">already </w:t>
      </w:r>
      <w:proofErr w:type="spellStart"/>
      <w:proofErr w:type="gramStart"/>
      <w:r w:rsidR="00431D55">
        <w:rPr>
          <w:rFonts w:asciiTheme="majorHAnsi" w:eastAsia="Aptos" w:hAnsiTheme="majorHAnsi" w:cstheme="majorHAnsi"/>
        </w:rPr>
        <w:t>over burdened</w:t>
      </w:r>
      <w:proofErr w:type="spellEnd"/>
      <w:proofErr w:type="gramEnd"/>
      <w:r w:rsidR="00431D55">
        <w:rPr>
          <w:rFonts w:asciiTheme="majorHAnsi" w:eastAsia="Aptos" w:hAnsiTheme="majorHAnsi" w:cstheme="majorHAnsi"/>
        </w:rPr>
        <w:t xml:space="preserve"> </w:t>
      </w:r>
      <w:r w:rsidRPr="00B109DC">
        <w:rPr>
          <w:rFonts w:asciiTheme="majorHAnsi" w:eastAsia="Aptos" w:hAnsiTheme="majorHAnsi" w:cstheme="majorHAnsi"/>
        </w:rPr>
        <w:t>staff. Explore whether schools could use apprenticeship levy funds for career advis</w:t>
      </w:r>
      <w:r w:rsidR="00431D55">
        <w:rPr>
          <w:rFonts w:asciiTheme="majorHAnsi" w:eastAsia="Aptos" w:hAnsiTheme="majorHAnsi" w:cstheme="majorHAnsi"/>
        </w:rPr>
        <w:t>e</w:t>
      </w:r>
      <w:r w:rsidRPr="00B109DC">
        <w:rPr>
          <w:rFonts w:asciiTheme="majorHAnsi" w:eastAsia="Aptos" w:hAnsiTheme="majorHAnsi" w:cstheme="majorHAnsi"/>
        </w:rPr>
        <w:t>r training.</w:t>
      </w:r>
    </w:p>
    <w:p w14:paraId="180BAE9B" w14:textId="77777777" w:rsidR="00B109DC" w:rsidRPr="00B109DC" w:rsidRDefault="00B109DC" w:rsidP="00B109DC">
      <w:pPr>
        <w:numPr>
          <w:ilvl w:val="0"/>
          <w:numId w:val="40"/>
        </w:numPr>
        <w:rPr>
          <w:rFonts w:asciiTheme="majorHAnsi" w:eastAsia="Aptos" w:hAnsiTheme="majorHAnsi" w:cstheme="majorHAnsi"/>
        </w:rPr>
      </w:pPr>
      <w:r w:rsidRPr="00B109DC">
        <w:rPr>
          <w:rFonts w:asciiTheme="majorHAnsi" w:eastAsia="Aptos" w:hAnsiTheme="majorHAnsi" w:cstheme="majorHAnsi"/>
          <w:b/>
          <w:bCs/>
        </w:rPr>
        <w:t>DWP Integration Safeguards</w:t>
      </w:r>
      <w:r w:rsidRPr="00B109DC">
        <w:rPr>
          <w:rFonts w:asciiTheme="majorHAnsi" w:eastAsia="Aptos" w:hAnsiTheme="majorHAnsi" w:cstheme="majorHAnsi"/>
        </w:rPr>
        <w:t xml:space="preserve">: Establish formal structures ensuring National Careers Service expertise </w:t>
      </w:r>
      <w:proofErr w:type="gramStart"/>
      <w:r w:rsidRPr="00B109DC">
        <w:rPr>
          <w:rFonts w:asciiTheme="majorHAnsi" w:eastAsia="Aptos" w:hAnsiTheme="majorHAnsi" w:cstheme="majorHAnsi"/>
        </w:rPr>
        <w:t>is retained</w:t>
      </w:r>
      <w:proofErr w:type="gramEnd"/>
      <w:r w:rsidRPr="00B109DC">
        <w:rPr>
          <w:rFonts w:asciiTheme="majorHAnsi" w:eastAsia="Aptos" w:hAnsiTheme="majorHAnsi" w:cstheme="majorHAnsi"/>
        </w:rPr>
        <w:t xml:space="preserve"> and not subsumed into job placement logic. Preserve universal provision alongside targeted support to prevent recurrence of Connexions' fragmentation.</w:t>
      </w:r>
    </w:p>
    <w:p w14:paraId="13363B8A" w14:textId="37E422F2" w:rsidR="00B109DC" w:rsidRPr="00B109DC" w:rsidRDefault="00B109DC" w:rsidP="00B109DC">
      <w:pPr>
        <w:numPr>
          <w:ilvl w:val="0"/>
          <w:numId w:val="40"/>
        </w:numPr>
        <w:rPr>
          <w:rFonts w:asciiTheme="majorHAnsi" w:eastAsia="Aptos" w:hAnsiTheme="majorHAnsi" w:cstheme="majorHAnsi"/>
        </w:rPr>
      </w:pPr>
      <w:r w:rsidRPr="00B109DC">
        <w:rPr>
          <w:rFonts w:asciiTheme="majorHAnsi" w:eastAsia="Aptos" w:hAnsiTheme="majorHAnsi" w:cstheme="majorHAnsi"/>
          <w:b/>
          <w:bCs/>
        </w:rPr>
        <w:t>All-Age Strategy</w:t>
      </w:r>
      <w:r w:rsidRPr="00B109DC">
        <w:rPr>
          <w:rFonts w:asciiTheme="majorHAnsi" w:eastAsia="Aptos" w:hAnsiTheme="majorHAnsi" w:cstheme="majorHAnsi"/>
        </w:rPr>
        <w:t>: Develop an overarching</w:t>
      </w:r>
      <w:r w:rsidR="00431D55">
        <w:rPr>
          <w:rFonts w:asciiTheme="majorHAnsi" w:eastAsia="Aptos" w:hAnsiTheme="majorHAnsi" w:cstheme="majorHAnsi"/>
        </w:rPr>
        <w:t xml:space="preserve"> lifelong</w:t>
      </w:r>
      <w:r w:rsidRPr="00B109DC">
        <w:rPr>
          <w:rFonts w:asciiTheme="majorHAnsi" w:eastAsia="Aptos" w:hAnsiTheme="majorHAnsi" w:cstheme="majorHAnsi"/>
        </w:rPr>
        <w:t xml:space="preserve"> career guidance strategy covering young people and adults, not fragmented initiatives. This must embed careers as a strategic policy leve</w:t>
      </w:r>
      <w:r w:rsidR="008D559F" w:rsidRPr="00154AD6">
        <w:rPr>
          <w:rFonts w:asciiTheme="majorHAnsi" w:eastAsia="Aptos" w:hAnsiTheme="majorHAnsi" w:cstheme="majorHAnsi"/>
        </w:rPr>
        <w:t xml:space="preserve">r </w:t>
      </w:r>
      <w:r w:rsidRPr="00B109DC">
        <w:rPr>
          <w:rFonts w:asciiTheme="majorHAnsi" w:eastAsia="Aptos" w:hAnsiTheme="majorHAnsi" w:cstheme="majorHAnsi"/>
        </w:rPr>
        <w:t>across welfare, education, and economic polic</w:t>
      </w:r>
      <w:r w:rsidR="008D559F" w:rsidRPr="00154AD6">
        <w:rPr>
          <w:rFonts w:asciiTheme="majorHAnsi" w:eastAsia="Aptos" w:hAnsiTheme="majorHAnsi" w:cstheme="majorHAnsi"/>
        </w:rPr>
        <w:t>y</w:t>
      </w:r>
      <w:r w:rsidRPr="00B109DC">
        <w:rPr>
          <w:rFonts w:asciiTheme="majorHAnsi" w:eastAsia="Aptos" w:hAnsiTheme="majorHAnsi" w:cstheme="majorHAnsi"/>
        </w:rPr>
        <w:t>.</w:t>
      </w:r>
    </w:p>
    <w:p w14:paraId="2296DEB2" w14:textId="77777777" w:rsidR="00B109DC" w:rsidRPr="00B109DC" w:rsidRDefault="00B109DC" w:rsidP="00B109DC">
      <w:pPr>
        <w:rPr>
          <w:rFonts w:asciiTheme="majorHAnsi" w:eastAsia="Aptos" w:hAnsiTheme="majorHAnsi" w:cstheme="majorHAnsi"/>
          <w:b/>
          <w:bCs/>
        </w:rPr>
      </w:pPr>
      <w:r w:rsidRPr="00B109DC">
        <w:rPr>
          <w:rFonts w:asciiTheme="majorHAnsi" w:eastAsia="Aptos" w:hAnsiTheme="majorHAnsi" w:cstheme="majorHAnsi"/>
          <w:b/>
          <w:bCs/>
        </w:rPr>
        <w:t>Longer-Term Structural Change</w:t>
      </w:r>
    </w:p>
    <w:p w14:paraId="10EA2A09" w14:textId="77777777" w:rsidR="00B109DC" w:rsidRPr="00B109DC" w:rsidRDefault="00B109DC" w:rsidP="00B109DC">
      <w:pPr>
        <w:numPr>
          <w:ilvl w:val="0"/>
          <w:numId w:val="41"/>
        </w:numPr>
        <w:rPr>
          <w:rFonts w:asciiTheme="majorHAnsi" w:eastAsia="Aptos" w:hAnsiTheme="majorHAnsi" w:cstheme="majorHAnsi"/>
        </w:rPr>
      </w:pPr>
      <w:r w:rsidRPr="00B109DC">
        <w:rPr>
          <w:rFonts w:asciiTheme="majorHAnsi" w:eastAsia="Aptos" w:hAnsiTheme="majorHAnsi" w:cstheme="majorHAnsi"/>
          <w:b/>
          <w:bCs/>
        </w:rPr>
        <w:t>Curriculum Integration</w:t>
      </w:r>
      <w:r w:rsidRPr="00B109DC">
        <w:rPr>
          <w:rFonts w:asciiTheme="majorHAnsi" w:eastAsia="Aptos" w:hAnsiTheme="majorHAnsi" w:cstheme="majorHAnsi"/>
        </w:rPr>
        <w:t>: Embed careers content across subject learning, connecting theoretical knowledge to real-world application. Align curriculum review with careers education requirements.</w:t>
      </w:r>
    </w:p>
    <w:p w14:paraId="025B46CF" w14:textId="77777777" w:rsidR="00B109DC" w:rsidRPr="00B109DC" w:rsidRDefault="00B109DC" w:rsidP="00B109DC">
      <w:pPr>
        <w:numPr>
          <w:ilvl w:val="0"/>
          <w:numId w:val="41"/>
        </w:numPr>
        <w:rPr>
          <w:rFonts w:asciiTheme="majorHAnsi" w:eastAsia="Aptos" w:hAnsiTheme="majorHAnsi" w:cstheme="majorHAnsi"/>
        </w:rPr>
      </w:pPr>
      <w:r w:rsidRPr="00B109DC">
        <w:rPr>
          <w:rFonts w:asciiTheme="majorHAnsi" w:eastAsia="Aptos" w:hAnsiTheme="majorHAnsi" w:cstheme="majorHAnsi"/>
          <w:b/>
          <w:bCs/>
        </w:rPr>
        <w:t>Parity of Esteem</w:t>
      </w:r>
      <w:r w:rsidRPr="00B109DC">
        <w:rPr>
          <w:rFonts w:asciiTheme="majorHAnsi" w:eastAsia="Aptos" w:hAnsiTheme="majorHAnsi" w:cstheme="majorHAnsi"/>
        </w:rPr>
        <w:t>: Ensure school accountability mechanisms reward progression into apprenticeships, technical education, and employment equally with university entry. Remove penalties for non-traditional pathways.</w:t>
      </w:r>
    </w:p>
    <w:p w14:paraId="02B814C5" w14:textId="31939D37" w:rsidR="00B109DC" w:rsidRPr="00B109DC" w:rsidRDefault="00B109DC" w:rsidP="00B109DC">
      <w:pPr>
        <w:numPr>
          <w:ilvl w:val="0"/>
          <w:numId w:val="41"/>
        </w:numPr>
        <w:rPr>
          <w:rFonts w:asciiTheme="majorHAnsi" w:eastAsia="Aptos" w:hAnsiTheme="majorHAnsi" w:cstheme="majorHAnsi"/>
        </w:rPr>
      </w:pPr>
      <w:r w:rsidRPr="00B109DC">
        <w:rPr>
          <w:rFonts w:asciiTheme="majorHAnsi" w:eastAsia="Aptos" w:hAnsiTheme="majorHAnsi" w:cstheme="majorHAnsi"/>
          <w:b/>
          <w:bCs/>
        </w:rPr>
        <w:t>Parental Engagement</w:t>
      </w:r>
      <w:r w:rsidRPr="00B109DC">
        <w:rPr>
          <w:rFonts w:asciiTheme="majorHAnsi" w:eastAsia="Aptos" w:hAnsiTheme="majorHAnsi" w:cstheme="majorHAnsi"/>
        </w:rPr>
        <w:t xml:space="preserve">: Address parent misconceptions that university is the only "valid" route, particularly as parental attitudes </w:t>
      </w:r>
      <w:r w:rsidR="00431D55">
        <w:rPr>
          <w:rFonts w:asciiTheme="majorHAnsi" w:eastAsia="Aptos" w:hAnsiTheme="majorHAnsi" w:cstheme="majorHAnsi"/>
        </w:rPr>
        <w:t xml:space="preserve">can </w:t>
      </w:r>
      <w:r w:rsidRPr="00B109DC">
        <w:rPr>
          <w:rFonts w:asciiTheme="majorHAnsi" w:eastAsia="Aptos" w:hAnsiTheme="majorHAnsi" w:cstheme="majorHAnsi"/>
        </w:rPr>
        <w:t>significantly constrain young people's exploration.</w:t>
      </w:r>
    </w:p>
    <w:p w14:paraId="6B018B6E" w14:textId="77777777" w:rsidR="00B109DC" w:rsidRPr="00B109DC" w:rsidRDefault="00B109DC" w:rsidP="00B109DC">
      <w:pPr>
        <w:numPr>
          <w:ilvl w:val="0"/>
          <w:numId w:val="41"/>
        </w:numPr>
        <w:rPr>
          <w:rFonts w:asciiTheme="majorHAnsi" w:eastAsia="Aptos" w:hAnsiTheme="majorHAnsi" w:cstheme="majorHAnsi"/>
        </w:rPr>
      </w:pPr>
      <w:r w:rsidRPr="00B109DC">
        <w:rPr>
          <w:rFonts w:asciiTheme="majorHAnsi" w:eastAsia="Aptos" w:hAnsiTheme="majorHAnsi" w:cstheme="majorHAnsi"/>
          <w:b/>
          <w:bCs/>
        </w:rPr>
        <w:t>Higher Education Model Transfer</w:t>
      </w:r>
      <w:r w:rsidRPr="00B109DC">
        <w:rPr>
          <w:rFonts w:asciiTheme="majorHAnsi" w:eastAsia="Aptos" w:hAnsiTheme="majorHAnsi" w:cstheme="majorHAnsi"/>
        </w:rPr>
        <w:t>: Universities have embedded employability across curricula and targeted high-intensity support to disadvantaged students. Adapt similar models for school and adult contexts.</w:t>
      </w:r>
    </w:p>
    <w:p w14:paraId="2DC78EE3" w14:textId="4D9BB22A" w:rsidR="00B109DC" w:rsidRPr="00F82E73" w:rsidRDefault="00B109DC" w:rsidP="00B109DC">
      <w:pPr>
        <w:numPr>
          <w:ilvl w:val="0"/>
          <w:numId w:val="41"/>
        </w:numPr>
        <w:rPr>
          <w:rFonts w:asciiTheme="majorHAnsi" w:eastAsia="Aptos" w:hAnsiTheme="majorHAnsi" w:cstheme="majorHAnsi"/>
        </w:rPr>
      </w:pPr>
      <w:r w:rsidRPr="00B109DC">
        <w:rPr>
          <w:rFonts w:asciiTheme="majorHAnsi" w:eastAsia="Aptos" w:hAnsiTheme="majorHAnsi" w:cstheme="majorHAnsi"/>
          <w:b/>
          <w:bCs/>
        </w:rPr>
        <w:t>Governance and Coordination</w:t>
      </w:r>
      <w:r w:rsidRPr="00B109DC">
        <w:rPr>
          <w:rFonts w:asciiTheme="majorHAnsi" w:eastAsia="Aptos" w:hAnsiTheme="majorHAnsi" w:cstheme="majorHAnsi"/>
        </w:rPr>
        <w:t>: Establish regular cross-sector forums (government, careers professionals, employers, educators, young people, adults) to monitor progress, surface implementation barriers, and ensure continuity despite ministerial or policy shifts.</w:t>
      </w:r>
    </w:p>
    <w:p w14:paraId="5BC15775" w14:textId="77777777" w:rsidR="00B109DC" w:rsidRPr="00B109DC" w:rsidRDefault="00B109DC" w:rsidP="00F82E73">
      <w:pPr>
        <w:pStyle w:val="Heading4"/>
        <w:spacing w:before="120" w:after="120"/>
      </w:pPr>
      <w:r w:rsidRPr="00B109DC">
        <w:t>NOTABLE ABSENCES AND OPEN QUESTIONS</w:t>
      </w:r>
    </w:p>
    <w:p w14:paraId="2344F7CD" w14:textId="31FBC855" w:rsidR="00B109DC" w:rsidRPr="00B109DC" w:rsidRDefault="00B109DC" w:rsidP="00B109DC">
      <w:pPr>
        <w:rPr>
          <w:rFonts w:asciiTheme="majorHAnsi" w:eastAsia="Aptos" w:hAnsiTheme="majorHAnsi" w:cstheme="majorHAnsi"/>
        </w:rPr>
      </w:pPr>
      <w:r w:rsidRPr="00B109DC">
        <w:rPr>
          <w:rFonts w:asciiTheme="majorHAnsi" w:eastAsia="Aptos" w:hAnsiTheme="majorHAnsi" w:cstheme="majorHAnsi"/>
        </w:rPr>
        <w:t xml:space="preserve">The event identified </w:t>
      </w:r>
      <w:proofErr w:type="gramStart"/>
      <w:r w:rsidRPr="00B109DC">
        <w:rPr>
          <w:rFonts w:asciiTheme="majorHAnsi" w:eastAsia="Aptos" w:hAnsiTheme="majorHAnsi" w:cstheme="majorHAnsi"/>
        </w:rPr>
        <w:t>several</w:t>
      </w:r>
      <w:proofErr w:type="gramEnd"/>
      <w:r w:rsidRPr="00B109DC">
        <w:rPr>
          <w:rFonts w:asciiTheme="majorHAnsi" w:eastAsia="Aptos" w:hAnsiTheme="majorHAnsi" w:cstheme="majorHAnsi"/>
        </w:rPr>
        <w:t xml:space="preserve"> areas requiring further exploration</w:t>
      </w:r>
      <w:r w:rsidR="008B2F7D">
        <w:rPr>
          <w:rFonts w:asciiTheme="majorHAnsi" w:eastAsia="Aptos" w:hAnsiTheme="majorHAnsi" w:cstheme="majorHAnsi"/>
        </w:rPr>
        <w:t xml:space="preserve">: </w:t>
      </w:r>
    </w:p>
    <w:p w14:paraId="27E33436" w14:textId="0B24A847" w:rsidR="00B109DC" w:rsidRPr="00B109DC" w:rsidRDefault="00B109DC" w:rsidP="00B109DC">
      <w:pPr>
        <w:numPr>
          <w:ilvl w:val="0"/>
          <w:numId w:val="42"/>
        </w:numPr>
        <w:rPr>
          <w:rFonts w:asciiTheme="majorHAnsi" w:eastAsia="Aptos" w:hAnsiTheme="majorHAnsi" w:cstheme="majorHAnsi"/>
        </w:rPr>
      </w:pPr>
      <w:r w:rsidRPr="00B109DC">
        <w:rPr>
          <w:rFonts w:asciiTheme="majorHAnsi" w:eastAsia="Aptos" w:hAnsiTheme="majorHAnsi" w:cstheme="majorHAnsi"/>
          <w:b/>
          <w:bCs/>
        </w:rPr>
        <w:t>Training qualification requirements</w:t>
      </w:r>
      <w:r w:rsidRPr="00B109DC">
        <w:rPr>
          <w:rFonts w:asciiTheme="majorHAnsi" w:eastAsia="Aptos" w:hAnsiTheme="majorHAnsi" w:cstheme="majorHAnsi"/>
        </w:rPr>
        <w:t xml:space="preserve"> for DWP staff post-merger: Will professional standards </w:t>
      </w:r>
      <w:proofErr w:type="gramStart"/>
      <w:r w:rsidRPr="00B109DC">
        <w:rPr>
          <w:rFonts w:asciiTheme="majorHAnsi" w:eastAsia="Aptos" w:hAnsiTheme="majorHAnsi" w:cstheme="majorHAnsi"/>
        </w:rPr>
        <w:t>be mandated</w:t>
      </w:r>
      <w:proofErr w:type="gramEnd"/>
      <w:r w:rsidR="00431D55">
        <w:rPr>
          <w:rFonts w:asciiTheme="majorHAnsi" w:eastAsia="Aptos" w:hAnsiTheme="majorHAnsi" w:cstheme="majorHAnsi"/>
        </w:rPr>
        <w:t xml:space="preserve"> and careers adviser professional qualifications maintained</w:t>
      </w:r>
      <w:r w:rsidRPr="00B109DC">
        <w:rPr>
          <w:rFonts w:asciiTheme="majorHAnsi" w:eastAsia="Aptos" w:hAnsiTheme="majorHAnsi" w:cstheme="majorHAnsi"/>
        </w:rPr>
        <w:t>?</w:t>
      </w:r>
    </w:p>
    <w:p w14:paraId="5256D30F" w14:textId="77777777" w:rsidR="00B109DC" w:rsidRPr="00B109DC" w:rsidRDefault="00B109DC" w:rsidP="00B109DC">
      <w:pPr>
        <w:numPr>
          <w:ilvl w:val="0"/>
          <w:numId w:val="42"/>
        </w:numPr>
        <w:rPr>
          <w:rFonts w:asciiTheme="majorHAnsi" w:eastAsia="Aptos" w:hAnsiTheme="majorHAnsi" w:cstheme="majorHAnsi"/>
        </w:rPr>
      </w:pPr>
      <w:r w:rsidRPr="00B109DC">
        <w:rPr>
          <w:rFonts w:asciiTheme="majorHAnsi" w:eastAsia="Aptos" w:hAnsiTheme="majorHAnsi" w:cstheme="majorHAnsi"/>
          <w:b/>
          <w:bCs/>
        </w:rPr>
        <w:t>Local Skills Improvement Plan (LSIP) transparency</w:t>
      </w:r>
      <w:r w:rsidRPr="00B109DC">
        <w:rPr>
          <w:rFonts w:asciiTheme="majorHAnsi" w:eastAsia="Aptos" w:hAnsiTheme="majorHAnsi" w:cstheme="majorHAnsi"/>
        </w:rPr>
        <w:t xml:space="preserve">: How will findings on local skills gaps </w:t>
      </w:r>
      <w:proofErr w:type="gramStart"/>
      <w:r w:rsidRPr="00B109DC">
        <w:rPr>
          <w:rFonts w:asciiTheme="majorHAnsi" w:eastAsia="Aptos" w:hAnsiTheme="majorHAnsi" w:cstheme="majorHAnsi"/>
        </w:rPr>
        <w:t>be communicated</w:t>
      </w:r>
      <w:proofErr w:type="gramEnd"/>
      <w:r w:rsidRPr="00B109DC">
        <w:rPr>
          <w:rFonts w:asciiTheme="majorHAnsi" w:eastAsia="Aptos" w:hAnsiTheme="majorHAnsi" w:cstheme="majorHAnsi"/>
        </w:rPr>
        <w:t xml:space="preserve"> to job seekers and training providers?</w:t>
      </w:r>
    </w:p>
    <w:p w14:paraId="67EBBF50" w14:textId="77777777" w:rsidR="00B109DC" w:rsidRPr="00B109DC" w:rsidRDefault="00B109DC" w:rsidP="00B109DC">
      <w:pPr>
        <w:numPr>
          <w:ilvl w:val="0"/>
          <w:numId w:val="42"/>
        </w:numPr>
        <w:rPr>
          <w:rFonts w:asciiTheme="majorHAnsi" w:eastAsia="Aptos" w:hAnsiTheme="majorHAnsi" w:cstheme="majorHAnsi"/>
        </w:rPr>
      </w:pPr>
      <w:r w:rsidRPr="00B109DC">
        <w:rPr>
          <w:rFonts w:asciiTheme="majorHAnsi" w:eastAsia="Aptos" w:hAnsiTheme="majorHAnsi" w:cstheme="majorHAnsi"/>
          <w:b/>
          <w:bCs/>
        </w:rPr>
        <w:t>Funding granularity</w:t>
      </w:r>
      <w:r w:rsidRPr="00B109DC">
        <w:rPr>
          <w:rFonts w:asciiTheme="majorHAnsi" w:eastAsia="Aptos" w:hAnsiTheme="majorHAnsi" w:cstheme="majorHAnsi"/>
        </w:rPr>
        <w:t>: What proportion of careers guidance investment targets scale (more of the same) versus leverage (training advisors, online resources)?</w:t>
      </w:r>
    </w:p>
    <w:p w14:paraId="4A87C865" w14:textId="77777777" w:rsidR="00B109DC" w:rsidRPr="00B109DC" w:rsidRDefault="00B109DC" w:rsidP="00F82E73">
      <w:pPr>
        <w:pStyle w:val="Heading4"/>
        <w:spacing w:before="120" w:after="120"/>
      </w:pPr>
      <w:r w:rsidRPr="00B109DC">
        <w:lastRenderedPageBreak/>
        <w:t>CONCLUSION</w:t>
      </w:r>
    </w:p>
    <w:p w14:paraId="561FBA69" w14:textId="2CC5CA9F" w:rsidR="00B109DC" w:rsidRPr="00B109DC" w:rsidRDefault="00B109DC" w:rsidP="00B109DC">
      <w:pPr>
        <w:rPr>
          <w:rFonts w:asciiTheme="majorHAnsi" w:eastAsia="Aptos" w:hAnsiTheme="majorHAnsi" w:cstheme="majorHAnsi"/>
        </w:rPr>
      </w:pPr>
      <w:r w:rsidRPr="00B109DC">
        <w:rPr>
          <w:rFonts w:asciiTheme="majorHAnsi" w:eastAsia="Aptos" w:hAnsiTheme="majorHAnsi" w:cstheme="majorHAnsi"/>
        </w:rPr>
        <w:t>The event reflected a sector at an inflection point. The government has articulated ambitious post-</w:t>
      </w:r>
      <w:proofErr w:type="gramStart"/>
      <w:r w:rsidRPr="00B109DC">
        <w:rPr>
          <w:rFonts w:asciiTheme="majorHAnsi" w:eastAsia="Aptos" w:hAnsiTheme="majorHAnsi" w:cstheme="majorHAnsi"/>
        </w:rPr>
        <w:t>16</w:t>
      </w:r>
      <w:proofErr w:type="gramEnd"/>
      <w:r w:rsidRPr="00B109DC">
        <w:rPr>
          <w:rFonts w:asciiTheme="majorHAnsi" w:eastAsia="Aptos" w:hAnsiTheme="majorHAnsi" w:cstheme="majorHAnsi"/>
        </w:rPr>
        <w:t xml:space="preserve"> reforms, promised significant investment, and acknowledged </w:t>
      </w:r>
      <w:r w:rsidR="00B87A10">
        <w:rPr>
          <w:rFonts w:asciiTheme="majorHAnsi" w:eastAsia="Aptos" w:hAnsiTheme="majorHAnsi" w:cstheme="majorHAnsi"/>
        </w:rPr>
        <w:t>the</w:t>
      </w:r>
      <w:r w:rsidR="0023280B">
        <w:rPr>
          <w:rFonts w:asciiTheme="majorHAnsi" w:eastAsia="Aptos" w:hAnsiTheme="majorHAnsi" w:cstheme="majorHAnsi"/>
        </w:rPr>
        <w:t xml:space="preserve"> </w:t>
      </w:r>
      <w:r w:rsidRPr="00B109DC">
        <w:rPr>
          <w:rFonts w:asciiTheme="majorHAnsi" w:eastAsia="Aptos" w:hAnsiTheme="majorHAnsi" w:cstheme="majorHAnsi"/>
        </w:rPr>
        <w:t>careers guidance's multiplier effect across policy outcomes. However, delivery depends on resolving persistent structural barriers</w:t>
      </w:r>
      <w:r w:rsidR="00431D55">
        <w:rPr>
          <w:rFonts w:asciiTheme="majorHAnsi" w:eastAsia="Aptos" w:hAnsiTheme="majorHAnsi" w:cstheme="majorHAnsi"/>
        </w:rPr>
        <w:t xml:space="preserve">, investment of </w:t>
      </w:r>
      <w:r w:rsidR="00F82E73">
        <w:rPr>
          <w:rFonts w:asciiTheme="majorHAnsi" w:eastAsia="Aptos" w:hAnsiTheme="majorHAnsi" w:cstheme="majorHAnsi"/>
        </w:rPr>
        <w:t>resources</w:t>
      </w:r>
      <w:r w:rsidR="00154AD6" w:rsidRPr="00154AD6">
        <w:rPr>
          <w:rFonts w:asciiTheme="majorHAnsi" w:eastAsia="Aptos" w:hAnsiTheme="majorHAnsi" w:cstheme="majorHAnsi"/>
        </w:rPr>
        <w:t xml:space="preserve"> and maintaining policy continuity</w:t>
      </w:r>
      <w:r w:rsidR="00F82E73">
        <w:rPr>
          <w:rFonts w:asciiTheme="majorHAnsi" w:eastAsia="Aptos" w:hAnsiTheme="majorHAnsi" w:cstheme="majorHAnsi"/>
        </w:rPr>
        <w:t xml:space="preserve">. </w:t>
      </w:r>
    </w:p>
    <w:p w14:paraId="02EDEBBC" w14:textId="44181ECD" w:rsidR="00B109DC" w:rsidRPr="00B109DC" w:rsidRDefault="00B109DC" w:rsidP="00B109DC">
      <w:pPr>
        <w:rPr>
          <w:rFonts w:asciiTheme="majorHAnsi" w:eastAsia="Aptos" w:hAnsiTheme="majorHAnsi" w:cstheme="majorHAnsi"/>
        </w:rPr>
      </w:pPr>
      <w:r w:rsidRPr="00B109DC">
        <w:rPr>
          <w:rFonts w:asciiTheme="majorHAnsi" w:eastAsia="Aptos" w:hAnsiTheme="majorHAnsi" w:cstheme="majorHAnsi"/>
        </w:rPr>
        <w:t xml:space="preserve">Dr. </w:t>
      </w:r>
      <w:r w:rsidR="008D559F" w:rsidRPr="00154AD6">
        <w:rPr>
          <w:rFonts w:asciiTheme="majorHAnsi" w:eastAsia="Aptos" w:hAnsiTheme="majorHAnsi" w:cstheme="majorHAnsi"/>
        </w:rPr>
        <w:t>Percy’s</w:t>
      </w:r>
      <w:r w:rsidRPr="00B109DC">
        <w:rPr>
          <w:rFonts w:asciiTheme="majorHAnsi" w:eastAsia="Aptos" w:hAnsiTheme="majorHAnsi" w:cstheme="majorHAnsi"/>
        </w:rPr>
        <w:t xml:space="preserve"> research on accelerating returns reframes the policy challenge: underfunding </w:t>
      </w:r>
      <w:r w:rsidR="00106568">
        <w:rPr>
          <w:rFonts w:asciiTheme="majorHAnsi" w:eastAsia="Aptos" w:hAnsiTheme="majorHAnsi" w:cstheme="majorHAnsi"/>
        </w:rPr>
        <w:t>does not</w:t>
      </w:r>
      <w:r w:rsidR="00106568" w:rsidRPr="00B109DC">
        <w:rPr>
          <w:rFonts w:asciiTheme="majorHAnsi" w:eastAsia="Aptos" w:hAnsiTheme="majorHAnsi" w:cstheme="majorHAnsi"/>
        </w:rPr>
        <w:t xml:space="preserve"> </w:t>
      </w:r>
      <w:r w:rsidRPr="00B109DC">
        <w:rPr>
          <w:rFonts w:asciiTheme="majorHAnsi" w:eastAsia="Aptos" w:hAnsiTheme="majorHAnsi" w:cstheme="majorHAnsi"/>
        </w:rPr>
        <w:t>minimi</w:t>
      </w:r>
      <w:r w:rsidR="008B2F7D">
        <w:rPr>
          <w:rFonts w:asciiTheme="majorHAnsi" w:eastAsia="Aptos" w:hAnsiTheme="majorHAnsi" w:cstheme="majorHAnsi"/>
        </w:rPr>
        <w:t>s</w:t>
      </w:r>
      <w:r w:rsidRPr="00B109DC">
        <w:rPr>
          <w:rFonts w:asciiTheme="majorHAnsi" w:eastAsia="Aptos" w:hAnsiTheme="majorHAnsi" w:cstheme="majorHAnsi"/>
        </w:rPr>
        <w:t xml:space="preserve">e risk; it </w:t>
      </w:r>
      <w:r w:rsidRPr="00B109DC">
        <w:rPr>
          <w:rFonts w:asciiTheme="majorHAnsi" w:eastAsia="Aptos" w:hAnsiTheme="majorHAnsi" w:cstheme="majorHAnsi"/>
          <w:i/>
          <w:iCs/>
        </w:rPr>
        <w:t>increases</w:t>
      </w:r>
      <w:r w:rsidRPr="00B109DC">
        <w:rPr>
          <w:rFonts w:asciiTheme="majorHAnsi" w:eastAsia="Aptos" w:hAnsiTheme="majorHAnsi" w:cstheme="majorHAnsi"/>
        </w:rPr>
        <w:t xml:space="preserve"> it by stopping precisely where impact accelerates. A step-change in investment, coupled with curriculum embedding and workforce development, </w:t>
      </w:r>
      <w:proofErr w:type="gramStart"/>
      <w:r w:rsidRPr="00B109DC">
        <w:rPr>
          <w:rFonts w:asciiTheme="majorHAnsi" w:eastAsia="Aptos" w:hAnsiTheme="majorHAnsi" w:cstheme="majorHAnsi"/>
        </w:rPr>
        <w:t>is required</w:t>
      </w:r>
      <w:proofErr w:type="gramEnd"/>
      <w:r w:rsidRPr="00B109DC">
        <w:rPr>
          <w:rFonts w:asciiTheme="majorHAnsi" w:eastAsia="Aptos" w:hAnsiTheme="majorHAnsi" w:cstheme="majorHAnsi"/>
        </w:rPr>
        <w:t xml:space="preserve">. The event concluded with near-universal agreement that </w:t>
      </w:r>
      <w:r w:rsidRPr="00B109DC">
        <w:rPr>
          <w:rFonts w:asciiTheme="majorHAnsi" w:eastAsia="Aptos" w:hAnsiTheme="majorHAnsi" w:cstheme="majorHAnsi"/>
          <w:b/>
          <w:bCs/>
        </w:rPr>
        <w:t xml:space="preserve">coordinated </w:t>
      </w:r>
      <w:r w:rsidR="00431D55">
        <w:rPr>
          <w:rFonts w:asciiTheme="majorHAnsi" w:eastAsia="Aptos" w:hAnsiTheme="majorHAnsi" w:cstheme="majorHAnsi"/>
          <w:b/>
          <w:bCs/>
        </w:rPr>
        <w:t>lifelong</w:t>
      </w:r>
      <w:r w:rsidRPr="00B109DC">
        <w:rPr>
          <w:rFonts w:asciiTheme="majorHAnsi" w:eastAsia="Aptos" w:hAnsiTheme="majorHAnsi" w:cstheme="majorHAnsi"/>
          <w:b/>
          <w:bCs/>
        </w:rPr>
        <w:t xml:space="preserve"> strategy, long-term funding, and cross-sector partnership</w:t>
      </w:r>
      <w:r w:rsidRPr="00B109DC">
        <w:rPr>
          <w:rFonts w:asciiTheme="majorHAnsi" w:eastAsia="Aptos" w:hAnsiTheme="majorHAnsi" w:cstheme="majorHAnsi"/>
        </w:rPr>
        <w:t xml:space="preserve"> are prerequisite to translating policy ambition into lived outcomes for young people and adults navigating England's </w:t>
      </w:r>
      <w:r w:rsidR="00431D55">
        <w:rPr>
          <w:rFonts w:asciiTheme="majorHAnsi" w:eastAsia="Aptos" w:hAnsiTheme="majorHAnsi" w:cstheme="majorHAnsi"/>
        </w:rPr>
        <w:t xml:space="preserve">constantly </w:t>
      </w:r>
      <w:r w:rsidRPr="00B109DC">
        <w:rPr>
          <w:rFonts w:asciiTheme="majorHAnsi" w:eastAsia="Aptos" w:hAnsiTheme="majorHAnsi" w:cstheme="majorHAnsi"/>
        </w:rPr>
        <w:t xml:space="preserve">evolving </w:t>
      </w:r>
      <w:r w:rsidRPr="00154AD6">
        <w:rPr>
          <w:rFonts w:asciiTheme="majorHAnsi" w:eastAsia="Aptos" w:hAnsiTheme="majorHAnsi" w:cstheme="majorHAnsi"/>
        </w:rPr>
        <w:t>labour</w:t>
      </w:r>
      <w:r w:rsidRPr="00B109DC">
        <w:rPr>
          <w:rFonts w:asciiTheme="majorHAnsi" w:eastAsia="Aptos" w:hAnsiTheme="majorHAnsi" w:cstheme="majorHAnsi"/>
        </w:rPr>
        <w:t xml:space="preserve"> market.</w:t>
      </w:r>
      <w:r w:rsidRPr="00154AD6">
        <w:rPr>
          <w:rFonts w:asciiTheme="majorHAnsi" w:eastAsia="Aptos" w:hAnsiTheme="majorHAnsi" w:cstheme="majorHAnsi"/>
        </w:rPr>
        <w:t xml:space="preserve"> </w:t>
      </w:r>
    </w:p>
    <w:p w14:paraId="6B285CF0" w14:textId="03E2F7F9" w:rsidR="00B131A2" w:rsidRPr="00154AD6" w:rsidRDefault="00B131A2" w:rsidP="00BA6F85">
      <w:pPr>
        <w:rPr>
          <w:rFonts w:asciiTheme="majorHAnsi" w:eastAsia="Aptos" w:hAnsiTheme="majorHAnsi" w:cstheme="majorHAnsi"/>
        </w:rPr>
      </w:pPr>
    </w:p>
    <w:sectPr w:rsidR="00B131A2" w:rsidRPr="00154AD6">
      <w:headerReference w:type="even" r:id="rId12"/>
      <w:headerReference w:type="default" r:id="rId13"/>
      <w:footerReference w:type="even" r:id="rId14"/>
      <w:footerReference w:type="default" r:id="rId15"/>
      <w:headerReference w:type="first" r:id="rId16"/>
      <w:footerReference w:type="first" r:id="rId17"/>
      <w:pgSz w:w="11906" w:h="16838"/>
      <w:pgMar w:top="1080" w:right="892" w:bottom="1080" w:left="892" w:header="72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5DA689" w14:textId="77777777" w:rsidR="00CF5672" w:rsidRDefault="00CF5672">
      <w:pPr>
        <w:spacing w:after="0" w:line="240" w:lineRule="auto"/>
      </w:pPr>
      <w:r>
        <w:separator/>
      </w:r>
    </w:p>
  </w:endnote>
  <w:endnote w:type="continuationSeparator" w:id="0">
    <w:p w14:paraId="3E7B1F78" w14:textId="77777777" w:rsidR="00CF5672" w:rsidRDefault="00CF5672">
      <w:pPr>
        <w:spacing w:after="0" w:line="240" w:lineRule="auto"/>
      </w:pPr>
      <w:r>
        <w:continuationSeparator/>
      </w:r>
    </w:p>
  </w:endnote>
  <w:endnote w:type="continuationNotice" w:id="1">
    <w:p w14:paraId="1CB140B1" w14:textId="77777777" w:rsidR="00CF5672" w:rsidRDefault="00CF56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roxima Nova">
    <w:altName w:val="Tahoma"/>
    <w:charset w:val="00"/>
    <w:family w:val="auto"/>
    <w:pitch w:val="default"/>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1B9A8" w14:textId="77777777" w:rsidR="00A50769" w:rsidRDefault="00A507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59275" w14:textId="77777777" w:rsidR="00A479DA" w:rsidRPr="00154AD6" w:rsidRDefault="00A479DA">
    <w:pPr>
      <w:rPr>
        <w:rFonts w:asciiTheme="majorHAnsi" w:hAnsiTheme="majorHAnsi" w:cstheme="majorHAnsi"/>
      </w:rPr>
    </w:pPr>
  </w:p>
  <w:tbl>
    <w:tblPr>
      <w:tblW w:w="100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9630"/>
      <w:gridCol w:w="450"/>
    </w:tblGrid>
    <w:tr w:rsidR="00A479DA" w:rsidRPr="00154AD6" w14:paraId="2AF59278" w14:textId="77777777">
      <w:tc>
        <w:tcPr>
          <w:tcW w:w="9630" w:type="dxa"/>
          <w:tcBorders>
            <w:top w:val="nil"/>
            <w:left w:val="nil"/>
            <w:bottom w:val="nil"/>
            <w:right w:val="nil"/>
          </w:tcBorders>
          <w:tcMar>
            <w:top w:w="0" w:type="dxa"/>
            <w:left w:w="0" w:type="dxa"/>
            <w:bottom w:w="0" w:type="dxa"/>
            <w:right w:w="0" w:type="dxa"/>
          </w:tcMar>
        </w:tcPr>
        <w:p w14:paraId="2AF59276" w14:textId="36C71F52" w:rsidR="00A479DA" w:rsidRPr="00154AD6" w:rsidRDefault="00BA6F85" w:rsidP="00F11188">
          <w:pPr>
            <w:spacing w:after="0" w:line="240" w:lineRule="auto"/>
            <w:jc w:val="center"/>
            <w:rPr>
              <w:rFonts w:asciiTheme="majorHAnsi" w:hAnsiTheme="majorHAnsi" w:cstheme="majorHAnsi"/>
            </w:rPr>
          </w:pPr>
          <w:r w:rsidRPr="00154AD6">
            <w:rPr>
              <w:rFonts w:asciiTheme="majorHAnsi" w:hAnsiTheme="majorHAnsi" w:cstheme="majorHAnsi"/>
            </w:rPr>
            <w:t>Policy Connect, 83 Victoria Street SW1H 0HW / info@policyconnect.org.uk</w:t>
          </w:r>
        </w:p>
      </w:tc>
      <w:tc>
        <w:tcPr>
          <w:tcW w:w="450" w:type="dxa"/>
          <w:tcBorders>
            <w:top w:val="nil"/>
            <w:left w:val="nil"/>
            <w:bottom w:val="nil"/>
            <w:right w:val="nil"/>
          </w:tcBorders>
          <w:tcMar>
            <w:top w:w="0" w:type="dxa"/>
            <w:left w:w="0" w:type="dxa"/>
            <w:bottom w:w="0" w:type="dxa"/>
            <w:right w:w="0" w:type="dxa"/>
          </w:tcMar>
        </w:tcPr>
        <w:p w14:paraId="2AF59277" w14:textId="016DFA7D" w:rsidR="00A479DA" w:rsidRPr="00154AD6" w:rsidRDefault="003A3A22">
          <w:pPr>
            <w:widowControl w:val="0"/>
            <w:pBdr>
              <w:top w:val="nil"/>
              <w:left w:val="nil"/>
              <w:bottom w:val="nil"/>
              <w:right w:val="nil"/>
              <w:between w:val="nil"/>
            </w:pBdr>
            <w:spacing w:after="0" w:line="240" w:lineRule="auto"/>
            <w:jc w:val="right"/>
            <w:rPr>
              <w:rFonts w:asciiTheme="majorHAnsi" w:hAnsiTheme="majorHAnsi" w:cstheme="majorHAnsi"/>
            </w:rPr>
          </w:pPr>
          <w:r w:rsidRPr="00154AD6">
            <w:rPr>
              <w:rFonts w:asciiTheme="majorHAnsi" w:hAnsiTheme="majorHAnsi" w:cstheme="majorHAnsi"/>
            </w:rPr>
            <w:fldChar w:fldCharType="begin"/>
          </w:r>
          <w:r w:rsidRPr="00154AD6">
            <w:rPr>
              <w:rFonts w:asciiTheme="majorHAnsi" w:hAnsiTheme="majorHAnsi" w:cstheme="majorHAnsi"/>
            </w:rPr>
            <w:instrText>PAGE</w:instrText>
          </w:r>
          <w:r w:rsidRPr="00154AD6">
            <w:rPr>
              <w:rFonts w:asciiTheme="majorHAnsi" w:hAnsiTheme="majorHAnsi" w:cstheme="majorHAnsi"/>
            </w:rPr>
            <w:fldChar w:fldCharType="separate"/>
          </w:r>
          <w:r w:rsidR="008345F5" w:rsidRPr="00154AD6">
            <w:rPr>
              <w:rFonts w:asciiTheme="majorHAnsi" w:hAnsiTheme="majorHAnsi" w:cstheme="majorHAnsi"/>
              <w:noProof/>
            </w:rPr>
            <w:t>1</w:t>
          </w:r>
          <w:r w:rsidRPr="00154AD6">
            <w:rPr>
              <w:rFonts w:asciiTheme="majorHAnsi" w:hAnsiTheme="majorHAnsi" w:cstheme="majorHAnsi"/>
            </w:rPr>
            <w:fldChar w:fldCharType="end"/>
          </w:r>
        </w:p>
      </w:tc>
    </w:tr>
  </w:tbl>
  <w:p w14:paraId="2AF59279" w14:textId="77777777" w:rsidR="00A479DA" w:rsidRPr="00154AD6" w:rsidRDefault="00A479DA">
    <w:pPr>
      <w:rPr>
        <w:rFonts w:asciiTheme="majorHAnsi" w:hAnsiTheme="majorHAnsi" w:cstheme="majorHAns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FA233" w14:textId="77777777" w:rsidR="00A50769" w:rsidRDefault="00A507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0397FE" w14:textId="77777777" w:rsidR="00CF5672" w:rsidRDefault="00CF5672">
      <w:pPr>
        <w:spacing w:after="0" w:line="240" w:lineRule="auto"/>
      </w:pPr>
      <w:r>
        <w:separator/>
      </w:r>
    </w:p>
  </w:footnote>
  <w:footnote w:type="continuationSeparator" w:id="0">
    <w:p w14:paraId="668DE9C3" w14:textId="77777777" w:rsidR="00CF5672" w:rsidRDefault="00CF5672">
      <w:pPr>
        <w:spacing w:after="0" w:line="240" w:lineRule="auto"/>
      </w:pPr>
      <w:r>
        <w:continuationSeparator/>
      </w:r>
    </w:p>
  </w:footnote>
  <w:footnote w:type="continuationNotice" w:id="1">
    <w:p w14:paraId="5D57F42B" w14:textId="77777777" w:rsidR="00CF5672" w:rsidRDefault="00CF567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F6A90" w14:textId="77777777" w:rsidR="00A50769" w:rsidRDefault="00A507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59274" w14:textId="06B776A7" w:rsidR="00A479DA" w:rsidRDefault="005B5878">
    <w:r>
      <w:rPr>
        <w:rFonts w:ascii="Arial" w:hAnsi="Arial" w:cs="Arial"/>
        <w:noProof/>
      </w:rPr>
      <w:drawing>
        <wp:anchor distT="0" distB="0" distL="114300" distR="114300" simplePos="0" relativeHeight="251658243" behindDoc="1" locked="0" layoutInCell="1" allowOverlap="1" wp14:anchorId="4D53AA47" wp14:editId="5142C8D1">
          <wp:simplePos x="0" y="0"/>
          <wp:positionH relativeFrom="margin">
            <wp:posOffset>17927</wp:posOffset>
          </wp:positionH>
          <wp:positionV relativeFrom="paragraph">
            <wp:posOffset>-462280</wp:posOffset>
          </wp:positionV>
          <wp:extent cx="1280160" cy="640080"/>
          <wp:effectExtent l="0" t="0" r="0" b="7620"/>
          <wp:wrapTight wrapText="bothSides">
            <wp:wrapPolygon edited="0">
              <wp:start x="0" y="0"/>
              <wp:lineTo x="0" y="21214"/>
              <wp:lineTo x="21214" y="21214"/>
              <wp:lineTo x="21214" y="0"/>
              <wp:lineTo x="0" y="0"/>
            </wp:wrapPolygon>
          </wp:wrapTight>
          <wp:docPr id="1174296117"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4296117"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280160" cy="64008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3527B" w14:textId="77777777" w:rsidR="00A50769" w:rsidRDefault="00A507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83CEC"/>
    <w:multiLevelType w:val="multilevel"/>
    <w:tmpl w:val="B23C1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E423D5"/>
    <w:multiLevelType w:val="hybridMultilevel"/>
    <w:tmpl w:val="028A9FE4"/>
    <w:lvl w:ilvl="0" w:tplc="0BD40562">
      <w:start w:val="10"/>
      <w:numFmt w:val="bullet"/>
      <w:lvlText w:val="-"/>
      <w:lvlJc w:val="left"/>
      <w:pPr>
        <w:ind w:left="720" w:hanging="360"/>
      </w:pPr>
      <w:rPr>
        <w:rFonts w:ascii="Proxima Nova" w:eastAsia="Proxima Nova" w:hAnsi="Proxima Nova" w:cs="Proxima Nov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182750"/>
    <w:multiLevelType w:val="hybridMultilevel"/>
    <w:tmpl w:val="CF323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353D1C"/>
    <w:multiLevelType w:val="hybridMultilevel"/>
    <w:tmpl w:val="001CA0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644CC2"/>
    <w:multiLevelType w:val="multilevel"/>
    <w:tmpl w:val="0CF8F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781DE1"/>
    <w:multiLevelType w:val="multilevel"/>
    <w:tmpl w:val="EEF4A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B37239"/>
    <w:multiLevelType w:val="multilevel"/>
    <w:tmpl w:val="827A2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671CEB"/>
    <w:multiLevelType w:val="multilevel"/>
    <w:tmpl w:val="19D09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344B29"/>
    <w:multiLevelType w:val="multilevel"/>
    <w:tmpl w:val="70A61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E461F3"/>
    <w:multiLevelType w:val="multilevel"/>
    <w:tmpl w:val="BFA6C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91673D2"/>
    <w:multiLevelType w:val="hybridMultilevel"/>
    <w:tmpl w:val="AA645CAE"/>
    <w:lvl w:ilvl="0" w:tplc="6632183A">
      <w:start w:val="4"/>
      <w:numFmt w:val="bullet"/>
      <w:lvlText w:val=""/>
      <w:lvlJc w:val="left"/>
      <w:pPr>
        <w:ind w:left="720" w:hanging="360"/>
      </w:pPr>
      <w:rPr>
        <w:rFonts w:ascii="Symbol" w:eastAsia="Proxima Nova" w:hAnsi="Symbol" w:cstheme="maj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2778AE"/>
    <w:multiLevelType w:val="multilevel"/>
    <w:tmpl w:val="0A40A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F72A43"/>
    <w:multiLevelType w:val="multilevel"/>
    <w:tmpl w:val="6FC41CA2"/>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2CBA2695"/>
    <w:multiLevelType w:val="multilevel"/>
    <w:tmpl w:val="ADBEF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83487F"/>
    <w:multiLevelType w:val="multilevel"/>
    <w:tmpl w:val="D9C62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2D2453"/>
    <w:multiLevelType w:val="multilevel"/>
    <w:tmpl w:val="68169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3807FAA"/>
    <w:multiLevelType w:val="hybridMultilevel"/>
    <w:tmpl w:val="03E0E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3ED38A3"/>
    <w:multiLevelType w:val="multilevel"/>
    <w:tmpl w:val="2ED65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8380477"/>
    <w:multiLevelType w:val="hybridMultilevel"/>
    <w:tmpl w:val="0D0AB032"/>
    <w:lvl w:ilvl="0" w:tplc="58E8249E">
      <w:start w:val="83"/>
      <w:numFmt w:val="bullet"/>
      <w:lvlText w:val="-"/>
      <w:lvlJc w:val="left"/>
      <w:pPr>
        <w:ind w:left="720" w:hanging="360"/>
      </w:pPr>
      <w:rPr>
        <w:rFonts w:ascii="Aptos" w:eastAsia="Aptos" w:hAnsi="Aptos" w:cs="Apto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6270D6"/>
    <w:multiLevelType w:val="multilevel"/>
    <w:tmpl w:val="0E089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E9E7E07"/>
    <w:multiLevelType w:val="multilevel"/>
    <w:tmpl w:val="5088C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37F6863"/>
    <w:multiLevelType w:val="hybridMultilevel"/>
    <w:tmpl w:val="BFD4D6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5543C0D"/>
    <w:multiLevelType w:val="multilevel"/>
    <w:tmpl w:val="F33E5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7D66BFC"/>
    <w:multiLevelType w:val="multilevel"/>
    <w:tmpl w:val="01AC9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96547CD"/>
    <w:multiLevelType w:val="multilevel"/>
    <w:tmpl w:val="73F4B8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BF76F47"/>
    <w:multiLevelType w:val="multilevel"/>
    <w:tmpl w:val="86029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DE011F5"/>
    <w:multiLevelType w:val="multilevel"/>
    <w:tmpl w:val="4E0C7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E1D4642"/>
    <w:multiLevelType w:val="multilevel"/>
    <w:tmpl w:val="2E4A2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F9C20C6"/>
    <w:multiLevelType w:val="multilevel"/>
    <w:tmpl w:val="2CBC90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18C761D"/>
    <w:multiLevelType w:val="multilevel"/>
    <w:tmpl w:val="16F075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19307CF"/>
    <w:multiLevelType w:val="multilevel"/>
    <w:tmpl w:val="5B3ED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20F2008"/>
    <w:multiLevelType w:val="multilevel"/>
    <w:tmpl w:val="2B4EA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44B5552"/>
    <w:multiLevelType w:val="multilevel"/>
    <w:tmpl w:val="E62A8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54C5915"/>
    <w:multiLevelType w:val="multilevel"/>
    <w:tmpl w:val="9A4E0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A4C3A08"/>
    <w:multiLevelType w:val="multilevel"/>
    <w:tmpl w:val="1B1EA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C1A644D"/>
    <w:multiLevelType w:val="multilevel"/>
    <w:tmpl w:val="35E88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DBD4D04"/>
    <w:multiLevelType w:val="multilevel"/>
    <w:tmpl w:val="B8AE8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34E3B19"/>
    <w:multiLevelType w:val="multilevel"/>
    <w:tmpl w:val="DB8E5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42D35E0"/>
    <w:multiLevelType w:val="multilevel"/>
    <w:tmpl w:val="47A60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5BF624C"/>
    <w:multiLevelType w:val="hybridMultilevel"/>
    <w:tmpl w:val="4294BC4E"/>
    <w:lvl w:ilvl="0" w:tplc="D86C4910">
      <w:start w:val="8"/>
      <w:numFmt w:val="bullet"/>
      <w:lvlText w:val="-"/>
      <w:lvlJc w:val="left"/>
      <w:pPr>
        <w:ind w:left="720" w:hanging="360"/>
      </w:pPr>
      <w:rPr>
        <w:rFonts w:ascii="Aptos" w:eastAsia="Aptos" w:hAnsi="Aptos" w:cs="Apto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7107ABA"/>
    <w:multiLevelType w:val="multilevel"/>
    <w:tmpl w:val="229C4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73B707A"/>
    <w:multiLevelType w:val="multilevel"/>
    <w:tmpl w:val="A2A42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78037D1"/>
    <w:multiLevelType w:val="multilevel"/>
    <w:tmpl w:val="1B482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C1D2E5C"/>
    <w:multiLevelType w:val="multilevel"/>
    <w:tmpl w:val="7E4454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EA967F7"/>
    <w:multiLevelType w:val="multilevel"/>
    <w:tmpl w:val="57527F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71082975">
    <w:abstractNumId w:val="12"/>
  </w:num>
  <w:num w:numId="2" w16cid:durableId="1113020389">
    <w:abstractNumId w:val="10"/>
  </w:num>
  <w:num w:numId="3" w16cid:durableId="961114170">
    <w:abstractNumId w:val="16"/>
  </w:num>
  <w:num w:numId="4" w16cid:durableId="1723091565">
    <w:abstractNumId w:val="3"/>
  </w:num>
  <w:num w:numId="5" w16cid:durableId="586619517">
    <w:abstractNumId w:val="21"/>
  </w:num>
  <w:num w:numId="6" w16cid:durableId="897135218">
    <w:abstractNumId w:val="1"/>
  </w:num>
  <w:num w:numId="7" w16cid:durableId="1484275802">
    <w:abstractNumId w:val="7"/>
  </w:num>
  <w:num w:numId="8" w16cid:durableId="821701241">
    <w:abstractNumId w:val="36"/>
  </w:num>
  <w:num w:numId="9" w16cid:durableId="525143688">
    <w:abstractNumId w:val="11"/>
  </w:num>
  <w:num w:numId="10" w16cid:durableId="1524705509">
    <w:abstractNumId w:val="8"/>
  </w:num>
  <w:num w:numId="11" w16cid:durableId="1606963427">
    <w:abstractNumId w:val="5"/>
  </w:num>
  <w:num w:numId="12" w16cid:durableId="1398434342">
    <w:abstractNumId w:val="35"/>
  </w:num>
  <w:num w:numId="13" w16cid:durableId="1664891653">
    <w:abstractNumId w:val="0"/>
  </w:num>
  <w:num w:numId="14" w16cid:durableId="1510486890">
    <w:abstractNumId w:val="41"/>
  </w:num>
  <w:num w:numId="15" w16cid:durableId="1175068259">
    <w:abstractNumId w:val="39"/>
  </w:num>
  <w:num w:numId="16" w16cid:durableId="2119064076">
    <w:abstractNumId w:val="4"/>
  </w:num>
  <w:num w:numId="17" w16cid:durableId="1814249525">
    <w:abstractNumId w:val="38"/>
  </w:num>
  <w:num w:numId="18" w16cid:durableId="1376467464">
    <w:abstractNumId w:val="19"/>
  </w:num>
  <w:num w:numId="19" w16cid:durableId="1555848800">
    <w:abstractNumId w:val="27"/>
  </w:num>
  <w:num w:numId="20" w16cid:durableId="273833953">
    <w:abstractNumId w:val="6"/>
  </w:num>
  <w:num w:numId="21" w16cid:durableId="144779893">
    <w:abstractNumId w:val="33"/>
  </w:num>
  <w:num w:numId="22" w16cid:durableId="243804768">
    <w:abstractNumId w:val="37"/>
  </w:num>
  <w:num w:numId="23" w16cid:durableId="1994022057">
    <w:abstractNumId w:val="13"/>
  </w:num>
  <w:num w:numId="24" w16cid:durableId="2147357973">
    <w:abstractNumId w:val="20"/>
  </w:num>
  <w:num w:numId="25" w16cid:durableId="304626175">
    <w:abstractNumId w:val="42"/>
  </w:num>
  <w:num w:numId="26" w16cid:durableId="775515968">
    <w:abstractNumId w:val="15"/>
  </w:num>
  <w:num w:numId="27" w16cid:durableId="1592087246">
    <w:abstractNumId w:val="32"/>
  </w:num>
  <w:num w:numId="28" w16cid:durableId="797838397">
    <w:abstractNumId w:val="9"/>
  </w:num>
  <w:num w:numId="29" w16cid:durableId="1217156043">
    <w:abstractNumId w:val="31"/>
  </w:num>
  <w:num w:numId="30" w16cid:durableId="1533155061">
    <w:abstractNumId w:val="17"/>
  </w:num>
  <w:num w:numId="31" w16cid:durableId="1608348195">
    <w:abstractNumId w:val="40"/>
  </w:num>
  <w:num w:numId="32" w16cid:durableId="596594551">
    <w:abstractNumId w:val="34"/>
  </w:num>
  <w:num w:numId="33" w16cid:durableId="653879562">
    <w:abstractNumId w:val="23"/>
  </w:num>
  <w:num w:numId="34" w16cid:durableId="278420560">
    <w:abstractNumId w:val="30"/>
  </w:num>
  <w:num w:numId="35" w16cid:durableId="2099281333">
    <w:abstractNumId w:val="26"/>
  </w:num>
  <w:num w:numId="36" w16cid:durableId="627589258">
    <w:abstractNumId w:val="25"/>
  </w:num>
  <w:num w:numId="37" w16cid:durableId="1980497945">
    <w:abstractNumId w:val="43"/>
  </w:num>
  <w:num w:numId="38" w16cid:durableId="472452170">
    <w:abstractNumId w:val="28"/>
  </w:num>
  <w:num w:numId="39" w16cid:durableId="293949360">
    <w:abstractNumId w:val="14"/>
  </w:num>
  <w:num w:numId="40" w16cid:durableId="408382043">
    <w:abstractNumId w:val="24"/>
  </w:num>
  <w:num w:numId="41" w16cid:durableId="1453791435">
    <w:abstractNumId w:val="29"/>
  </w:num>
  <w:num w:numId="42" w16cid:durableId="1641229788">
    <w:abstractNumId w:val="22"/>
  </w:num>
  <w:num w:numId="43" w16cid:durableId="682049641">
    <w:abstractNumId w:val="44"/>
  </w:num>
  <w:num w:numId="44" w16cid:durableId="1078481175">
    <w:abstractNumId w:val="18"/>
  </w:num>
  <w:num w:numId="45" w16cid:durableId="16342177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9DA"/>
    <w:rsid w:val="00000D44"/>
    <w:rsid w:val="00001791"/>
    <w:rsid w:val="0000372C"/>
    <w:rsid w:val="00011DDD"/>
    <w:rsid w:val="0001231B"/>
    <w:rsid w:val="000140E3"/>
    <w:rsid w:val="00020D5F"/>
    <w:rsid w:val="000255D4"/>
    <w:rsid w:val="0003651E"/>
    <w:rsid w:val="0004113A"/>
    <w:rsid w:val="000413D7"/>
    <w:rsid w:val="0004238D"/>
    <w:rsid w:val="00044876"/>
    <w:rsid w:val="00044D78"/>
    <w:rsid w:val="00044F21"/>
    <w:rsid w:val="000466D6"/>
    <w:rsid w:val="00055BDE"/>
    <w:rsid w:val="0006590C"/>
    <w:rsid w:val="00071186"/>
    <w:rsid w:val="00080C79"/>
    <w:rsid w:val="0008163B"/>
    <w:rsid w:val="0008184B"/>
    <w:rsid w:val="000919D5"/>
    <w:rsid w:val="000929BD"/>
    <w:rsid w:val="00093E03"/>
    <w:rsid w:val="0009486F"/>
    <w:rsid w:val="00096431"/>
    <w:rsid w:val="000A1772"/>
    <w:rsid w:val="000A271A"/>
    <w:rsid w:val="000B05CE"/>
    <w:rsid w:val="000B24B0"/>
    <w:rsid w:val="000B2AAB"/>
    <w:rsid w:val="000B3498"/>
    <w:rsid w:val="000C169B"/>
    <w:rsid w:val="000D5283"/>
    <w:rsid w:val="000D5BEC"/>
    <w:rsid w:val="000D7056"/>
    <w:rsid w:val="000E3777"/>
    <w:rsid w:val="000E3E1E"/>
    <w:rsid w:val="000E41ED"/>
    <w:rsid w:val="000E711D"/>
    <w:rsid w:val="000F17A3"/>
    <w:rsid w:val="000F40C3"/>
    <w:rsid w:val="0010046E"/>
    <w:rsid w:val="00105600"/>
    <w:rsid w:val="00105C75"/>
    <w:rsid w:val="00106568"/>
    <w:rsid w:val="001103F7"/>
    <w:rsid w:val="00111A54"/>
    <w:rsid w:val="00112C51"/>
    <w:rsid w:val="0011313A"/>
    <w:rsid w:val="0012086E"/>
    <w:rsid w:val="001259D3"/>
    <w:rsid w:val="0014739D"/>
    <w:rsid w:val="00152233"/>
    <w:rsid w:val="00153743"/>
    <w:rsid w:val="001540B7"/>
    <w:rsid w:val="00154AD6"/>
    <w:rsid w:val="001609F5"/>
    <w:rsid w:val="00170AD6"/>
    <w:rsid w:val="00171FA3"/>
    <w:rsid w:val="00173378"/>
    <w:rsid w:val="00175354"/>
    <w:rsid w:val="00184EA0"/>
    <w:rsid w:val="00186B71"/>
    <w:rsid w:val="001A19F8"/>
    <w:rsid w:val="001B1C21"/>
    <w:rsid w:val="001B4E97"/>
    <w:rsid w:val="001B5007"/>
    <w:rsid w:val="001B6C49"/>
    <w:rsid w:val="001B6F11"/>
    <w:rsid w:val="001B77A3"/>
    <w:rsid w:val="001C1CB7"/>
    <w:rsid w:val="001D1339"/>
    <w:rsid w:val="001D58E8"/>
    <w:rsid w:val="001D59BD"/>
    <w:rsid w:val="001E368C"/>
    <w:rsid w:val="001F36F0"/>
    <w:rsid w:val="001F4CB2"/>
    <w:rsid w:val="001F4D65"/>
    <w:rsid w:val="001F538D"/>
    <w:rsid w:val="001F7B41"/>
    <w:rsid w:val="0020135E"/>
    <w:rsid w:val="00201AE1"/>
    <w:rsid w:val="00205A7F"/>
    <w:rsid w:val="00212AA6"/>
    <w:rsid w:val="002142DD"/>
    <w:rsid w:val="002176BE"/>
    <w:rsid w:val="002201C0"/>
    <w:rsid w:val="0022110B"/>
    <w:rsid w:val="00221F0C"/>
    <w:rsid w:val="00222D45"/>
    <w:rsid w:val="0023033B"/>
    <w:rsid w:val="00231CA2"/>
    <w:rsid w:val="00231E37"/>
    <w:rsid w:val="0023280B"/>
    <w:rsid w:val="00233B84"/>
    <w:rsid w:val="002421CE"/>
    <w:rsid w:val="00242A47"/>
    <w:rsid w:val="00251252"/>
    <w:rsid w:val="002554A8"/>
    <w:rsid w:val="00256FD7"/>
    <w:rsid w:val="00257087"/>
    <w:rsid w:val="00262A45"/>
    <w:rsid w:val="00263B91"/>
    <w:rsid w:val="002653BB"/>
    <w:rsid w:val="00270F91"/>
    <w:rsid w:val="00273A0D"/>
    <w:rsid w:val="00276D2E"/>
    <w:rsid w:val="002777D2"/>
    <w:rsid w:val="0029516F"/>
    <w:rsid w:val="002A4871"/>
    <w:rsid w:val="002A6F7B"/>
    <w:rsid w:val="002B1C0B"/>
    <w:rsid w:val="002B496F"/>
    <w:rsid w:val="002C3406"/>
    <w:rsid w:val="002D071E"/>
    <w:rsid w:val="002D24AF"/>
    <w:rsid w:val="002E0339"/>
    <w:rsid w:val="002E3BA5"/>
    <w:rsid w:val="002E6148"/>
    <w:rsid w:val="002E718A"/>
    <w:rsid w:val="002E7735"/>
    <w:rsid w:val="002F121F"/>
    <w:rsid w:val="002F1A81"/>
    <w:rsid w:val="002F2BA3"/>
    <w:rsid w:val="002F349D"/>
    <w:rsid w:val="003025CE"/>
    <w:rsid w:val="0031065A"/>
    <w:rsid w:val="00315053"/>
    <w:rsid w:val="00321AF5"/>
    <w:rsid w:val="003310B1"/>
    <w:rsid w:val="003357A3"/>
    <w:rsid w:val="0033758C"/>
    <w:rsid w:val="00337F8C"/>
    <w:rsid w:val="003426A7"/>
    <w:rsid w:val="0034504B"/>
    <w:rsid w:val="00347297"/>
    <w:rsid w:val="00354F03"/>
    <w:rsid w:val="00361F92"/>
    <w:rsid w:val="00363E81"/>
    <w:rsid w:val="00365537"/>
    <w:rsid w:val="0037121B"/>
    <w:rsid w:val="00371A01"/>
    <w:rsid w:val="0037232D"/>
    <w:rsid w:val="0037299E"/>
    <w:rsid w:val="00373C51"/>
    <w:rsid w:val="00375A5A"/>
    <w:rsid w:val="003805B8"/>
    <w:rsid w:val="0038164A"/>
    <w:rsid w:val="003853A5"/>
    <w:rsid w:val="003864F8"/>
    <w:rsid w:val="003873D3"/>
    <w:rsid w:val="00390601"/>
    <w:rsid w:val="003936C1"/>
    <w:rsid w:val="003961C4"/>
    <w:rsid w:val="003A01AA"/>
    <w:rsid w:val="003A067D"/>
    <w:rsid w:val="003A3A22"/>
    <w:rsid w:val="003B057A"/>
    <w:rsid w:val="003D5F3B"/>
    <w:rsid w:val="003D6F3E"/>
    <w:rsid w:val="003E1BBC"/>
    <w:rsid w:val="003E48BB"/>
    <w:rsid w:val="00401D4F"/>
    <w:rsid w:val="00403AC1"/>
    <w:rsid w:val="00404470"/>
    <w:rsid w:val="00404640"/>
    <w:rsid w:val="00404E70"/>
    <w:rsid w:val="00405C7D"/>
    <w:rsid w:val="004076EB"/>
    <w:rsid w:val="00411756"/>
    <w:rsid w:val="00412ACD"/>
    <w:rsid w:val="004144DD"/>
    <w:rsid w:val="00416C51"/>
    <w:rsid w:val="00423CDE"/>
    <w:rsid w:val="004244C8"/>
    <w:rsid w:val="00427968"/>
    <w:rsid w:val="00431C45"/>
    <w:rsid w:val="00431D55"/>
    <w:rsid w:val="00433430"/>
    <w:rsid w:val="004406BA"/>
    <w:rsid w:val="004431DD"/>
    <w:rsid w:val="004459EE"/>
    <w:rsid w:val="004460A6"/>
    <w:rsid w:val="004509E5"/>
    <w:rsid w:val="004554BA"/>
    <w:rsid w:val="004558EA"/>
    <w:rsid w:val="004566D8"/>
    <w:rsid w:val="00456901"/>
    <w:rsid w:val="00457286"/>
    <w:rsid w:val="00457A52"/>
    <w:rsid w:val="00463636"/>
    <w:rsid w:val="00472DAB"/>
    <w:rsid w:val="00476093"/>
    <w:rsid w:val="00480D93"/>
    <w:rsid w:val="004814B5"/>
    <w:rsid w:val="004879A0"/>
    <w:rsid w:val="004903AA"/>
    <w:rsid w:val="004903D0"/>
    <w:rsid w:val="0049220A"/>
    <w:rsid w:val="00493A2F"/>
    <w:rsid w:val="00495972"/>
    <w:rsid w:val="0049603A"/>
    <w:rsid w:val="004A0A95"/>
    <w:rsid w:val="004A454A"/>
    <w:rsid w:val="004A4C05"/>
    <w:rsid w:val="004A65AF"/>
    <w:rsid w:val="004A7DC9"/>
    <w:rsid w:val="004B34CA"/>
    <w:rsid w:val="004B3FCE"/>
    <w:rsid w:val="004B4EED"/>
    <w:rsid w:val="004C4912"/>
    <w:rsid w:val="004C648E"/>
    <w:rsid w:val="004C7945"/>
    <w:rsid w:val="004D19B8"/>
    <w:rsid w:val="004D2B74"/>
    <w:rsid w:val="004D4395"/>
    <w:rsid w:val="004D6C7D"/>
    <w:rsid w:val="004E32D8"/>
    <w:rsid w:val="004E34D1"/>
    <w:rsid w:val="004E54DB"/>
    <w:rsid w:val="004F2D56"/>
    <w:rsid w:val="004F3AA8"/>
    <w:rsid w:val="0050283A"/>
    <w:rsid w:val="005071D3"/>
    <w:rsid w:val="00511C2E"/>
    <w:rsid w:val="005220B6"/>
    <w:rsid w:val="00526CCA"/>
    <w:rsid w:val="00530E10"/>
    <w:rsid w:val="00535D3C"/>
    <w:rsid w:val="00540669"/>
    <w:rsid w:val="0054166C"/>
    <w:rsid w:val="00550B46"/>
    <w:rsid w:val="00551CCE"/>
    <w:rsid w:val="00553285"/>
    <w:rsid w:val="00555D88"/>
    <w:rsid w:val="005576D5"/>
    <w:rsid w:val="00561010"/>
    <w:rsid w:val="00564D30"/>
    <w:rsid w:val="005658FB"/>
    <w:rsid w:val="00566668"/>
    <w:rsid w:val="00573FAA"/>
    <w:rsid w:val="005754AB"/>
    <w:rsid w:val="0058306C"/>
    <w:rsid w:val="00584594"/>
    <w:rsid w:val="005853DA"/>
    <w:rsid w:val="005911C7"/>
    <w:rsid w:val="00596E15"/>
    <w:rsid w:val="005973DB"/>
    <w:rsid w:val="00597CB2"/>
    <w:rsid w:val="005A25AA"/>
    <w:rsid w:val="005A3F19"/>
    <w:rsid w:val="005A66F4"/>
    <w:rsid w:val="005A7EB6"/>
    <w:rsid w:val="005B26F8"/>
    <w:rsid w:val="005B284E"/>
    <w:rsid w:val="005B4496"/>
    <w:rsid w:val="005B5878"/>
    <w:rsid w:val="005C1B95"/>
    <w:rsid w:val="005C1FCF"/>
    <w:rsid w:val="005C4B51"/>
    <w:rsid w:val="005C65A6"/>
    <w:rsid w:val="005D193A"/>
    <w:rsid w:val="005D2428"/>
    <w:rsid w:val="005D2D98"/>
    <w:rsid w:val="005E026B"/>
    <w:rsid w:val="005E32A7"/>
    <w:rsid w:val="005E43B6"/>
    <w:rsid w:val="005E626F"/>
    <w:rsid w:val="005F0475"/>
    <w:rsid w:val="006046F0"/>
    <w:rsid w:val="006114B6"/>
    <w:rsid w:val="00620768"/>
    <w:rsid w:val="00622B51"/>
    <w:rsid w:val="006300A9"/>
    <w:rsid w:val="0063051D"/>
    <w:rsid w:val="0063528C"/>
    <w:rsid w:val="00637A7C"/>
    <w:rsid w:val="006559EF"/>
    <w:rsid w:val="00662B57"/>
    <w:rsid w:val="00665753"/>
    <w:rsid w:val="00665939"/>
    <w:rsid w:val="00666A7B"/>
    <w:rsid w:val="00666C6C"/>
    <w:rsid w:val="00675A1B"/>
    <w:rsid w:val="00676658"/>
    <w:rsid w:val="00676872"/>
    <w:rsid w:val="00677747"/>
    <w:rsid w:val="0068032C"/>
    <w:rsid w:val="0069031F"/>
    <w:rsid w:val="00690B6B"/>
    <w:rsid w:val="00695F43"/>
    <w:rsid w:val="00696752"/>
    <w:rsid w:val="006B55BC"/>
    <w:rsid w:val="006B5B73"/>
    <w:rsid w:val="006B60D6"/>
    <w:rsid w:val="006B6F4F"/>
    <w:rsid w:val="006B751D"/>
    <w:rsid w:val="006C149C"/>
    <w:rsid w:val="006C3757"/>
    <w:rsid w:val="006C3852"/>
    <w:rsid w:val="006D09EC"/>
    <w:rsid w:val="006D7DB4"/>
    <w:rsid w:val="006E2E65"/>
    <w:rsid w:val="006E3BCC"/>
    <w:rsid w:val="006F226A"/>
    <w:rsid w:val="006F43E6"/>
    <w:rsid w:val="00713BA1"/>
    <w:rsid w:val="0071694E"/>
    <w:rsid w:val="007233A6"/>
    <w:rsid w:val="0073610F"/>
    <w:rsid w:val="0074047E"/>
    <w:rsid w:val="007407F7"/>
    <w:rsid w:val="007411F5"/>
    <w:rsid w:val="00745873"/>
    <w:rsid w:val="007474D1"/>
    <w:rsid w:val="007519B1"/>
    <w:rsid w:val="007567C2"/>
    <w:rsid w:val="00756BCA"/>
    <w:rsid w:val="0076212E"/>
    <w:rsid w:val="00762701"/>
    <w:rsid w:val="00764DDA"/>
    <w:rsid w:val="007656DD"/>
    <w:rsid w:val="0077116C"/>
    <w:rsid w:val="00771FEF"/>
    <w:rsid w:val="00772C09"/>
    <w:rsid w:val="00775156"/>
    <w:rsid w:val="00777E6F"/>
    <w:rsid w:val="007818B8"/>
    <w:rsid w:val="007829E1"/>
    <w:rsid w:val="00783B4E"/>
    <w:rsid w:val="007A29F4"/>
    <w:rsid w:val="007A3A0D"/>
    <w:rsid w:val="007A6B12"/>
    <w:rsid w:val="007B4388"/>
    <w:rsid w:val="007B5BCA"/>
    <w:rsid w:val="007C03C0"/>
    <w:rsid w:val="007C378D"/>
    <w:rsid w:val="007D44DF"/>
    <w:rsid w:val="007D6846"/>
    <w:rsid w:val="007F0B13"/>
    <w:rsid w:val="007F14A0"/>
    <w:rsid w:val="007F374A"/>
    <w:rsid w:val="007F5503"/>
    <w:rsid w:val="007F6303"/>
    <w:rsid w:val="007F66C2"/>
    <w:rsid w:val="007F6A31"/>
    <w:rsid w:val="008013F9"/>
    <w:rsid w:val="0080413A"/>
    <w:rsid w:val="00806FE5"/>
    <w:rsid w:val="0080719E"/>
    <w:rsid w:val="0081181D"/>
    <w:rsid w:val="00813EEB"/>
    <w:rsid w:val="00814C00"/>
    <w:rsid w:val="0082092D"/>
    <w:rsid w:val="008216D7"/>
    <w:rsid w:val="00821FFC"/>
    <w:rsid w:val="00822230"/>
    <w:rsid w:val="008246D0"/>
    <w:rsid w:val="00824C28"/>
    <w:rsid w:val="0083175B"/>
    <w:rsid w:val="00831B89"/>
    <w:rsid w:val="00831EF6"/>
    <w:rsid w:val="008345F5"/>
    <w:rsid w:val="008356FA"/>
    <w:rsid w:val="00837591"/>
    <w:rsid w:val="00840FB9"/>
    <w:rsid w:val="008423D4"/>
    <w:rsid w:val="00854EFD"/>
    <w:rsid w:val="00857B3E"/>
    <w:rsid w:val="00867129"/>
    <w:rsid w:val="00872B25"/>
    <w:rsid w:val="00882A44"/>
    <w:rsid w:val="00882D50"/>
    <w:rsid w:val="00893518"/>
    <w:rsid w:val="008A00E5"/>
    <w:rsid w:val="008A0759"/>
    <w:rsid w:val="008A3E84"/>
    <w:rsid w:val="008B1A69"/>
    <w:rsid w:val="008B2F7D"/>
    <w:rsid w:val="008B69FC"/>
    <w:rsid w:val="008B6E36"/>
    <w:rsid w:val="008C371F"/>
    <w:rsid w:val="008C421C"/>
    <w:rsid w:val="008C7740"/>
    <w:rsid w:val="008D23AD"/>
    <w:rsid w:val="008D267A"/>
    <w:rsid w:val="008D41E0"/>
    <w:rsid w:val="008D559F"/>
    <w:rsid w:val="008E2119"/>
    <w:rsid w:val="008E4FF7"/>
    <w:rsid w:val="008E71FE"/>
    <w:rsid w:val="008F1226"/>
    <w:rsid w:val="008F24AA"/>
    <w:rsid w:val="008F2ABD"/>
    <w:rsid w:val="008F320B"/>
    <w:rsid w:val="00906EA0"/>
    <w:rsid w:val="0091104E"/>
    <w:rsid w:val="009214E3"/>
    <w:rsid w:val="0092221C"/>
    <w:rsid w:val="00924E3D"/>
    <w:rsid w:val="00924EB3"/>
    <w:rsid w:val="0092539B"/>
    <w:rsid w:val="00930D6C"/>
    <w:rsid w:val="00932106"/>
    <w:rsid w:val="00937D49"/>
    <w:rsid w:val="00942FAC"/>
    <w:rsid w:val="00946D81"/>
    <w:rsid w:val="00951D45"/>
    <w:rsid w:val="00952282"/>
    <w:rsid w:val="00952549"/>
    <w:rsid w:val="0095699E"/>
    <w:rsid w:val="00965B02"/>
    <w:rsid w:val="00975B72"/>
    <w:rsid w:val="00975F10"/>
    <w:rsid w:val="00982C4C"/>
    <w:rsid w:val="00984896"/>
    <w:rsid w:val="00985493"/>
    <w:rsid w:val="0098788C"/>
    <w:rsid w:val="00990B89"/>
    <w:rsid w:val="009A0690"/>
    <w:rsid w:val="009A7543"/>
    <w:rsid w:val="009B189E"/>
    <w:rsid w:val="009B4838"/>
    <w:rsid w:val="009B5D25"/>
    <w:rsid w:val="009C06AE"/>
    <w:rsid w:val="009C0923"/>
    <w:rsid w:val="009C37F2"/>
    <w:rsid w:val="009C5F0E"/>
    <w:rsid w:val="009D6B1A"/>
    <w:rsid w:val="009E28A3"/>
    <w:rsid w:val="009E4FD5"/>
    <w:rsid w:val="009E4FDD"/>
    <w:rsid w:val="009E7556"/>
    <w:rsid w:val="009F2B40"/>
    <w:rsid w:val="009F51F7"/>
    <w:rsid w:val="009F65E9"/>
    <w:rsid w:val="009F6F73"/>
    <w:rsid w:val="009F7E12"/>
    <w:rsid w:val="00A06075"/>
    <w:rsid w:val="00A1018F"/>
    <w:rsid w:val="00A12329"/>
    <w:rsid w:val="00A1446E"/>
    <w:rsid w:val="00A22D10"/>
    <w:rsid w:val="00A26519"/>
    <w:rsid w:val="00A36090"/>
    <w:rsid w:val="00A47117"/>
    <w:rsid w:val="00A47427"/>
    <w:rsid w:val="00A479DA"/>
    <w:rsid w:val="00A502E1"/>
    <w:rsid w:val="00A50769"/>
    <w:rsid w:val="00A51E0F"/>
    <w:rsid w:val="00A54EA5"/>
    <w:rsid w:val="00A55D11"/>
    <w:rsid w:val="00A57A16"/>
    <w:rsid w:val="00A616BC"/>
    <w:rsid w:val="00A64DB7"/>
    <w:rsid w:val="00A64ECA"/>
    <w:rsid w:val="00A72759"/>
    <w:rsid w:val="00A75420"/>
    <w:rsid w:val="00A80CDF"/>
    <w:rsid w:val="00A8189F"/>
    <w:rsid w:val="00A903D2"/>
    <w:rsid w:val="00A97694"/>
    <w:rsid w:val="00AA5A9C"/>
    <w:rsid w:val="00AA7DD9"/>
    <w:rsid w:val="00AB3432"/>
    <w:rsid w:val="00AB3433"/>
    <w:rsid w:val="00AC105F"/>
    <w:rsid w:val="00AC3247"/>
    <w:rsid w:val="00AC5BC0"/>
    <w:rsid w:val="00AD40F5"/>
    <w:rsid w:val="00AD5739"/>
    <w:rsid w:val="00AE0B72"/>
    <w:rsid w:val="00AE291C"/>
    <w:rsid w:val="00AF01D0"/>
    <w:rsid w:val="00AF0E10"/>
    <w:rsid w:val="00AF1368"/>
    <w:rsid w:val="00AF2B40"/>
    <w:rsid w:val="00AF6E28"/>
    <w:rsid w:val="00AF7D41"/>
    <w:rsid w:val="00B03E66"/>
    <w:rsid w:val="00B04C3C"/>
    <w:rsid w:val="00B103E5"/>
    <w:rsid w:val="00B109DC"/>
    <w:rsid w:val="00B131A2"/>
    <w:rsid w:val="00B1734E"/>
    <w:rsid w:val="00B20D18"/>
    <w:rsid w:val="00B22791"/>
    <w:rsid w:val="00B336AC"/>
    <w:rsid w:val="00B37055"/>
    <w:rsid w:val="00B43471"/>
    <w:rsid w:val="00B448C8"/>
    <w:rsid w:val="00B51FC1"/>
    <w:rsid w:val="00B56721"/>
    <w:rsid w:val="00B67A50"/>
    <w:rsid w:val="00B70655"/>
    <w:rsid w:val="00B709F6"/>
    <w:rsid w:val="00B71537"/>
    <w:rsid w:val="00B71BD9"/>
    <w:rsid w:val="00B751DA"/>
    <w:rsid w:val="00B76425"/>
    <w:rsid w:val="00B819FA"/>
    <w:rsid w:val="00B822D2"/>
    <w:rsid w:val="00B8509B"/>
    <w:rsid w:val="00B87A10"/>
    <w:rsid w:val="00BA3A27"/>
    <w:rsid w:val="00BA3BF2"/>
    <w:rsid w:val="00BA4B97"/>
    <w:rsid w:val="00BA57F1"/>
    <w:rsid w:val="00BA693F"/>
    <w:rsid w:val="00BA6F85"/>
    <w:rsid w:val="00BB0F67"/>
    <w:rsid w:val="00BB5D06"/>
    <w:rsid w:val="00BB6776"/>
    <w:rsid w:val="00BC1088"/>
    <w:rsid w:val="00BC20AA"/>
    <w:rsid w:val="00BD1B87"/>
    <w:rsid w:val="00BD6253"/>
    <w:rsid w:val="00BD6EA5"/>
    <w:rsid w:val="00BE0759"/>
    <w:rsid w:val="00BE56E0"/>
    <w:rsid w:val="00BF17FD"/>
    <w:rsid w:val="00BF324C"/>
    <w:rsid w:val="00C0709C"/>
    <w:rsid w:val="00C12463"/>
    <w:rsid w:val="00C17579"/>
    <w:rsid w:val="00C22347"/>
    <w:rsid w:val="00C25040"/>
    <w:rsid w:val="00C31DD8"/>
    <w:rsid w:val="00C407F8"/>
    <w:rsid w:val="00C43560"/>
    <w:rsid w:val="00C45441"/>
    <w:rsid w:val="00C46BDF"/>
    <w:rsid w:val="00C46DDD"/>
    <w:rsid w:val="00C47815"/>
    <w:rsid w:val="00C61A77"/>
    <w:rsid w:val="00C631A3"/>
    <w:rsid w:val="00C857F0"/>
    <w:rsid w:val="00C92EDD"/>
    <w:rsid w:val="00CA3C37"/>
    <w:rsid w:val="00CA45E8"/>
    <w:rsid w:val="00CB1414"/>
    <w:rsid w:val="00CB4D9E"/>
    <w:rsid w:val="00CB696E"/>
    <w:rsid w:val="00CC058A"/>
    <w:rsid w:val="00CC2461"/>
    <w:rsid w:val="00CC3098"/>
    <w:rsid w:val="00CD283E"/>
    <w:rsid w:val="00CD533B"/>
    <w:rsid w:val="00CE11E6"/>
    <w:rsid w:val="00CE512C"/>
    <w:rsid w:val="00CE78DC"/>
    <w:rsid w:val="00CF0B96"/>
    <w:rsid w:val="00CF279B"/>
    <w:rsid w:val="00CF5672"/>
    <w:rsid w:val="00CF6E16"/>
    <w:rsid w:val="00D0354D"/>
    <w:rsid w:val="00D0463C"/>
    <w:rsid w:val="00D1739B"/>
    <w:rsid w:val="00D202EB"/>
    <w:rsid w:val="00D204EF"/>
    <w:rsid w:val="00D22D49"/>
    <w:rsid w:val="00D30E62"/>
    <w:rsid w:val="00D375B9"/>
    <w:rsid w:val="00D4256D"/>
    <w:rsid w:val="00D4780E"/>
    <w:rsid w:val="00D50BE6"/>
    <w:rsid w:val="00D53720"/>
    <w:rsid w:val="00D55F34"/>
    <w:rsid w:val="00D579F2"/>
    <w:rsid w:val="00D61D30"/>
    <w:rsid w:val="00D651A5"/>
    <w:rsid w:val="00D65C66"/>
    <w:rsid w:val="00D661FF"/>
    <w:rsid w:val="00D736F3"/>
    <w:rsid w:val="00D900F3"/>
    <w:rsid w:val="00D91A12"/>
    <w:rsid w:val="00D97273"/>
    <w:rsid w:val="00D9742F"/>
    <w:rsid w:val="00D976BF"/>
    <w:rsid w:val="00DA1FBD"/>
    <w:rsid w:val="00DA355A"/>
    <w:rsid w:val="00DA7862"/>
    <w:rsid w:val="00DB151C"/>
    <w:rsid w:val="00DB1CC2"/>
    <w:rsid w:val="00DB3F8B"/>
    <w:rsid w:val="00DB5209"/>
    <w:rsid w:val="00DC6E19"/>
    <w:rsid w:val="00DD7978"/>
    <w:rsid w:val="00DE0F69"/>
    <w:rsid w:val="00DE4EBE"/>
    <w:rsid w:val="00E00595"/>
    <w:rsid w:val="00E017BF"/>
    <w:rsid w:val="00E03337"/>
    <w:rsid w:val="00E1115D"/>
    <w:rsid w:val="00E12AD4"/>
    <w:rsid w:val="00E13B1C"/>
    <w:rsid w:val="00E17562"/>
    <w:rsid w:val="00E352C2"/>
    <w:rsid w:val="00E36559"/>
    <w:rsid w:val="00E365FE"/>
    <w:rsid w:val="00E537F8"/>
    <w:rsid w:val="00E571C8"/>
    <w:rsid w:val="00E65297"/>
    <w:rsid w:val="00E71165"/>
    <w:rsid w:val="00E7429D"/>
    <w:rsid w:val="00E74797"/>
    <w:rsid w:val="00E759D6"/>
    <w:rsid w:val="00E75A81"/>
    <w:rsid w:val="00E772EB"/>
    <w:rsid w:val="00E81D18"/>
    <w:rsid w:val="00E84E6F"/>
    <w:rsid w:val="00E92960"/>
    <w:rsid w:val="00E93B32"/>
    <w:rsid w:val="00E96103"/>
    <w:rsid w:val="00EA1B86"/>
    <w:rsid w:val="00EA4D37"/>
    <w:rsid w:val="00EA55C8"/>
    <w:rsid w:val="00EB0266"/>
    <w:rsid w:val="00EB1749"/>
    <w:rsid w:val="00EB2C43"/>
    <w:rsid w:val="00EB3000"/>
    <w:rsid w:val="00EB3460"/>
    <w:rsid w:val="00EB3EDE"/>
    <w:rsid w:val="00EB7BDE"/>
    <w:rsid w:val="00EC3034"/>
    <w:rsid w:val="00EC6FFE"/>
    <w:rsid w:val="00ED26AF"/>
    <w:rsid w:val="00ED45CA"/>
    <w:rsid w:val="00EE03B0"/>
    <w:rsid w:val="00EE461B"/>
    <w:rsid w:val="00EE5A7A"/>
    <w:rsid w:val="00EF0657"/>
    <w:rsid w:val="00EF2AB9"/>
    <w:rsid w:val="00EF3C55"/>
    <w:rsid w:val="00EF440E"/>
    <w:rsid w:val="00F03D1F"/>
    <w:rsid w:val="00F044BD"/>
    <w:rsid w:val="00F1063C"/>
    <w:rsid w:val="00F11188"/>
    <w:rsid w:val="00F12DD1"/>
    <w:rsid w:val="00F218C2"/>
    <w:rsid w:val="00F23129"/>
    <w:rsid w:val="00F24CC5"/>
    <w:rsid w:val="00F25521"/>
    <w:rsid w:val="00F26B97"/>
    <w:rsid w:val="00F274D1"/>
    <w:rsid w:val="00F322B2"/>
    <w:rsid w:val="00F34239"/>
    <w:rsid w:val="00F423CB"/>
    <w:rsid w:val="00F451BD"/>
    <w:rsid w:val="00F45477"/>
    <w:rsid w:val="00F45891"/>
    <w:rsid w:val="00F46750"/>
    <w:rsid w:val="00F5112F"/>
    <w:rsid w:val="00F6001D"/>
    <w:rsid w:val="00F62B56"/>
    <w:rsid w:val="00F70221"/>
    <w:rsid w:val="00F82E73"/>
    <w:rsid w:val="00F8614E"/>
    <w:rsid w:val="00F9118A"/>
    <w:rsid w:val="00F96709"/>
    <w:rsid w:val="00FA0512"/>
    <w:rsid w:val="00FA3DB4"/>
    <w:rsid w:val="00FA539C"/>
    <w:rsid w:val="00FA5430"/>
    <w:rsid w:val="00FA5EA3"/>
    <w:rsid w:val="00FA6FD0"/>
    <w:rsid w:val="00FB104A"/>
    <w:rsid w:val="00FB1123"/>
    <w:rsid w:val="00FB1A64"/>
    <w:rsid w:val="00FC3014"/>
    <w:rsid w:val="00FC3397"/>
    <w:rsid w:val="00FD44D0"/>
    <w:rsid w:val="00FD75E6"/>
    <w:rsid w:val="00FE30C5"/>
    <w:rsid w:val="00FE3E34"/>
    <w:rsid w:val="00FF0146"/>
    <w:rsid w:val="00FF1F0D"/>
    <w:rsid w:val="00FF466B"/>
    <w:rsid w:val="00FF68FE"/>
    <w:rsid w:val="00FF7AE4"/>
    <w:rsid w:val="0BA411FC"/>
    <w:rsid w:val="0F4E8D23"/>
    <w:rsid w:val="120A0534"/>
    <w:rsid w:val="13A70485"/>
    <w:rsid w:val="159EDA65"/>
    <w:rsid w:val="19834748"/>
    <w:rsid w:val="1BBA7921"/>
    <w:rsid w:val="23D98D0A"/>
    <w:rsid w:val="2B510061"/>
    <w:rsid w:val="2D53CA9A"/>
    <w:rsid w:val="2E2FD2CC"/>
    <w:rsid w:val="2EF62803"/>
    <w:rsid w:val="38BC756F"/>
    <w:rsid w:val="3AFB866B"/>
    <w:rsid w:val="3C0329AB"/>
    <w:rsid w:val="3D56BB97"/>
    <w:rsid w:val="43278C75"/>
    <w:rsid w:val="44AE9118"/>
    <w:rsid w:val="4FC99D8C"/>
    <w:rsid w:val="50E05B97"/>
    <w:rsid w:val="5C538265"/>
    <w:rsid w:val="5DFBB632"/>
    <w:rsid w:val="6C48F5EE"/>
    <w:rsid w:val="6D9A92EE"/>
    <w:rsid w:val="700FF78E"/>
    <w:rsid w:val="7433EF0A"/>
    <w:rsid w:val="7EADA01E"/>
    <w:rsid w:val="7F7572C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F5923D"/>
  <w15:docId w15:val="{B80D2949-8A18-43C2-8D6F-23162F4D7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roxima Nova" w:eastAsia="Proxima Nova" w:hAnsi="Proxima Nova" w:cs="Proxima Nova"/>
        <w:color w:val="353744"/>
        <w:sz w:val="22"/>
        <w:szCs w:val="22"/>
        <w:lang w:val="en-GB" w:eastAsia="en-GB" w:bidi="ar-SA"/>
      </w:rPr>
    </w:rPrDefault>
    <w:pPrDefault>
      <w:pPr>
        <w:spacing w:after="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78DC"/>
  </w:style>
  <w:style w:type="paragraph" w:styleId="Heading1">
    <w:name w:val="heading 1"/>
    <w:basedOn w:val="Normal"/>
    <w:next w:val="Normal"/>
    <w:link w:val="Heading1Char"/>
    <w:uiPriority w:val="9"/>
    <w:qFormat/>
    <w:pPr>
      <w:outlineLvl w:val="0"/>
    </w:pPr>
    <w:rPr>
      <w:b/>
      <w:sz w:val="28"/>
      <w:szCs w:val="28"/>
    </w:rPr>
  </w:style>
  <w:style w:type="paragraph" w:styleId="Heading2">
    <w:name w:val="heading 2"/>
    <w:basedOn w:val="Normal"/>
    <w:next w:val="Normal"/>
    <w:link w:val="Heading2Char"/>
    <w:uiPriority w:val="9"/>
    <w:unhideWhenUsed/>
    <w:qFormat/>
    <w:pPr>
      <w:outlineLvl w:val="1"/>
    </w:pPr>
    <w:rPr>
      <w:b/>
      <w:color w:val="EE513C"/>
      <w:sz w:val="28"/>
      <w:szCs w:val="28"/>
    </w:rPr>
  </w:style>
  <w:style w:type="paragraph" w:styleId="Heading3">
    <w:name w:val="heading 3"/>
    <w:basedOn w:val="Normal"/>
    <w:next w:val="Normal"/>
    <w:uiPriority w:val="9"/>
    <w:unhideWhenUsed/>
    <w:qFormat/>
    <w:pPr>
      <w:spacing w:line="240" w:lineRule="auto"/>
      <w:outlineLvl w:val="2"/>
    </w:pPr>
    <w:rPr>
      <w:sz w:val="26"/>
      <w:szCs w:val="26"/>
    </w:rPr>
  </w:style>
  <w:style w:type="paragraph" w:styleId="Heading4">
    <w:name w:val="heading 4"/>
    <w:basedOn w:val="Normal"/>
    <w:next w:val="Normal"/>
    <w:uiPriority w:val="9"/>
    <w:unhideWhenUsed/>
    <w:qFormat/>
    <w:rsid w:val="00154AD6"/>
    <w:pPr>
      <w:outlineLvl w:val="3"/>
    </w:pPr>
    <w:rPr>
      <w:rFonts w:asciiTheme="majorHAnsi" w:eastAsia="Aptos" w:hAnsiTheme="majorHAnsi" w:cstheme="majorHAnsi"/>
      <w:b/>
      <w:bCs/>
      <w:color w:val="1F497D" w:themeColor="text2"/>
      <w:sz w:val="24"/>
      <w:szCs w:val="24"/>
    </w:rPr>
  </w:style>
  <w:style w:type="paragraph" w:styleId="Heading5">
    <w:name w:val="heading 5"/>
    <w:basedOn w:val="Normal"/>
    <w:next w:val="Normal"/>
    <w:uiPriority w:val="9"/>
    <w:semiHidden/>
    <w:unhideWhenUsed/>
    <w:qFormat/>
    <w:pPr>
      <w:keepNext/>
      <w:keepLines/>
      <w:spacing w:before="160" w:after="0"/>
      <w:outlineLvl w:val="4"/>
    </w:pPr>
    <w:rPr>
      <w:rFonts w:ascii="Trebuchet MS" w:eastAsia="Trebuchet MS" w:hAnsi="Trebuchet MS" w:cs="Trebuchet MS"/>
      <w:color w:val="666666"/>
    </w:rPr>
  </w:style>
  <w:style w:type="paragraph" w:styleId="Heading6">
    <w:name w:val="heading 6"/>
    <w:basedOn w:val="Normal"/>
    <w:next w:val="Normal"/>
    <w:uiPriority w:val="9"/>
    <w:semiHidden/>
    <w:unhideWhenUsed/>
    <w:qFormat/>
    <w:pPr>
      <w:keepNext/>
      <w:keepLines/>
      <w:spacing w:before="160" w:after="0"/>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spacing w:before="320" w:line="240" w:lineRule="auto"/>
    </w:pPr>
    <w:rPr>
      <w:sz w:val="72"/>
      <w:szCs w:val="72"/>
    </w:rPr>
  </w:style>
  <w:style w:type="paragraph" w:styleId="Subtitle">
    <w:name w:val="Subtitle"/>
    <w:basedOn w:val="Normal"/>
    <w:next w:val="Normal"/>
    <w:link w:val="SubtitleChar"/>
    <w:uiPriority w:val="11"/>
    <w:qFormat/>
    <w:pPr>
      <w:spacing w:line="240" w:lineRule="auto"/>
    </w:pPr>
    <w:rPr>
      <w:color w:val="666666"/>
      <w:sz w:val="26"/>
      <w:szCs w:val="26"/>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character" w:customStyle="1" w:styleId="SubtitleChar">
    <w:name w:val="Subtitle Char"/>
    <w:basedOn w:val="DefaultParagraphFont"/>
    <w:link w:val="Subtitle"/>
    <w:uiPriority w:val="11"/>
    <w:rsid w:val="00622B51"/>
    <w:rPr>
      <w:color w:val="666666"/>
      <w:sz w:val="26"/>
      <w:szCs w:val="26"/>
    </w:rPr>
  </w:style>
  <w:style w:type="character" w:customStyle="1" w:styleId="Heading2Char">
    <w:name w:val="Heading 2 Char"/>
    <w:basedOn w:val="DefaultParagraphFont"/>
    <w:link w:val="Heading2"/>
    <w:uiPriority w:val="9"/>
    <w:rsid w:val="00D1739B"/>
    <w:rPr>
      <w:b/>
      <w:color w:val="EE513C"/>
      <w:sz w:val="28"/>
      <w:szCs w:val="28"/>
    </w:rPr>
  </w:style>
  <w:style w:type="character" w:styleId="Hyperlink">
    <w:name w:val="Hyperlink"/>
    <w:basedOn w:val="DefaultParagraphFont"/>
    <w:uiPriority w:val="99"/>
    <w:unhideWhenUsed/>
    <w:rsid w:val="002E718A"/>
    <w:rPr>
      <w:color w:val="0000FF" w:themeColor="hyperlink"/>
      <w:u w:val="single"/>
    </w:rPr>
  </w:style>
  <w:style w:type="character" w:styleId="UnresolvedMention">
    <w:name w:val="Unresolved Mention"/>
    <w:basedOn w:val="DefaultParagraphFont"/>
    <w:uiPriority w:val="99"/>
    <w:semiHidden/>
    <w:unhideWhenUsed/>
    <w:rsid w:val="002E718A"/>
    <w:rPr>
      <w:color w:val="605E5C"/>
      <w:shd w:val="clear" w:color="auto" w:fill="E1DFDD"/>
    </w:rPr>
  </w:style>
  <w:style w:type="paragraph" w:styleId="Header">
    <w:name w:val="header"/>
    <w:basedOn w:val="Normal"/>
    <w:link w:val="HeaderChar"/>
    <w:uiPriority w:val="99"/>
    <w:unhideWhenUsed/>
    <w:rsid w:val="003310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10B1"/>
  </w:style>
  <w:style w:type="paragraph" w:styleId="Footer">
    <w:name w:val="footer"/>
    <w:basedOn w:val="Normal"/>
    <w:link w:val="FooterChar"/>
    <w:uiPriority w:val="99"/>
    <w:unhideWhenUsed/>
    <w:rsid w:val="003310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10B1"/>
  </w:style>
  <w:style w:type="character" w:customStyle="1" w:styleId="Heading1Char">
    <w:name w:val="Heading 1 Char"/>
    <w:basedOn w:val="DefaultParagraphFont"/>
    <w:link w:val="Heading1"/>
    <w:uiPriority w:val="9"/>
    <w:rsid w:val="008C7740"/>
    <w:rPr>
      <w:b/>
      <w:sz w:val="28"/>
      <w:szCs w:val="28"/>
    </w:rPr>
  </w:style>
  <w:style w:type="character" w:customStyle="1" w:styleId="TitleChar">
    <w:name w:val="Title Char"/>
    <w:basedOn w:val="DefaultParagraphFont"/>
    <w:link w:val="Title"/>
    <w:uiPriority w:val="10"/>
    <w:rsid w:val="008C7740"/>
    <w:rPr>
      <w:sz w:val="72"/>
      <w:szCs w:val="72"/>
    </w:rPr>
  </w:style>
  <w:style w:type="paragraph" w:styleId="ListParagraph">
    <w:name w:val="List Paragraph"/>
    <w:basedOn w:val="Normal"/>
    <w:uiPriority w:val="34"/>
    <w:qFormat/>
    <w:rsid w:val="008C7740"/>
    <w:pPr>
      <w:ind w:left="720"/>
      <w:contextualSpacing/>
    </w:pPr>
  </w:style>
  <w:style w:type="table" w:styleId="TableGrid">
    <w:name w:val="Table Grid"/>
    <w:basedOn w:val="TableNormal"/>
    <w:uiPriority w:val="39"/>
    <w:rsid w:val="007B5B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5576D5"/>
    <w:pPr>
      <w:spacing w:after="0" w:line="240" w:lineRule="auto"/>
    </w:pPr>
    <w:rPr>
      <w:rFonts w:asciiTheme="minorHAnsi" w:eastAsiaTheme="minorHAnsi" w:hAnsiTheme="minorHAnsi" w:cstheme="minorBidi"/>
      <w:color w:val="auto"/>
      <w:sz w:val="20"/>
      <w:szCs w:val="20"/>
      <w:lang w:eastAsia="en-US"/>
    </w:rPr>
  </w:style>
  <w:style w:type="character" w:customStyle="1" w:styleId="FootnoteTextChar">
    <w:name w:val="Footnote Text Char"/>
    <w:basedOn w:val="DefaultParagraphFont"/>
    <w:link w:val="FootnoteText"/>
    <w:uiPriority w:val="99"/>
    <w:semiHidden/>
    <w:rsid w:val="005576D5"/>
    <w:rPr>
      <w:rFonts w:asciiTheme="minorHAnsi" w:eastAsiaTheme="minorHAnsi" w:hAnsiTheme="minorHAnsi" w:cstheme="minorBidi"/>
      <w:color w:val="auto"/>
      <w:sz w:val="20"/>
      <w:szCs w:val="20"/>
      <w:lang w:eastAsia="en-US"/>
    </w:rPr>
  </w:style>
  <w:style w:type="character" w:styleId="FootnoteReference">
    <w:name w:val="footnote reference"/>
    <w:basedOn w:val="DefaultParagraphFont"/>
    <w:uiPriority w:val="99"/>
    <w:semiHidden/>
    <w:unhideWhenUsed/>
    <w:rsid w:val="005576D5"/>
    <w:rPr>
      <w:vertAlign w:val="superscript"/>
    </w:rPr>
  </w:style>
  <w:style w:type="paragraph" w:styleId="NormalWeb">
    <w:name w:val="Normal (Web)"/>
    <w:basedOn w:val="Normal"/>
    <w:uiPriority w:val="99"/>
    <w:semiHidden/>
    <w:unhideWhenUsed/>
    <w:rsid w:val="006300A9"/>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paragraph">
    <w:name w:val="paragraph"/>
    <w:basedOn w:val="Normal"/>
    <w:rsid w:val="00946D81"/>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946D81"/>
  </w:style>
  <w:style w:type="character" w:customStyle="1" w:styleId="eop">
    <w:name w:val="eop"/>
    <w:basedOn w:val="DefaultParagraphFont"/>
    <w:rsid w:val="00946D81"/>
  </w:style>
  <w:style w:type="paragraph" w:styleId="EndnoteText">
    <w:name w:val="endnote text"/>
    <w:basedOn w:val="Normal"/>
    <w:link w:val="EndnoteTextChar"/>
    <w:uiPriority w:val="99"/>
    <w:semiHidden/>
    <w:unhideWhenUsed/>
    <w:rsid w:val="00CF279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F279B"/>
    <w:rPr>
      <w:sz w:val="20"/>
      <w:szCs w:val="20"/>
    </w:rPr>
  </w:style>
  <w:style w:type="character" w:styleId="EndnoteReference">
    <w:name w:val="endnote reference"/>
    <w:basedOn w:val="DefaultParagraphFont"/>
    <w:uiPriority w:val="99"/>
    <w:semiHidden/>
    <w:unhideWhenUsed/>
    <w:rsid w:val="00CF279B"/>
    <w:rPr>
      <w:vertAlign w:val="superscript"/>
    </w:rPr>
  </w:style>
  <w:style w:type="character" w:styleId="CommentReference">
    <w:name w:val="annotation reference"/>
    <w:basedOn w:val="DefaultParagraphFont"/>
    <w:uiPriority w:val="99"/>
    <w:semiHidden/>
    <w:unhideWhenUsed/>
    <w:rsid w:val="000F17A3"/>
    <w:rPr>
      <w:sz w:val="16"/>
      <w:szCs w:val="16"/>
    </w:rPr>
  </w:style>
  <w:style w:type="paragraph" w:styleId="CommentText">
    <w:name w:val="annotation text"/>
    <w:basedOn w:val="Normal"/>
    <w:link w:val="CommentTextChar"/>
    <w:uiPriority w:val="99"/>
    <w:unhideWhenUsed/>
    <w:rsid w:val="000F17A3"/>
    <w:pPr>
      <w:spacing w:line="240" w:lineRule="auto"/>
    </w:pPr>
    <w:rPr>
      <w:sz w:val="20"/>
      <w:szCs w:val="20"/>
    </w:rPr>
  </w:style>
  <w:style w:type="character" w:customStyle="1" w:styleId="CommentTextChar">
    <w:name w:val="Comment Text Char"/>
    <w:basedOn w:val="DefaultParagraphFont"/>
    <w:link w:val="CommentText"/>
    <w:uiPriority w:val="99"/>
    <w:rsid w:val="000F17A3"/>
    <w:rPr>
      <w:sz w:val="20"/>
      <w:szCs w:val="20"/>
    </w:rPr>
  </w:style>
  <w:style w:type="paragraph" w:styleId="CommentSubject">
    <w:name w:val="annotation subject"/>
    <w:basedOn w:val="CommentText"/>
    <w:next w:val="CommentText"/>
    <w:link w:val="CommentSubjectChar"/>
    <w:uiPriority w:val="99"/>
    <w:semiHidden/>
    <w:unhideWhenUsed/>
    <w:rsid w:val="000F17A3"/>
    <w:rPr>
      <w:b/>
      <w:bCs/>
    </w:rPr>
  </w:style>
  <w:style w:type="character" w:customStyle="1" w:styleId="CommentSubjectChar">
    <w:name w:val="Comment Subject Char"/>
    <w:basedOn w:val="CommentTextChar"/>
    <w:link w:val="CommentSubject"/>
    <w:uiPriority w:val="99"/>
    <w:semiHidden/>
    <w:rsid w:val="000F17A3"/>
    <w:rPr>
      <w:b/>
      <w:bCs/>
      <w:sz w:val="20"/>
      <w:szCs w:val="20"/>
    </w:rPr>
  </w:style>
  <w:style w:type="table" w:styleId="TableGridLight">
    <w:name w:val="Grid Table Light"/>
    <w:basedOn w:val="TableNormal"/>
    <w:uiPriority w:val="40"/>
    <w:rsid w:val="00CA45E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DB151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37346">
      <w:bodyDiv w:val="1"/>
      <w:marLeft w:val="0"/>
      <w:marRight w:val="0"/>
      <w:marTop w:val="0"/>
      <w:marBottom w:val="0"/>
      <w:divBdr>
        <w:top w:val="none" w:sz="0" w:space="0" w:color="auto"/>
        <w:left w:val="none" w:sz="0" w:space="0" w:color="auto"/>
        <w:bottom w:val="none" w:sz="0" w:space="0" w:color="auto"/>
        <w:right w:val="none" w:sz="0" w:space="0" w:color="auto"/>
      </w:divBdr>
    </w:div>
    <w:div w:id="48695057">
      <w:bodyDiv w:val="1"/>
      <w:marLeft w:val="0"/>
      <w:marRight w:val="0"/>
      <w:marTop w:val="0"/>
      <w:marBottom w:val="0"/>
      <w:divBdr>
        <w:top w:val="none" w:sz="0" w:space="0" w:color="auto"/>
        <w:left w:val="none" w:sz="0" w:space="0" w:color="auto"/>
        <w:bottom w:val="none" w:sz="0" w:space="0" w:color="auto"/>
        <w:right w:val="none" w:sz="0" w:space="0" w:color="auto"/>
      </w:divBdr>
    </w:div>
    <w:div w:id="189149566">
      <w:bodyDiv w:val="1"/>
      <w:marLeft w:val="0"/>
      <w:marRight w:val="0"/>
      <w:marTop w:val="0"/>
      <w:marBottom w:val="0"/>
      <w:divBdr>
        <w:top w:val="none" w:sz="0" w:space="0" w:color="auto"/>
        <w:left w:val="none" w:sz="0" w:space="0" w:color="auto"/>
        <w:bottom w:val="none" w:sz="0" w:space="0" w:color="auto"/>
        <w:right w:val="none" w:sz="0" w:space="0" w:color="auto"/>
      </w:divBdr>
    </w:div>
    <w:div w:id="211044169">
      <w:bodyDiv w:val="1"/>
      <w:marLeft w:val="0"/>
      <w:marRight w:val="0"/>
      <w:marTop w:val="0"/>
      <w:marBottom w:val="0"/>
      <w:divBdr>
        <w:top w:val="none" w:sz="0" w:space="0" w:color="auto"/>
        <w:left w:val="none" w:sz="0" w:space="0" w:color="auto"/>
        <w:bottom w:val="none" w:sz="0" w:space="0" w:color="auto"/>
        <w:right w:val="none" w:sz="0" w:space="0" w:color="auto"/>
      </w:divBdr>
    </w:div>
    <w:div w:id="235015845">
      <w:bodyDiv w:val="1"/>
      <w:marLeft w:val="0"/>
      <w:marRight w:val="0"/>
      <w:marTop w:val="0"/>
      <w:marBottom w:val="0"/>
      <w:divBdr>
        <w:top w:val="none" w:sz="0" w:space="0" w:color="auto"/>
        <w:left w:val="none" w:sz="0" w:space="0" w:color="auto"/>
        <w:bottom w:val="none" w:sz="0" w:space="0" w:color="auto"/>
        <w:right w:val="none" w:sz="0" w:space="0" w:color="auto"/>
      </w:divBdr>
    </w:div>
    <w:div w:id="238250752">
      <w:bodyDiv w:val="1"/>
      <w:marLeft w:val="0"/>
      <w:marRight w:val="0"/>
      <w:marTop w:val="0"/>
      <w:marBottom w:val="0"/>
      <w:divBdr>
        <w:top w:val="none" w:sz="0" w:space="0" w:color="auto"/>
        <w:left w:val="none" w:sz="0" w:space="0" w:color="auto"/>
        <w:bottom w:val="none" w:sz="0" w:space="0" w:color="auto"/>
        <w:right w:val="none" w:sz="0" w:space="0" w:color="auto"/>
      </w:divBdr>
    </w:div>
    <w:div w:id="334000671">
      <w:bodyDiv w:val="1"/>
      <w:marLeft w:val="0"/>
      <w:marRight w:val="0"/>
      <w:marTop w:val="0"/>
      <w:marBottom w:val="0"/>
      <w:divBdr>
        <w:top w:val="none" w:sz="0" w:space="0" w:color="auto"/>
        <w:left w:val="none" w:sz="0" w:space="0" w:color="auto"/>
        <w:bottom w:val="none" w:sz="0" w:space="0" w:color="auto"/>
        <w:right w:val="none" w:sz="0" w:space="0" w:color="auto"/>
      </w:divBdr>
      <w:divsChild>
        <w:div w:id="443306153">
          <w:marLeft w:val="0"/>
          <w:marRight w:val="0"/>
          <w:marTop w:val="0"/>
          <w:marBottom w:val="0"/>
          <w:divBdr>
            <w:top w:val="none" w:sz="0" w:space="0" w:color="auto"/>
            <w:left w:val="none" w:sz="0" w:space="0" w:color="auto"/>
            <w:bottom w:val="none" w:sz="0" w:space="0" w:color="auto"/>
            <w:right w:val="none" w:sz="0" w:space="0" w:color="auto"/>
          </w:divBdr>
        </w:div>
        <w:div w:id="791630280">
          <w:marLeft w:val="0"/>
          <w:marRight w:val="0"/>
          <w:marTop w:val="0"/>
          <w:marBottom w:val="0"/>
          <w:divBdr>
            <w:top w:val="none" w:sz="0" w:space="0" w:color="auto"/>
            <w:left w:val="none" w:sz="0" w:space="0" w:color="auto"/>
            <w:bottom w:val="none" w:sz="0" w:space="0" w:color="auto"/>
            <w:right w:val="none" w:sz="0" w:space="0" w:color="auto"/>
          </w:divBdr>
        </w:div>
        <w:div w:id="1552842123">
          <w:marLeft w:val="0"/>
          <w:marRight w:val="0"/>
          <w:marTop w:val="0"/>
          <w:marBottom w:val="0"/>
          <w:divBdr>
            <w:top w:val="none" w:sz="0" w:space="0" w:color="auto"/>
            <w:left w:val="none" w:sz="0" w:space="0" w:color="auto"/>
            <w:bottom w:val="none" w:sz="0" w:space="0" w:color="auto"/>
            <w:right w:val="none" w:sz="0" w:space="0" w:color="auto"/>
          </w:divBdr>
        </w:div>
        <w:div w:id="2127309588">
          <w:marLeft w:val="0"/>
          <w:marRight w:val="0"/>
          <w:marTop w:val="0"/>
          <w:marBottom w:val="0"/>
          <w:divBdr>
            <w:top w:val="none" w:sz="0" w:space="0" w:color="auto"/>
            <w:left w:val="none" w:sz="0" w:space="0" w:color="auto"/>
            <w:bottom w:val="none" w:sz="0" w:space="0" w:color="auto"/>
            <w:right w:val="none" w:sz="0" w:space="0" w:color="auto"/>
          </w:divBdr>
        </w:div>
      </w:divsChild>
    </w:div>
    <w:div w:id="388110245">
      <w:bodyDiv w:val="1"/>
      <w:marLeft w:val="0"/>
      <w:marRight w:val="0"/>
      <w:marTop w:val="0"/>
      <w:marBottom w:val="0"/>
      <w:divBdr>
        <w:top w:val="none" w:sz="0" w:space="0" w:color="auto"/>
        <w:left w:val="none" w:sz="0" w:space="0" w:color="auto"/>
        <w:bottom w:val="none" w:sz="0" w:space="0" w:color="auto"/>
        <w:right w:val="none" w:sz="0" w:space="0" w:color="auto"/>
      </w:divBdr>
    </w:div>
    <w:div w:id="443186710">
      <w:bodyDiv w:val="1"/>
      <w:marLeft w:val="0"/>
      <w:marRight w:val="0"/>
      <w:marTop w:val="0"/>
      <w:marBottom w:val="0"/>
      <w:divBdr>
        <w:top w:val="none" w:sz="0" w:space="0" w:color="auto"/>
        <w:left w:val="none" w:sz="0" w:space="0" w:color="auto"/>
        <w:bottom w:val="none" w:sz="0" w:space="0" w:color="auto"/>
        <w:right w:val="none" w:sz="0" w:space="0" w:color="auto"/>
      </w:divBdr>
    </w:div>
    <w:div w:id="554514054">
      <w:bodyDiv w:val="1"/>
      <w:marLeft w:val="0"/>
      <w:marRight w:val="0"/>
      <w:marTop w:val="0"/>
      <w:marBottom w:val="0"/>
      <w:divBdr>
        <w:top w:val="none" w:sz="0" w:space="0" w:color="auto"/>
        <w:left w:val="none" w:sz="0" w:space="0" w:color="auto"/>
        <w:bottom w:val="none" w:sz="0" w:space="0" w:color="auto"/>
        <w:right w:val="none" w:sz="0" w:space="0" w:color="auto"/>
      </w:divBdr>
      <w:divsChild>
        <w:div w:id="49228767">
          <w:marLeft w:val="0"/>
          <w:marRight w:val="0"/>
          <w:marTop w:val="0"/>
          <w:marBottom w:val="0"/>
          <w:divBdr>
            <w:top w:val="none" w:sz="0" w:space="0" w:color="auto"/>
            <w:left w:val="none" w:sz="0" w:space="0" w:color="auto"/>
            <w:bottom w:val="none" w:sz="0" w:space="0" w:color="auto"/>
            <w:right w:val="none" w:sz="0" w:space="0" w:color="auto"/>
          </w:divBdr>
        </w:div>
      </w:divsChild>
    </w:div>
    <w:div w:id="607664976">
      <w:bodyDiv w:val="1"/>
      <w:marLeft w:val="0"/>
      <w:marRight w:val="0"/>
      <w:marTop w:val="0"/>
      <w:marBottom w:val="0"/>
      <w:divBdr>
        <w:top w:val="none" w:sz="0" w:space="0" w:color="auto"/>
        <w:left w:val="none" w:sz="0" w:space="0" w:color="auto"/>
        <w:bottom w:val="none" w:sz="0" w:space="0" w:color="auto"/>
        <w:right w:val="none" w:sz="0" w:space="0" w:color="auto"/>
      </w:divBdr>
      <w:divsChild>
        <w:div w:id="1306620633">
          <w:marLeft w:val="0"/>
          <w:marRight w:val="0"/>
          <w:marTop w:val="0"/>
          <w:marBottom w:val="0"/>
          <w:divBdr>
            <w:top w:val="none" w:sz="0" w:space="0" w:color="auto"/>
            <w:left w:val="none" w:sz="0" w:space="0" w:color="auto"/>
            <w:bottom w:val="none" w:sz="0" w:space="0" w:color="auto"/>
            <w:right w:val="none" w:sz="0" w:space="0" w:color="auto"/>
          </w:divBdr>
          <w:divsChild>
            <w:div w:id="137442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671223">
      <w:bodyDiv w:val="1"/>
      <w:marLeft w:val="0"/>
      <w:marRight w:val="0"/>
      <w:marTop w:val="0"/>
      <w:marBottom w:val="0"/>
      <w:divBdr>
        <w:top w:val="none" w:sz="0" w:space="0" w:color="auto"/>
        <w:left w:val="none" w:sz="0" w:space="0" w:color="auto"/>
        <w:bottom w:val="none" w:sz="0" w:space="0" w:color="auto"/>
        <w:right w:val="none" w:sz="0" w:space="0" w:color="auto"/>
      </w:divBdr>
    </w:div>
    <w:div w:id="829641426">
      <w:bodyDiv w:val="1"/>
      <w:marLeft w:val="0"/>
      <w:marRight w:val="0"/>
      <w:marTop w:val="0"/>
      <w:marBottom w:val="0"/>
      <w:divBdr>
        <w:top w:val="none" w:sz="0" w:space="0" w:color="auto"/>
        <w:left w:val="none" w:sz="0" w:space="0" w:color="auto"/>
        <w:bottom w:val="none" w:sz="0" w:space="0" w:color="auto"/>
        <w:right w:val="none" w:sz="0" w:space="0" w:color="auto"/>
      </w:divBdr>
    </w:div>
    <w:div w:id="867446161">
      <w:bodyDiv w:val="1"/>
      <w:marLeft w:val="0"/>
      <w:marRight w:val="0"/>
      <w:marTop w:val="0"/>
      <w:marBottom w:val="0"/>
      <w:divBdr>
        <w:top w:val="none" w:sz="0" w:space="0" w:color="auto"/>
        <w:left w:val="none" w:sz="0" w:space="0" w:color="auto"/>
        <w:bottom w:val="none" w:sz="0" w:space="0" w:color="auto"/>
        <w:right w:val="none" w:sz="0" w:space="0" w:color="auto"/>
      </w:divBdr>
    </w:div>
    <w:div w:id="923076562">
      <w:bodyDiv w:val="1"/>
      <w:marLeft w:val="0"/>
      <w:marRight w:val="0"/>
      <w:marTop w:val="0"/>
      <w:marBottom w:val="0"/>
      <w:divBdr>
        <w:top w:val="none" w:sz="0" w:space="0" w:color="auto"/>
        <w:left w:val="none" w:sz="0" w:space="0" w:color="auto"/>
        <w:bottom w:val="none" w:sz="0" w:space="0" w:color="auto"/>
        <w:right w:val="none" w:sz="0" w:space="0" w:color="auto"/>
      </w:divBdr>
    </w:div>
    <w:div w:id="1067726011">
      <w:bodyDiv w:val="1"/>
      <w:marLeft w:val="0"/>
      <w:marRight w:val="0"/>
      <w:marTop w:val="0"/>
      <w:marBottom w:val="0"/>
      <w:divBdr>
        <w:top w:val="none" w:sz="0" w:space="0" w:color="auto"/>
        <w:left w:val="none" w:sz="0" w:space="0" w:color="auto"/>
        <w:bottom w:val="none" w:sz="0" w:space="0" w:color="auto"/>
        <w:right w:val="none" w:sz="0" w:space="0" w:color="auto"/>
      </w:divBdr>
      <w:divsChild>
        <w:div w:id="88354100">
          <w:marLeft w:val="0"/>
          <w:marRight w:val="0"/>
          <w:marTop w:val="0"/>
          <w:marBottom w:val="0"/>
          <w:divBdr>
            <w:top w:val="none" w:sz="0" w:space="0" w:color="auto"/>
            <w:left w:val="none" w:sz="0" w:space="0" w:color="auto"/>
            <w:bottom w:val="none" w:sz="0" w:space="0" w:color="auto"/>
            <w:right w:val="none" w:sz="0" w:space="0" w:color="auto"/>
          </w:divBdr>
        </w:div>
      </w:divsChild>
    </w:div>
    <w:div w:id="1126461230">
      <w:bodyDiv w:val="1"/>
      <w:marLeft w:val="0"/>
      <w:marRight w:val="0"/>
      <w:marTop w:val="0"/>
      <w:marBottom w:val="0"/>
      <w:divBdr>
        <w:top w:val="none" w:sz="0" w:space="0" w:color="auto"/>
        <w:left w:val="none" w:sz="0" w:space="0" w:color="auto"/>
        <w:bottom w:val="none" w:sz="0" w:space="0" w:color="auto"/>
        <w:right w:val="none" w:sz="0" w:space="0" w:color="auto"/>
      </w:divBdr>
    </w:div>
    <w:div w:id="1128552582">
      <w:bodyDiv w:val="1"/>
      <w:marLeft w:val="0"/>
      <w:marRight w:val="0"/>
      <w:marTop w:val="0"/>
      <w:marBottom w:val="0"/>
      <w:divBdr>
        <w:top w:val="none" w:sz="0" w:space="0" w:color="auto"/>
        <w:left w:val="none" w:sz="0" w:space="0" w:color="auto"/>
        <w:bottom w:val="none" w:sz="0" w:space="0" w:color="auto"/>
        <w:right w:val="none" w:sz="0" w:space="0" w:color="auto"/>
      </w:divBdr>
    </w:div>
    <w:div w:id="1143622430">
      <w:bodyDiv w:val="1"/>
      <w:marLeft w:val="0"/>
      <w:marRight w:val="0"/>
      <w:marTop w:val="0"/>
      <w:marBottom w:val="0"/>
      <w:divBdr>
        <w:top w:val="none" w:sz="0" w:space="0" w:color="auto"/>
        <w:left w:val="none" w:sz="0" w:space="0" w:color="auto"/>
        <w:bottom w:val="none" w:sz="0" w:space="0" w:color="auto"/>
        <w:right w:val="none" w:sz="0" w:space="0" w:color="auto"/>
      </w:divBdr>
    </w:div>
    <w:div w:id="1301954792">
      <w:bodyDiv w:val="1"/>
      <w:marLeft w:val="0"/>
      <w:marRight w:val="0"/>
      <w:marTop w:val="0"/>
      <w:marBottom w:val="0"/>
      <w:divBdr>
        <w:top w:val="none" w:sz="0" w:space="0" w:color="auto"/>
        <w:left w:val="none" w:sz="0" w:space="0" w:color="auto"/>
        <w:bottom w:val="none" w:sz="0" w:space="0" w:color="auto"/>
        <w:right w:val="none" w:sz="0" w:space="0" w:color="auto"/>
      </w:divBdr>
    </w:div>
    <w:div w:id="1330791891">
      <w:bodyDiv w:val="1"/>
      <w:marLeft w:val="0"/>
      <w:marRight w:val="0"/>
      <w:marTop w:val="0"/>
      <w:marBottom w:val="0"/>
      <w:divBdr>
        <w:top w:val="none" w:sz="0" w:space="0" w:color="auto"/>
        <w:left w:val="none" w:sz="0" w:space="0" w:color="auto"/>
        <w:bottom w:val="none" w:sz="0" w:space="0" w:color="auto"/>
        <w:right w:val="none" w:sz="0" w:space="0" w:color="auto"/>
      </w:divBdr>
    </w:div>
    <w:div w:id="1392264636">
      <w:bodyDiv w:val="1"/>
      <w:marLeft w:val="0"/>
      <w:marRight w:val="0"/>
      <w:marTop w:val="0"/>
      <w:marBottom w:val="0"/>
      <w:divBdr>
        <w:top w:val="none" w:sz="0" w:space="0" w:color="auto"/>
        <w:left w:val="none" w:sz="0" w:space="0" w:color="auto"/>
        <w:bottom w:val="none" w:sz="0" w:space="0" w:color="auto"/>
        <w:right w:val="none" w:sz="0" w:space="0" w:color="auto"/>
      </w:divBdr>
    </w:div>
    <w:div w:id="1519584551">
      <w:bodyDiv w:val="1"/>
      <w:marLeft w:val="0"/>
      <w:marRight w:val="0"/>
      <w:marTop w:val="0"/>
      <w:marBottom w:val="0"/>
      <w:divBdr>
        <w:top w:val="none" w:sz="0" w:space="0" w:color="auto"/>
        <w:left w:val="none" w:sz="0" w:space="0" w:color="auto"/>
        <w:bottom w:val="none" w:sz="0" w:space="0" w:color="auto"/>
        <w:right w:val="none" w:sz="0" w:space="0" w:color="auto"/>
      </w:divBdr>
    </w:div>
    <w:div w:id="1721786915">
      <w:bodyDiv w:val="1"/>
      <w:marLeft w:val="0"/>
      <w:marRight w:val="0"/>
      <w:marTop w:val="0"/>
      <w:marBottom w:val="0"/>
      <w:divBdr>
        <w:top w:val="none" w:sz="0" w:space="0" w:color="auto"/>
        <w:left w:val="none" w:sz="0" w:space="0" w:color="auto"/>
        <w:bottom w:val="none" w:sz="0" w:space="0" w:color="auto"/>
        <w:right w:val="none" w:sz="0" w:space="0" w:color="auto"/>
      </w:divBdr>
    </w:div>
    <w:div w:id="1751268104">
      <w:bodyDiv w:val="1"/>
      <w:marLeft w:val="0"/>
      <w:marRight w:val="0"/>
      <w:marTop w:val="0"/>
      <w:marBottom w:val="0"/>
      <w:divBdr>
        <w:top w:val="none" w:sz="0" w:space="0" w:color="auto"/>
        <w:left w:val="none" w:sz="0" w:space="0" w:color="auto"/>
        <w:bottom w:val="none" w:sz="0" w:space="0" w:color="auto"/>
        <w:right w:val="none" w:sz="0" w:space="0" w:color="auto"/>
      </w:divBdr>
    </w:div>
    <w:div w:id="1885827031">
      <w:bodyDiv w:val="1"/>
      <w:marLeft w:val="0"/>
      <w:marRight w:val="0"/>
      <w:marTop w:val="0"/>
      <w:marBottom w:val="0"/>
      <w:divBdr>
        <w:top w:val="none" w:sz="0" w:space="0" w:color="auto"/>
        <w:left w:val="none" w:sz="0" w:space="0" w:color="auto"/>
        <w:bottom w:val="none" w:sz="0" w:space="0" w:color="auto"/>
        <w:right w:val="none" w:sz="0" w:space="0" w:color="auto"/>
      </w:divBdr>
    </w:div>
    <w:div w:id="1927961869">
      <w:bodyDiv w:val="1"/>
      <w:marLeft w:val="0"/>
      <w:marRight w:val="0"/>
      <w:marTop w:val="0"/>
      <w:marBottom w:val="0"/>
      <w:divBdr>
        <w:top w:val="none" w:sz="0" w:space="0" w:color="auto"/>
        <w:left w:val="none" w:sz="0" w:space="0" w:color="auto"/>
        <w:bottom w:val="none" w:sz="0" w:space="0" w:color="auto"/>
        <w:right w:val="none" w:sz="0" w:space="0" w:color="auto"/>
      </w:divBdr>
    </w:div>
    <w:div w:id="2000427177">
      <w:bodyDiv w:val="1"/>
      <w:marLeft w:val="0"/>
      <w:marRight w:val="0"/>
      <w:marTop w:val="0"/>
      <w:marBottom w:val="0"/>
      <w:divBdr>
        <w:top w:val="none" w:sz="0" w:space="0" w:color="auto"/>
        <w:left w:val="none" w:sz="0" w:space="0" w:color="auto"/>
        <w:bottom w:val="none" w:sz="0" w:space="0" w:color="auto"/>
        <w:right w:val="none" w:sz="0" w:space="0" w:color="auto"/>
      </w:divBdr>
    </w:div>
    <w:div w:id="2068871157">
      <w:bodyDiv w:val="1"/>
      <w:marLeft w:val="0"/>
      <w:marRight w:val="0"/>
      <w:marTop w:val="0"/>
      <w:marBottom w:val="0"/>
      <w:divBdr>
        <w:top w:val="none" w:sz="0" w:space="0" w:color="auto"/>
        <w:left w:val="none" w:sz="0" w:space="0" w:color="auto"/>
        <w:bottom w:val="none" w:sz="0" w:space="0" w:color="auto"/>
        <w:right w:val="none" w:sz="0" w:space="0" w:color="auto"/>
      </w:divBdr>
    </w:div>
    <w:div w:id="20754264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lyson.hwang@policyconnect.org.u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fc67d17-d531-4bec-ad40-f4293aa38a50">
      <Terms xmlns="http://schemas.microsoft.com/office/infopath/2007/PartnerControls"/>
    </lcf76f155ced4ddcb4097134ff3c332f>
    <TaxCatchAll xmlns="24d66215-56c6-4a6b-a270-1008f7711070" xsi:nil="true"/>
    <GroupTag xmlns="6fc67d17-d531-4bec-ad40-f4293aa38a50">EDUSKILLS</GroupTag>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D441C7055752E43B6717933568C7655" ma:contentTypeVersion="20" ma:contentTypeDescription="Create a new document." ma:contentTypeScope="" ma:versionID="dfdc9c817ffbe906e041b10e785beee3">
  <xsd:schema xmlns:xsd="http://www.w3.org/2001/XMLSchema" xmlns:xs="http://www.w3.org/2001/XMLSchema" xmlns:p="http://schemas.microsoft.com/office/2006/metadata/properties" xmlns:ns2="6fc67d17-d531-4bec-ad40-f4293aa38a50" xmlns:ns3="24d66215-56c6-4a6b-a270-1008f7711070" targetNamespace="http://schemas.microsoft.com/office/2006/metadata/properties" ma:root="true" ma:fieldsID="83043a1cd54a05e04d852799fcda0b1b" ns2:_="" ns3:_="">
    <xsd:import namespace="6fc67d17-d531-4bec-ad40-f4293aa38a50"/>
    <xsd:import namespace="24d66215-56c6-4a6b-a270-1008f771107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GroupTa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c67d17-d531-4bec-ad40-f4293aa38a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34db327-33f2-48e4-9b91-dffc365dfd6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GroupTag" ma:index="26" nillable="true" ma:displayName="Group Tag" ma:default="EDUSKILLS" ma:format="Dropdown" ma:internalName="GroupTag">
      <xsd:simpleType>
        <xsd:restriction base="dms:Choice">
          <xsd:enumeration value="HE"/>
          <xsd:enumeration value="SKILLS"/>
          <xsd:enumeration value="APPG"/>
          <xsd:enumeration value="EDUSKILLS"/>
        </xsd:restriction>
      </xsd:simpleType>
    </xsd:element>
  </xsd:schema>
  <xsd:schema xmlns:xsd="http://www.w3.org/2001/XMLSchema" xmlns:xs="http://www.w3.org/2001/XMLSchema" xmlns:dms="http://schemas.microsoft.com/office/2006/documentManagement/types" xmlns:pc="http://schemas.microsoft.com/office/infopath/2007/PartnerControls" targetNamespace="24d66215-56c6-4a6b-a270-1008f7711070"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2989693-8525-486f-a3a7-cb4801948c64}" ma:internalName="TaxCatchAll" ma:showField="CatchAllData" ma:web="24d66215-56c6-4a6b-a270-1008f77110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6CB028-2B3F-40A3-AC2F-92DF0CB6DA88}">
  <ds:schemaRefs>
    <ds:schemaRef ds:uri="http://schemas.microsoft.com/sharepoint/v3/contenttype/forms"/>
  </ds:schemaRefs>
</ds:datastoreItem>
</file>

<file path=customXml/itemProps2.xml><?xml version="1.0" encoding="utf-8"?>
<ds:datastoreItem xmlns:ds="http://schemas.openxmlformats.org/officeDocument/2006/customXml" ds:itemID="{65EB107C-1FB2-45D6-9C1F-6B71D53E5671}">
  <ds:schemaRefs>
    <ds:schemaRef ds:uri="http://schemas.microsoft.com/office/2006/metadata/properties"/>
    <ds:schemaRef ds:uri="http://schemas.microsoft.com/office/infopath/2007/PartnerControls"/>
    <ds:schemaRef ds:uri="6fc67d17-d531-4bec-ad40-f4293aa38a50"/>
    <ds:schemaRef ds:uri="24d66215-56c6-4a6b-a270-1008f7711070"/>
  </ds:schemaRefs>
</ds:datastoreItem>
</file>

<file path=customXml/itemProps3.xml><?xml version="1.0" encoding="utf-8"?>
<ds:datastoreItem xmlns:ds="http://schemas.openxmlformats.org/officeDocument/2006/customXml" ds:itemID="{7263D98C-CCAB-47AC-9E23-949E4EBB0948}">
  <ds:schemaRefs>
    <ds:schemaRef ds:uri="http://schemas.openxmlformats.org/officeDocument/2006/bibliography"/>
  </ds:schemaRefs>
</ds:datastoreItem>
</file>

<file path=customXml/itemProps4.xml><?xml version="1.0" encoding="utf-8"?>
<ds:datastoreItem xmlns:ds="http://schemas.openxmlformats.org/officeDocument/2006/customXml" ds:itemID="{08A21455-D43D-46AE-9CF7-27FDD3D46C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c67d17-d531-4bec-ad40-f4293aa38a50"/>
    <ds:schemaRef ds:uri="24d66215-56c6-4a6b-a270-1008f77110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1920</Words>
  <Characters>13038</Characters>
  <Application>Microsoft Office Word</Application>
  <DocSecurity>0</DocSecurity>
  <Lines>188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14877</CharactersWithSpaces>
  <SharedDoc>false</SharedDoc>
  <HLinks>
    <vt:vector size="6" baseType="variant">
      <vt:variant>
        <vt:i4>6684747</vt:i4>
      </vt:variant>
      <vt:variant>
        <vt:i4>0</vt:i4>
      </vt:variant>
      <vt:variant>
        <vt:i4>0</vt:i4>
      </vt:variant>
      <vt:variant>
        <vt:i4>5</vt:i4>
      </vt:variant>
      <vt:variant>
        <vt:lpwstr>mailto:Alyson.hwang@policyconnect.org.uk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Benedict Winchester</dc:creator>
  <cp:keywords/>
  <cp:lastModifiedBy>Alyson Hwang</cp:lastModifiedBy>
  <cp:revision>2</cp:revision>
  <dcterms:created xsi:type="dcterms:W3CDTF">2025-12-02T11:30:00Z</dcterms:created>
  <dcterms:modified xsi:type="dcterms:W3CDTF">2025-12-02T11:30:00Z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0x010100ED441C7055752E43B6717933568C7655</vt:lpwstr>
  </property>
  <property fmtid="{D5CDD505-2E9C-101B-9397-08002B2CF9AE}" pid="3" name="MediaServiceImageTags">
    <vt:lpwstr/>
  </property>
</Properties>
</file>