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5662" w14:textId="51BF50FE" w:rsidR="00F545C5" w:rsidRDefault="00D0327A">
      <w:pPr>
        <w:spacing w:after="0" w:line="265" w:lineRule="auto"/>
        <w:ind w:left="-5" w:right="-625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1538EE" wp14:editId="2A35F733">
            <wp:simplePos x="0" y="0"/>
            <wp:positionH relativeFrom="column">
              <wp:posOffset>3924441</wp:posOffset>
            </wp:positionH>
            <wp:positionV relativeFrom="paragraph">
              <wp:posOffset>-92582</wp:posOffset>
            </wp:positionV>
            <wp:extent cx="2008505" cy="857250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35B">
        <w:rPr>
          <w:sz w:val="18"/>
        </w:rPr>
        <w:t>2</w:t>
      </w:r>
      <w:r w:rsidR="00997A2B">
        <w:rPr>
          <w:sz w:val="18"/>
        </w:rPr>
        <w:t>5</w:t>
      </w:r>
      <w:r>
        <w:rPr>
          <w:sz w:val="18"/>
        </w:rPr>
        <w:t xml:space="preserve"> </w:t>
      </w:r>
      <w:r w:rsidR="00997A2B">
        <w:rPr>
          <w:sz w:val="18"/>
        </w:rPr>
        <w:t>Novem</w:t>
      </w:r>
      <w:r w:rsidR="00B05CDA">
        <w:rPr>
          <w:sz w:val="18"/>
        </w:rPr>
        <w:t>ber</w:t>
      </w:r>
      <w:r>
        <w:rPr>
          <w:sz w:val="18"/>
        </w:rPr>
        <w:t xml:space="preserve"> 202</w:t>
      </w:r>
      <w:r w:rsidR="00B05CDA">
        <w:rPr>
          <w:sz w:val="18"/>
        </w:rPr>
        <w:t>3</w:t>
      </w:r>
      <w:r>
        <w:rPr>
          <w:sz w:val="18"/>
        </w:rPr>
        <w:t xml:space="preserve">  </w:t>
      </w:r>
    </w:p>
    <w:p w14:paraId="3A69FCDD" w14:textId="77777777" w:rsidR="00F545C5" w:rsidRDefault="00D0327A">
      <w:pPr>
        <w:spacing w:after="1291" w:line="265" w:lineRule="auto"/>
        <w:ind w:left="-5" w:right="-6259"/>
      </w:pPr>
      <w:r>
        <w:rPr>
          <w:sz w:val="18"/>
        </w:rPr>
        <w:t>Career Development Policy Group</w:t>
      </w:r>
      <w:r>
        <w:rPr>
          <w:b/>
          <w:sz w:val="18"/>
        </w:rPr>
        <w:t xml:space="preserve"> </w:t>
      </w:r>
    </w:p>
    <w:p w14:paraId="5DCDC0F8" w14:textId="77777777" w:rsidR="00B05CDA" w:rsidRDefault="00D0327A" w:rsidP="00B05CDA">
      <w:pPr>
        <w:spacing w:after="0" w:line="239" w:lineRule="auto"/>
        <w:ind w:left="0" w:firstLine="0"/>
        <w:jc w:val="center"/>
        <w:rPr>
          <w:b/>
          <w:sz w:val="36"/>
        </w:rPr>
      </w:pPr>
      <w:r>
        <w:rPr>
          <w:b/>
          <w:sz w:val="36"/>
        </w:rPr>
        <w:t>Career Development Policy Group (CDPG)</w:t>
      </w:r>
    </w:p>
    <w:p w14:paraId="0F168F84" w14:textId="1AE592F3" w:rsidR="00F545C5" w:rsidRDefault="00D0327A" w:rsidP="00B05CDA">
      <w:pPr>
        <w:spacing w:after="0" w:line="239" w:lineRule="auto"/>
        <w:ind w:left="0" w:firstLine="0"/>
        <w:jc w:val="center"/>
      </w:pPr>
      <w:r>
        <w:rPr>
          <w:b/>
          <w:sz w:val="36"/>
        </w:rPr>
        <w:t>Terms of Reference</w:t>
      </w:r>
    </w:p>
    <w:p w14:paraId="6F8C7DA3" w14:textId="77777777" w:rsidR="00F545C5" w:rsidRDefault="00D0327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41F879E2" w14:textId="77777777" w:rsidR="00455F4E" w:rsidRDefault="00455F4E" w:rsidP="00455F4E">
      <w:pPr>
        <w:pStyle w:val="Heading1"/>
        <w:ind w:left="0" w:firstLine="0"/>
      </w:pPr>
    </w:p>
    <w:p w14:paraId="55A174B8" w14:textId="39064E59" w:rsidR="00220705" w:rsidRPr="00455F4E" w:rsidRDefault="00220705" w:rsidP="00455F4E">
      <w:pPr>
        <w:pStyle w:val="Heading1"/>
        <w:ind w:left="0" w:firstLine="0"/>
      </w:pPr>
      <w:r w:rsidRPr="00455F4E">
        <w:t>Purpose</w:t>
      </w:r>
    </w:p>
    <w:p w14:paraId="52D8757E" w14:textId="77777777" w:rsidR="00220705" w:rsidRDefault="00220705"/>
    <w:p w14:paraId="61D46048" w14:textId="19D391BC" w:rsidR="0058063B" w:rsidRDefault="001F259B">
      <w:r>
        <w:t>I</w:t>
      </w:r>
      <w:r w:rsidR="001E31B3">
        <w:t xml:space="preserve">t </w:t>
      </w:r>
      <w:r w:rsidR="00D0327A">
        <w:t xml:space="preserve">is essential that young people and adults can access ongoing career development support throughout their lives. </w:t>
      </w:r>
      <w:r w:rsidR="00863132">
        <w:t>The CDPG’s purpose is to advance</w:t>
      </w:r>
      <w:r w:rsidR="00932AF2">
        <w:t xml:space="preserve"> the provision of </w:t>
      </w:r>
      <w:r w:rsidR="00863132">
        <w:t>lifelong career</w:t>
      </w:r>
      <w:r w:rsidR="00A42C3E">
        <w:t xml:space="preserve"> guidance and skills</w:t>
      </w:r>
      <w:r w:rsidR="000447E8">
        <w:t xml:space="preserve"> support </w:t>
      </w:r>
      <w:r w:rsidR="00863132">
        <w:t xml:space="preserve">through the </w:t>
      </w:r>
      <w:r w:rsidR="000447E8">
        <w:t>development</w:t>
      </w:r>
      <w:r w:rsidR="00863132">
        <w:t xml:space="preserve"> of </w:t>
      </w:r>
      <w:r w:rsidR="00843FF9">
        <w:t>clear and compe</w:t>
      </w:r>
      <w:r w:rsidR="006316AC">
        <w:t>l</w:t>
      </w:r>
      <w:r w:rsidR="00843FF9">
        <w:t xml:space="preserve">ling </w:t>
      </w:r>
      <w:r w:rsidR="0058063B">
        <w:t xml:space="preserve">policy </w:t>
      </w:r>
      <w:r w:rsidR="00843FF9">
        <w:t>positions</w:t>
      </w:r>
      <w:r w:rsidR="00EA104A">
        <w:t>, as well as</w:t>
      </w:r>
      <w:r w:rsidR="002960AF">
        <w:t xml:space="preserve"> </w:t>
      </w:r>
      <w:r w:rsidR="007E536C">
        <w:t>leading</w:t>
      </w:r>
      <w:r>
        <w:t xml:space="preserve"> </w:t>
      </w:r>
      <w:r w:rsidR="005E317D">
        <w:t xml:space="preserve">co-ordinated </w:t>
      </w:r>
      <w:r>
        <w:t xml:space="preserve">campaigns to </w:t>
      </w:r>
      <w:r w:rsidR="005E317D">
        <w:t>effect change</w:t>
      </w:r>
      <w:r w:rsidR="00ED4E70">
        <w:t>, s</w:t>
      </w:r>
      <w:r w:rsidR="002F2050">
        <w:t xml:space="preserve">peaking </w:t>
      </w:r>
      <w:r w:rsidR="00561FDF">
        <w:t xml:space="preserve">with </w:t>
      </w:r>
      <w:r w:rsidR="002F2050">
        <w:t>one voice on behalf of the career development sector.</w:t>
      </w:r>
    </w:p>
    <w:p w14:paraId="23E2AEA0" w14:textId="77777777" w:rsidR="004F76F9" w:rsidRDefault="004F76F9"/>
    <w:p w14:paraId="70A8E86B" w14:textId="5526C6FD" w:rsidR="00E0702C" w:rsidRDefault="000170EF" w:rsidP="004F76F9">
      <w:r>
        <w:t>Our p</w:t>
      </w:r>
      <w:r w:rsidR="005A2157">
        <w:t xml:space="preserve">olicy </w:t>
      </w:r>
      <w:r w:rsidR="00226A11">
        <w:t xml:space="preserve">approaches </w:t>
      </w:r>
      <w:r w:rsidR="005A2157">
        <w:t xml:space="preserve">include establishing the value of career </w:t>
      </w:r>
      <w:r w:rsidR="0052635B">
        <w:t>guidance</w:t>
      </w:r>
      <w:r w:rsidR="005A2157">
        <w:t xml:space="preserve"> in its own </w:t>
      </w:r>
      <w:r w:rsidR="003D0EBD">
        <w:t>right, influencing</w:t>
      </w:r>
      <w:r w:rsidR="007C6421">
        <w:t xml:space="preserve"> government to </w:t>
      </w:r>
      <w:r w:rsidR="00C6384F">
        <w:t>regard</w:t>
      </w:r>
      <w:r w:rsidR="001A3E04">
        <w:t xml:space="preserve"> career guidance as an investment </w:t>
      </w:r>
      <w:r w:rsidR="009F0BBE">
        <w:t>rathe</w:t>
      </w:r>
      <w:r w:rsidR="004908CB">
        <w:t>r</w:t>
      </w:r>
      <w:r w:rsidR="009F0BBE">
        <w:t xml:space="preserve"> than a cost</w:t>
      </w:r>
      <w:r w:rsidR="00424DE5">
        <w:t xml:space="preserve">, </w:t>
      </w:r>
      <w:r w:rsidR="00771570">
        <w:t xml:space="preserve">and </w:t>
      </w:r>
      <w:r w:rsidR="009F0BBE">
        <w:t>recognis</w:t>
      </w:r>
      <w:r w:rsidR="00B44A1B">
        <w:t>ing</w:t>
      </w:r>
      <w:r w:rsidR="009F0BBE">
        <w:t xml:space="preserve"> the </w:t>
      </w:r>
      <w:r w:rsidR="009E19F0">
        <w:t xml:space="preserve">vital </w:t>
      </w:r>
      <w:r w:rsidR="009F0BBE">
        <w:t xml:space="preserve">role that </w:t>
      </w:r>
      <w:r w:rsidR="00424DE5">
        <w:t xml:space="preserve">it </w:t>
      </w:r>
      <w:r w:rsidR="00E0702C">
        <w:t>plays in a</w:t>
      </w:r>
      <w:r w:rsidR="00CA75F7">
        <w:t>ddressing major economic and social issues</w:t>
      </w:r>
      <w:r w:rsidR="00E0702C">
        <w:t xml:space="preserve">, including </w:t>
      </w:r>
      <w:r w:rsidR="005A2157">
        <w:t>social mobility</w:t>
      </w:r>
      <w:r w:rsidR="004908CB">
        <w:t xml:space="preserve">, </w:t>
      </w:r>
      <w:r w:rsidR="004C0C3A">
        <w:t xml:space="preserve">productivity and the </w:t>
      </w:r>
      <w:r w:rsidR="006655A5">
        <w:t xml:space="preserve">transition to </w:t>
      </w:r>
      <w:r w:rsidR="00561FDF">
        <w:t>a</w:t>
      </w:r>
      <w:r w:rsidR="00EA66DC">
        <w:t xml:space="preserve"> net zero economy. </w:t>
      </w:r>
    </w:p>
    <w:p w14:paraId="025CA8B9" w14:textId="77777777" w:rsidR="00E0702C" w:rsidRDefault="00E0702C" w:rsidP="004F76F9"/>
    <w:p w14:paraId="0CFA173D" w14:textId="64EADD45" w:rsidR="007E536C" w:rsidRPr="00455F4E" w:rsidRDefault="007E536C" w:rsidP="00455F4E">
      <w:pPr>
        <w:pStyle w:val="Heading1"/>
        <w:ind w:left="0" w:firstLine="0"/>
      </w:pPr>
      <w:r w:rsidRPr="00455F4E">
        <w:t>Scope</w:t>
      </w:r>
    </w:p>
    <w:p w14:paraId="6F5E0E51" w14:textId="77777777" w:rsidR="007E536C" w:rsidRDefault="007E536C"/>
    <w:p w14:paraId="5AEDF714" w14:textId="4A2A7994" w:rsidR="00126554" w:rsidRDefault="00A918E5">
      <w:r>
        <w:t>T</w:t>
      </w:r>
      <w:r w:rsidR="00126554">
        <w:t>he scope of the CDPG includes;</w:t>
      </w:r>
    </w:p>
    <w:p w14:paraId="755424D8" w14:textId="2F79064C" w:rsidR="007E536C" w:rsidRDefault="0051144F" w:rsidP="00A412ED">
      <w:pPr>
        <w:pStyle w:val="ListParagraph"/>
        <w:numPr>
          <w:ilvl w:val="0"/>
          <w:numId w:val="7"/>
        </w:numPr>
      </w:pPr>
      <w:r>
        <w:t>Lifelong c</w:t>
      </w:r>
      <w:r w:rsidR="00782094">
        <w:t>areer development</w:t>
      </w:r>
      <w:r w:rsidR="00DC6C39">
        <w:t>.</w:t>
      </w:r>
    </w:p>
    <w:p w14:paraId="51CA88DD" w14:textId="50F35B43" w:rsidR="00DC6C39" w:rsidRDefault="001B72F5" w:rsidP="00126554">
      <w:pPr>
        <w:pStyle w:val="ListParagraph"/>
        <w:numPr>
          <w:ilvl w:val="0"/>
          <w:numId w:val="7"/>
        </w:numPr>
      </w:pPr>
      <w:r>
        <w:t>C</w:t>
      </w:r>
      <w:r w:rsidR="00DC6C39">
        <w:t xml:space="preserve">areers policy, careers system performance </w:t>
      </w:r>
      <w:r w:rsidR="00126554">
        <w:t>and evidenc</w:t>
      </w:r>
      <w:r w:rsidR="00782094">
        <w:t>ing</w:t>
      </w:r>
      <w:r w:rsidR="00126554">
        <w:t xml:space="preserve"> the value of the </w:t>
      </w:r>
      <w:r w:rsidR="004F76F9">
        <w:t>sector</w:t>
      </w:r>
      <w:r w:rsidR="00126554">
        <w:t>.</w:t>
      </w:r>
    </w:p>
    <w:p w14:paraId="7C62BE82" w14:textId="45B52BBA" w:rsidR="00D61228" w:rsidRDefault="001B72F5" w:rsidP="00126554">
      <w:pPr>
        <w:pStyle w:val="ListParagraph"/>
        <w:numPr>
          <w:ilvl w:val="0"/>
          <w:numId w:val="7"/>
        </w:numPr>
      </w:pPr>
      <w:r>
        <w:t>Developing policy positions</w:t>
      </w:r>
      <w:r w:rsidR="00C4463F">
        <w:t xml:space="preserve"> </w:t>
      </w:r>
      <w:r w:rsidR="00FF6290">
        <w:t>to advance career development</w:t>
      </w:r>
      <w:r w:rsidR="00ED7BC3">
        <w:t xml:space="preserve">, instigating research and </w:t>
      </w:r>
      <w:r w:rsidR="00107723">
        <w:t xml:space="preserve">involving relevant </w:t>
      </w:r>
      <w:r w:rsidR="00FF6290">
        <w:t xml:space="preserve">individuals and </w:t>
      </w:r>
      <w:r w:rsidR="002C11FB">
        <w:t xml:space="preserve">organisations </w:t>
      </w:r>
      <w:r w:rsidR="00FF6290">
        <w:t xml:space="preserve">to </w:t>
      </w:r>
      <w:r w:rsidR="00107723">
        <w:t xml:space="preserve">ensure positions are robust and </w:t>
      </w:r>
      <w:r w:rsidR="00026391">
        <w:t>well-supported</w:t>
      </w:r>
      <w:r w:rsidR="00FF6290">
        <w:t>.</w:t>
      </w:r>
    </w:p>
    <w:p w14:paraId="1361FBAE" w14:textId="2628D88F" w:rsidR="00782094" w:rsidRDefault="00107723" w:rsidP="00126554">
      <w:pPr>
        <w:pStyle w:val="ListParagraph"/>
        <w:numPr>
          <w:ilvl w:val="0"/>
          <w:numId w:val="7"/>
        </w:numPr>
      </w:pPr>
      <w:r>
        <w:t xml:space="preserve">Leading </w:t>
      </w:r>
      <w:r w:rsidR="001B72F5">
        <w:t>campaigns to promot</w:t>
      </w:r>
      <w:r w:rsidR="004F0D1B">
        <w:t>e</w:t>
      </w:r>
      <w:r w:rsidR="001B72F5">
        <w:t xml:space="preserve"> the policy positions</w:t>
      </w:r>
      <w:r w:rsidR="004F0D1B">
        <w:t>, influence stakeholders including local and national government</w:t>
      </w:r>
      <w:r w:rsidR="001B7902">
        <w:t>,</w:t>
      </w:r>
      <w:r w:rsidR="004F0D1B">
        <w:t xml:space="preserve"> and effect change</w:t>
      </w:r>
      <w:r w:rsidR="003A0479">
        <w:t>.</w:t>
      </w:r>
    </w:p>
    <w:p w14:paraId="3E28B825" w14:textId="23010863" w:rsidR="003A0479" w:rsidRDefault="003A0479" w:rsidP="00126554">
      <w:pPr>
        <w:pStyle w:val="ListParagraph"/>
        <w:numPr>
          <w:ilvl w:val="0"/>
          <w:numId w:val="7"/>
        </w:numPr>
      </w:pPr>
      <w:r>
        <w:t>Politically neutral engagement with political parties, government departments</w:t>
      </w:r>
      <w:r w:rsidR="000977F2">
        <w:t>, publicly funded careers delivery organisations (e.g. CEC, NCS, SDS, CW) and other key stakeholders.</w:t>
      </w:r>
    </w:p>
    <w:p w14:paraId="5622CA7A" w14:textId="77777777" w:rsidR="000977F2" w:rsidRDefault="000977F2" w:rsidP="000977F2"/>
    <w:p w14:paraId="6F870917" w14:textId="4DF98EFC" w:rsidR="000977F2" w:rsidRDefault="000977F2" w:rsidP="000977F2">
      <w:r>
        <w:t>The scope of the CDPG excludes:</w:t>
      </w:r>
    </w:p>
    <w:p w14:paraId="72284199" w14:textId="79AB78C8" w:rsidR="000977F2" w:rsidRDefault="000977F2" w:rsidP="000977F2">
      <w:pPr>
        <w:pStyle w:val="ListParagraph"/>
        <w:numPr>
          <w:ilvl w:val="0"/>
          <w:numId w:val="8"/>
        </w:numPr>
      </w:pPr>
      <w:r>
        <w:t xml:space="preserve">Directly influencing </w:t>
      </w:r>
      <w:r w:rsidR="00455A97">
        <w:t xml:space="preserve">careers </w:t>
      </w:r>
      <w:r>
        <w:t>policy</w:t>
      </w:r>
      <w:r w:rsidR="00455A97">
        <w:t xml:space="preserve"> </w:t>
      </w:r>
      <w:r w:rsidR="00494813">
        <w:t>internationally</w:t>
      </w:r>
      <w:r w:rsidR="007844F5">
        <w:t>.</w:t>
      </w:r>
    </w:p>
    <w:p w14:paraId="2C047863" w14:textId="2F9DAAC7" w:rsidR="000977F2" w:rsidRDefault="00FF6290" w:rsidP="000977F2">
      <w:pPr>
        <w:pStyle w:val="ListParagraph"/>
        <w:numPr>
          <w:ilvl w:val="0"/>
          <w:numId w:val="8"/>
        </w:numPr>
      </w:pPr>
      <w:r>
        <w:t xml:space="preserve">Research and training specifically on professional </w:t>
      </w:r>
      <w:r w:rsidR="0043690A">
        <w:t>best practice in career development</w:t>
      </w:r>
      <w:r w:rsidR="0008342F">
        <w:t>.</w:t>
      </w:r>
    </w:p>
    <w:p w14:paraId="058AEC46" w14:textId="717D7341" w:rsidR="0043690A" w:rsidRDefault="0043690A" w:rsidP="000977F2">
      <w:pPr>
        <w:pStyle w:val="ListParagraph"/>
        <w:numPr>
          <w:ilvl w:val="0"/>
          <w:numId w:val="8"/>
        </w:numPr>
      </w:pPr>
      <w:r>
        <w:t xml:space="preserve">Acting as a research </w:t>
      </w:r>
      <w:r w:rsidR="007844F5">
        <w:t>organisation (though may fund research by others).</w:t>
      </w:r>
    </w:p>
    <w:p w14:paraId="67F6610B" w14:textId="3B01778C" w:rsidR="0043690A" w:rsidRDefault="007844F5" w:rsidP="00A412ED">
      <w:pPr>
        <w:pStyle w:val="ListParagraph"/>
        <w:numPr>
          <w:ilvl w:val="0"/>
          <w:numId w:val="8"/>
        </w:numPr>
      </w:pPr>
      <w:r>
        <w:t>Acting as a professional or trade body for career development.</w:t>
      </w:r>
    </w:p>
    <w:p w14:paraId="4F4C7E6C" w14:textId="6D5BB074" w:rsidR="00FE5331" w:rsidRDefault="000D3645" w:rsidP="00A412ED">
      <w:pPr>
        <w:pStyle w:val="ListParagraph"/>
        <w:numPr>
          <w:ilvl w:val="0"/>
          <w:numId w:val="8"/>
        </w:numPr>
      </w:pPr>
      <w:r>
        <w:t xml:space="preserve">Promoting the use of </w:t>
      </w:r>
      <w:r w:rsidR="00FE5331">
        <w:t xml:space="preserve">any specific </w:t>
      </w:r>
      <w:r w:rsidR="006F1163">
        <w:t xml:space="preserve">commercial </w:t>
      </w:r>
      <w:r w:rsidR="00AE5AF5">
        <w:t xml:space="preserve">careers </w:t>
      </w:r>
      <w:r w:rsidR="00FE5331">
        <w:t>product</w:t>
      </w:r>
      <w:r w:rsidR="00AE5AF5">
        <w:t>s</w:t>
      </w:r>
      <w:r w:rsidR="00FE5331">
        <w:t>.</w:t>
      </w:r>
    </w:p>
    <w:p w14:paraId="3777B8F8" w14:textId="77777777" w:rsidR="0058063B" w:rsidRDefault="0058063B"/>
    <w:p w14:paraId="0461CCDC" w14:textId="4245810D" w:rsidR="00F545C5" w:rsidRDefault="00863132">
      <w:r>
        <w:t xml:space="preserve">CDPG </w:t>
      </w:r>
      <w:r w:rsidR="00F714EE">
        <w:t>key spheres of influence are</w:t>
      </w:r>
      <w:r>
        <w:t xml:space="preserve">: </w:t>
      </w:r>
    </w:p>
    <w:p w14:paraId="36FCCA2C" w14:textId="77777777" w:rsidR="00F545C5" w:rsidRDefault="00D0327A">
      <w:pPr>
        <w:spacing w:after="0" w:line="259" w:lineRule="auto"/>
        <w:ind w:left="0" w:firstLine="0"/>
      </w:pPr>
      <w:r>
        <w:t xml:space="preserve"> </w:t>
      </w:r>
    </w:p>
    <w:p w14:paraId="1AE4C0F2" w14:textId="66AA9897" w:rsidR="00F545C5" w:rsidRDefault="00F714EE">
      <w:pPr>
        <w:numPr>
          <w:ilvl w:val="0"/>
          <w:numId w:val="1"/>
        </w:numPr>
        <w:ind w:hanging="360"/>
      </w:pPr>
      <w:r>
        <w:t>T</w:t>
      </w:r>
      <w:r w:rsidR="00D0327A">
        <w:t xml:space="preserve">he All-Party Parliamentary Group for Skills, Careers &amp; Employment, </w:t>
      </w:r>
      <w:r w:rsidR="00A30642">
        <w:t xml:space="preserve">managed by Policy Connect, </w:t>
      </w:r>
      <w:r w:rsidR="00D0327A">
        <w:t>raising the profile of career development alongside skills and employment polic</w:t>
      </w:r>
      <w:r w:rsidR="00F44810">
        <w:t>y</w:t>
      </w:r>
      <w:r w:rsidR="00762D72">
        <w:t>.</w:t>
      </w:r>
    </w:p>
    <w:p w14:paraId="54CAB7EA" w14:textId="7F7494E1" w:rsidR="00F545C5" w:rsidRDefault="00EC451F">
      <w:pPr>
        <w:numPr>
          <w:ilvl w:val="0"/>
          <w:numId w:val="1"/>
        </w:numPr>
        <w:ind w:hanging="360"/>
      </w:pPr>
      <w:r>
        <w:t>National and local g</w:t>
      </w:r>
      <w:r w:rsidR="00D0327A">
        <w:t xml:space="preserve">overnments and other stakeholders to </w:t>
      </w:r>
      <w:r w:rsidR="00A30642">
        <w:t xml:space="preserve">influence </w:t>
      </w:r>
      <w:r w:rsidR="00D0327A">
        <w:t>polic</w:t>
      </w:r>
      <w:r w:rsidR="00A30642">
        <w:t xml:space="preserve">ymaking </w:t>
      </w:r>
      <w:r w:rsidR="00D0327A">
        <w:t xml:space="preserve">and </w:t>
      </w:r>
      <w:r w:rsidR="00101BBA">
        <w:t xml:space="preserve">implement </w:t>
      </w:r>
      <w:r w:rsidR="00D0327A">
        <w:t>initiatives that support career development</w:t>
      </w:r>
      <w:r w:rsidR="00101BBA">
        <w:t>.</w:t>
      </w:r>
      <w:r w:rsidR="00D0327A">
        <w:t xml:space="preserve"> </w:t>
      </w:r>
    </w:p>
    <w:p w14:paraId="691C2AFE" w14:textId="4C586115" w:rsidR="00F3758F" w:rsidRDefault="00F3758F" w:rsidP="00F3758F">
      <w:pPr>
        <w:numPr>
          <w:ilvl w:val="0"/>
          <w:numId w:val="1"/>
        </w:numPr>
        <w:ind w:hanging="360"/>
      </w:pPr>
      <w:r>
        <w:t>Organisations and individuals across all areas of t</w:t>
      </w:r>
      <w:r w:rsidR="00F44810">
        <w:t xml:space="preserve">he </w:t>
      </w:r>
      <w:r>
        <w:t xml:space="preserve">career development </w:t>
      </w:r>
      <w:r w:rsidR="004F76F9">
        <w:t>sector</w:t>
      </w:r>
      <w:r w:rsidR="00EA6EB3">
        <w:t xml:space="preserve"> </w:t>
      </w:r>
      <w:r>
        <w:t>to help shape policy positions and engage them in supporting campaigns around those positions.</w:t>
      </w:r>
    </w:p>
    <w:p w14:paraId="7FFE6817" w14:textId="77777777" w:rsidR="00F545C5" w:rsidRDefault="00D0327A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5DEC439F" w14:textId="77777777" w:rsidR="00F545C5" w:rsidRDefault="00D0327A">
      <w:pPr>
        <w:spacing w:after="36" w:line="259" w:lineRule="auto"/>
        <w:ind w:left="0" w:firstLine="0"/>
      </w:pPr>
      <w:r>
        <w:t xml:space="preserve"> </w:t>
      </w:r>
    </w:p>
    <w:p w14:paraId="4BEB21F9" w14:textId="4740B7E1" w:rsidR="00F545C5" w:rsidRDefault="00780518" w:rsidP="00455F4E">
      <w:pPr>
        <w:pStyle w:val="Heading1"/>
        <w:ind w:left="0" w:firstLine="0"/>
      </w:pPr>
      <w:r>
        <w:t xml:space="preserve">Organisation </w:t>
      </w:r>
    </w:p>
    <w:p w14:paraId="168326ED" w14:textId="77777777" w:rsidR="00F545C5" w:rsidRDefault="00D0327A">
      <w:pPr>
        <w:spacing w:after="0" w:line="259" w:lineRule="auto"/>
        <w:ind w:left="0" w:firstLine="0"/>
      </w:pPr>
      <w:r>
        <w:t xml:space="preserve"> </w:t>
      </w:r>
    </w:p>
    <w:p w14:paraId="7F1EA857" w14:textId="07747C37" w:rsidR="00780518" w:rsidRDefault="00780518">
      <w:r>
        <w:t xml:space="preserve">The CDPG </w:t>
      </w:r>
      <w:r w:rsidR="00837686">
        <w:t>is formed of the founding organis</w:t>
      </w:r>
      <w:r w:rsidR="0042536C">
        <w:t>a</w:t>
      </w:r>
      <w:r w:rsidR="00837686">
        <w:t>tions</w:t>
      </w:r>
      <w:r w:rsidR="009E054D">
        <w:t xml:space="preserve"> as well as a small number of </w:t>
      </w:r>
      <w:r w:rsidR="003F42E5">
        <w:t>organisations representing key</w:t>
      </w:r>
      <w:r w:rsidR="005939E6">
        <w:t xml:space="preserve"> </w:t>
      </w:r>
      <w:r w:rsidR="003F42E5">
        <w:t>areas of the career</w:t>
      </w:r>
      <w:r w:rsidR="00952FAC">
        <w:t xml:space="preserve"> development</w:t>
      </w:r>
      <w:r w:rsidR="003F42E5">
        <w:t xml:space="preserve"> </w:t>
      </w:r>
      <w:r w:rsidR="00952FAC">
        <w:t xml:space="preserve">and related </w:t>
      </w:r>
      <w:r w:rsidR="003F42E5">
        <w:t>sector</w:t>
      </w:r>
      <w:r w:rsidR="00952FAC">
        <w:t>s</w:t>
      </w:r>
      <w:r w:rsidR="003F42E5">
        <w:t xml:space="preserve">. This </w:t>
      </w:r>
      <w:r w:rsidR="00124386">
        <w:t xml:space="preserve">approach </w:t>
      </w:r>
      <w:r w:rsidR="005939E6">
        <w:t xml:space="preserve">has </w:t>
      </w:r>
      <w:r w:rsidR="00124386">
        <w:t xml:space="preserve">been effective </w:t>
      </w:r>
      <w:r w:rsidR="00914964">
        <w:t xml:space="preserve">in </w:t>
      </w:r>
      <w:r w:rsidR="005939E6">
        <w:t>develop</w:t>
      </w:r>
      <w:r w:rsidR="00914964">
        <w:t>ing</w:t>
      </w:r>
      <w:r w:rsidR="005939E6">
        <w:t xml:space="preserve"> and agree</w:t>
      </w:r>
      <w:r w:rsidR="00914964">
        <w:t>ing</w:t>
      </w:r>
      <w:r w:rsidR="005939E6">
        <w:t xml:space="preserve"> policy positions, notably the Career Gu</w:t>
      </w:r>
      <w:r w:rsidR="00124386">
        <w:t>i</w:t>
      </w:r>
      <w:r w:rsidR="005939E6">
        <w:t>dance Guarantee, and launch</w:t>
      </w:r>
      <w:r w:rsidR="00914964">
        <w:t>ing</w:t>
      </w:r>
      <w:r w:rsidR="005939E6">
        <w:t xml:space="preserve"> them both to the career development sector and </w:t>
      </w:r>
      <w:r w:rsidR="000B78CD">
        <w:t xml:space="preserve">to businesses, </w:t>
      </w:r>
      <w:r w:rsidR="00E51ED5">
        <w:t xml:space="preserve">stakeholders and </w:t>
      </w:r>
      <w:r w:rsidR="000B78CD">
        <w:t>policymakers</w:t>
      </w:r>
      <w:r w:rsidR="00E51ED5">
        <w:t>.</w:t>
      </w:r>
    </w:p>
    <w:p w14:paraId="00C15A5B" w14:textId="77777777" w:rsidR="00F407A1" w:rsidRDefault="00F407A1"/>
    <w:p w14:paraId="567986D1" w14:textId="579C3AEC" w:rsidR="00F407A1" w:rsidRDefault="00BE777C">
      <w:r>
        <w:t xml:space="preserve">As of November 2023, the </w:t>
      </w:r>
      <w:r w:rsidR="00F407A1">
        <w:t xml:space="preserve">members </w:t>
      </w:r>
      <w:r w:rsidR="00B261C0">
        <w:t xml:space="preserve">of the CDPG </w:t>
      </w:r>
      <w:r w:rsidR="00F407A1">
        <w:t xml:space="preserve">are AGCAS, Career Development Institute, Careers England, CRAC, </w:t>
      </w:r>
      <w:r w:rsidR="00454B44">
        <w:t xml:space="preserve">International Centre for </w:t>
      </w:r>
      <w:r w:rsidR="001F430D">
        <w:t>G</w:t>
      </w:r>
      <w:r w:rsidR="00454B44">
        <w:t>uidance Studies</w:t>
      </w:r>
      <w:r w:rsidR="00F407A1">
        <w:t xml:space="preserve">, </w:t>
      </w:r>
      <w:r w:rsidR="00DB0ABE">
        <w:t>Instit</w:t>
      </w:r>
      <w:r w:rsidR="00454B44">
        <w:t>u</w:t>
      </w:r>
      <w:r w:rsidR="00DB0ABE">
        <w:t>te of Student Employers, Jisc</w:t>
      </w:r>
      <w:r w:rsidR="0090213C">
        <w:t xml:space="preserve"> and the</w:t>
      </w:r>
      <w:r w:rsidR="00DB0ABE">
        <w:t xml:space="preserve"> Institute of Employability Professionals</w:t>
      </w:r>
      <w:r w:rsidR="0090213C">
        <w:t>.</w:t>
      </w:r>
    </w:p>
    <w:p w14:paraId="66E7042A" w14:textId="77777777" w:rsidR="00E51ED5" w:rsidRDefault="00E51ED5"/>
    <w:p w14:paraId="30F53550" w14:textId="2C2ED25C" w:rsidR="00E51ED5" w:rsidRDefault="004E6FB4">
      <w:r>
        <w:t xml:space="preserve">To </w:t>
      </w:r>
      <w:r w:rsidR="00914964">
        <w:t xml:space="preserve">maintain </w:t>
      </w:r>
      <w:r>
        <w:t>effective</w:t>
      </w:r>
      <w:r w:rsidR="00914964">
        <w:t xml:space="preserve"> direction and decision-making</w:t>
      </w:r>
      <w:r>
        <w:t xml:space="preserve">, the CDPG will </w:t>
      </w:r>
      <w:r w:rsidR="007B56D2">
        <w:t>remain as a group of no more than 12 organisations</w:t>
      </w:r>
      <w:r w:rsidR="00A352B6">
        <w:t xml:space="preserve"> to lead the development </w:t>
      </w:r>
      <w:r w:rsidR="002A0F3A">
        <w:t xml:space="preserve">of policy positions and campaigns. </w:t>
      </w:r>
      <w:r w:rsidR="0011345F">
        <w:t xml:space="preserve">The CDPG will </w:t>
      </w:r>
      <w:r w:rsidR="00D823FD">
        <w:t>invite</w:t>
      </w:r>
      <w:r w:rsidR="0011345F">
        <w:t xml:space="preserve"> representation </w:t>
      </w:r>
      <w:r w:rsidR="00B05ACC">
        <w:t>o</w:t>
      </w:r>
      <w:r w:rsidR="0011345F">
        <w:t xml:space="preserve">n the group </w:t>
      </w:r>
      <w:r w:rsidR="00FA7ED4">
        <w:t>from key organisations that have a commitment to the purpose of the CDPG</w:t>
      </w:r>
      <w:r w:rsidR="00D823FD">
        <w:t xml:space="preserve">, up to the </w:t>
      </w:r>
      <w:r w:rsidR="00960281">
        <w:t>12-organisation</w:t>
      </w:r>
      <w:r w:rsidR="00D823FD">
        <w:t xml:space="preserve"> limit</w:t>
      </w:r>
      <w:r w:rsidR="00A244A3">
        <w:t xml:space="preserve">. In identifying potential members of the group, </w:t>
      </w:r>
      <w:r w:rsidR="0011345F">
        <w:t>the following</w:t>
      </w:r>
      <w:r w:rsidR="007C0FC9">
        <w:t xml:space="preserve"> </w:t>
      </w:r>
      <w:r w:rsidR="007473C2">
        <w:t>criteria</w:t>
      </w:r>
      <w:r w:rsidR="00A244A3">
        <w:t xml:space="preserve"> will be considered</w:t>
      </w:r>
      <w:r w:rsidR="007C0FC9">
        <w:t>:</w:t>
      </w:r>
    </w:p>
    <w:p w14:paraId="5CB3A608" w14:textId="0DC3C6D5" w:rsidR="009710EA" w:rsidRDefault="00300506" w:rsidP="007C0FC9">
      <w:pPr>
        <w:pStyle w:val="ListParagraph"/>
        <w:numPr>
          <w:ilvl w:val="0"/>
          <w:numId w:val="11"/>
        </w:numPr>
      </w:pPr>
      <w:r>
        <w:t>P</w:t>
      </w:r>
      <w:r w:rsidR="009710EA">
        <w:t>rominen</w:t>
      </w:r>
      <w:r>
        <w:t>ce</w:t>
      </w:r>
      <w:r w:rsidR="009710EA">
        <w:t xml:space="preserve"> within career development</w:t>
      </w:r>
      <w:r w:rsidR="009B31D9">
        <w:t>.</w:t>
      </w:r>
    </w:p>
    <w:p w14:paraId="5410788E" w14:textId="653CA0B3" w:rsidR="00300506" w:rsidRDefault="00FA7900" w:rsidP="007C0FC9">
      <w:pPr>
        <w:pStyle w:val="ListParagraph"/>
        <w:numPr>
          <w:ilvl w:val="0"/>
          <w:numId w:val="11"/>
        </w:numPr>
      </w:pPr>
      <w:r>
        <w:t>Repre</w:t>
      </w:r>
      <w:r w:rsidR="00385B4F">
        <w:t>s</w:t>
      </w:r>
      <w:r>
        <w:t xml:space="preserve">entation of a </w:t>
      </w:r>
      <w:r w:rsidR="00B34C3E">
        <w:t>key part of the w</w:t>
      </w:r>
      <w:r w:rsidR="00385B4F">
        <w:t>i</w:t>
      </w:r>
      <w:r w:rsidR="00B34C3E">
        <w:t xml:space="preserve">der </w:t>
      </w:r>
      <w:r w:rsidR="00D46255">
        <w:t xml:space="preserve">education or </w:t>
      </w:r>
      <w:r w:rsidR="00B34C3E">
        <w:t>skills system (e.g. scho</w:t>
      </w:r>
      <w:r w:rsidR="00D46255">
        <w:t>o</w:t>
      </w:r>
      <w:r w:rsidR="00B34C3E">
        <w:t>ls, FE, HE and adult services).</w:t>
      </w:r>
    </w:p>
    <w:p w14:paraId="663DC245" w14:textId="0C9A596D" w:rsidR="00385B4F" w:rsidRDefault="00443080" w:rsidP="007C0FC9">
      <w:pPr>
        <w:pStyle w:val="ListParagraph"/>
        <w:numPr>
          <w:ilvl w:val="0"/>
          <w:numId w:val="11"/>
        </w:numPr>
      </w:pPr>
      <w:r>
        <w:t xml:space="preserve">Ability to amplify the CDPG </w:t>
      </w:r>
      <w:r w:rsidR="008B41E6">
        <w:t>policy positions an</w:t>
      </w:r>
      <w:r w:rsidR="00D46255">
        <w:t>d</w:t>
      </w:r>
      <w:r w:rsidR="008B41E6">
        <w:t xml:space="preserve"> campaigns, for example </w:t>
      </w:r>
      <w:r w:rsidR="009E4439">
        <w:t xml:space="preserve">through political connections, </w:t>
      </w:r>
      <w:r w:rsidR="00C8774D">
        <w:t xml:space="preserve">communications </w:t>
      </w:r>
      <w:r w:rsidR="00423D99">
        <w:t>c</w:t>
      </w:r>
      <w:r w:rsidR="007D1A02">
        <w:t>apability, etc.</w:t>
      </w:r>
    </w:p>
    <w:p w14:paraId="64111523" w14:textId="77777777" w:rsidR="007D1A02" w:rsidRDefault="007D1A02" w:rsidP="007D1A02"/>
    <w:p w14:paraId="1978214A" w14:textId="615551BD" w:rsidR="000C0072" w:rsidRDefault="000C0072" w:rsidP="000C0072">
      <w:pPr>
        <w:spacing w:after="0" w:line="259" w:lineRule="auto"/>
        <w:ind w:left="0" w:firstLine="0"/>
      </w:pPr>
      <w:r>
        <w:t xml:space="preserve">The </w:t>
      </w:r>
      <w:r w:rsidR="006E15AC">
        <w:t>CDPG</w:t>
      </w:r>
      <w:r>
        <w:t xml:space="preserve"> is an informal coalition of organisations, working to achieve the purpose set out</w:t>
      </w:r>
      <w:r w:rsidR="00455B22">
        <w:t xml:space="preserve"> in these terms of reference. It is not a formally constituted organisation and </w:t>
      </w:r>
      <w:r w:rsidR="00316205">
        <w:t>the</w:t>
      </w:r>
      <w:r>
        <w:t xml:space="preserve"> </w:t>
      </w:r>
      <w:r w:rsidR="00316205">
        <w:t xml:space="preserve">activities of the </w:t>
      </w:r>
      <w:r w:rsidR="006E15AC">
        <w:t>CDPG</w:t>
      </w:r>
      <w:r w:rsidR="00316205">
        <w:t xml:space="preserve"> will be delivered </w:t>
      </w:r>
      <w:r w:rsidR="00455B22">
        <w:t>by members of the organisations forming the group</w:t>
      </w:r>
      <w:r w:rsidR="00AC53C6">
        <w:t xml:space="preserve">. Core roles in the </w:t>
      </w:r>
      <w:r w:rsidR="006E15AC">
        <w:t>CDPG</w:t>
      </w:r>
      <w:r w:rsidR="00AC53C6">
        <w:t xml:space="preserve"> are</w:t>
      </w:r>
      <w:r>
        <w:t>:</w:t>
      </w:r>
    </w:p>
    <w:p w14:paraId="30A1D06D" w14:textId="71014BA8" w:rsidR="000C0072" w:rsidRDefault="000C0072" w:rsidP="000C0072">
      <w:pPr>
        <w:pStyle w:val="ListParagraph"/>
        <w:numPr>
          <w:ilvl w:val="0"/>
          <w:numId w:val="10"/>
        </w:numPr>
        <w:spacing w:after="0" w:line="259" w:lineRule="auto"/>
      </w:pPr>
      <w:r>
        <w:t>Chair – rotating on a</w:t>
      </w:r>
      <w:r w:rsidR="00CB2F16">
        <w:t xml:space="preserve"> two-yearly </w:t>
      </w:r>
      <w:r>
        <w:t xml:space="preserve">basis among the </w:t>
      </w:r>
      <w:r w:rsidR="00AC53C6">
        <w:t>CDPG organisations</w:t>
      </w:r>
      <w:r>
        <w:t xml:space="preserve">. </w:t>
      </w:r>
      <w:r w:rsidR="00AC53C6">
        <w:t xml:space="preserve">The Chair </w:t>
      </w:r>
      <w:r w:rsidR="00C47E95">
        <w:t xml:space="preserve">organises and chairs </w:t>
      </w:r>
      <w:r w:rsidR="00960281">
        <w:t>meetings and</w:t>
      </w:r>
      <w:r w:rsidR="00C47E95">
        <w:t xml:space="preserve"> p</w:t>
      </w:r>
      <w:r>
        <w:t>uts their name to CDPG statements and letters.</w:t>
      </w:r>
    </w:p>
    <w:p w14:paraId="0CEB316B" w14:textId="523E3052" w:rsidR="000657ED" w:rsidRDefault="000C0072" w:rsidP="000657ED">
      <w:pPr>
        <w:pStyle w:val="ListParagraph"/>
        <w:numPr>
          <w:ilvl w:val="0"/>
          <w:numId w:val="10"/>
        </w:numPr>
        <w:spacing w:after="0" w:line="259" w:lineRule="auto"/>
      </w:pPr>
      <w:r>
        <w:t xml:space="preserve">Secretary – a member of the </w:t>
      </w:r>
      <w:r w:rsidR="00917288">
        <w:t>CDPG</w:t>
      </w:r>
      <w:r>
        <w:t xml:space="preserve"> or co-opted person to take minutes from the meeting</w:t>
      </w:r>
      <w:r w:rsidR="000657ED">
        <w:t xml:space="preserve"> and support the Chair in organising meetings</w:t>
      </w:r>
      <w:r>
        <w:t>.</w:t>
      </w:r>
    </w:p>
    <w:p w14:paraId="04406403" w14:textId="6E731AD6" w:rsidR="007D1A02" w:rsidRDefault="000657ED" w:rsidP="000657ED">
      <w:pPr>
        <w:pStyle w:val="ListParagraph"/>
        <w:numPr>
          <w:ilvl w:val="0"/>
          <w:numId w:val="10"/>
        </w:numPr>
        <w:spacing w:after="0" w:line="259" w:lineRule="auto"/>
      </w:pPr>
      <w:r>
        <w:t xml:space="preserve">Finance </w:t>
      </w:r>
      <w:r w:rsidR="000C0072">
        <w:t xml:space="preserve">organisation – handling the annual subscription payment from </w:t>
      </w:r>
      <w:r w:rsidR="00917288">
        <w:t>CDPG organisations</w:t>
      </w:r>
      <w:r w:rsidR="00D20BBA">
        <w:t xml:space="preserve"> as well as any supporter funds</w:t>
      </w:r>
      <w:r w:rsidR="000C0072">
        <w:t xml:space="preserve">, contracting with Policy Connect and </w:t>
      </w:r>
      <w:r w:rsidR="008D0BAC">
        <w:t xml:space="preserve">managing </w:t>
      </w:r>
      <w:r w:rsidR="000C0072">
        <w:t>any other significant spend</w:t>
      </w:r>
      <w:r w:rsidR="008D0BAC">
        <w:t xml:space="preserve"> or </w:t>
      </w:r>
      <w:r w:rsidR="000C0072">
        <w:t xml:space="preserve">commitments </w:t>
      </w:r>
      <w:r w:rsidR="008D0BAC">
        <w:t xml:space="preserve">on behalf of </w:t>
      </w:r>
      <w:r w:rsidR="000C0072">
        <w:t xml:space="preserve">the group. </w:t>
      </w:r>
      <w:r w:rsidR="008D0BAC">
        <w:t xml:space="preserve">This role </w:t>
      </w:r>
      <w:r w:rsidR="009C044D">
        <w:t>is</w:t>
      </w:r>
      <w:r w:rsidR="003B6D5A">
        <w:t xml:space="preserve"> </w:t>
      </w:r>
      <w:r w:rsidR="0023430E">
        <w:t xml:space="preserve">to be </w:t>
      </w:r>
      <w:r w:rsidR="003B6D5A">
        <w:t xml:space="preserve">covered by a </w:t>
      </w:r>
      <w:r w:rsidR="00012328">
        <w:t xml:space="preserve">separate </w:t>
      </w:r>
      <w:r w:rsidR="003B6D5A">
        <w:t>Memorandum of Understanding.</w:t>
      </w:r>
    </w:p>
    <w:p w14:paraId="4E4C5CCA" w14:textId="77777777" w:rsidR="0047298A" w:rsidRDefault="0047298A" w:rsidP="003B6D5A">
      <w:pPr>
        <w:spacing w:after="0" w:line="259" w:lineRule="auto"/>
      </w:pPr>
    </w:p>
    <w:p w14:paraId="393D5952" w14:textId="3C952E38" w:rsidR="003B6D5A" w:rsidRDefault="003B6D5A" w:rsidP="003B6D5A">
      <w:pPr>
        <w:spacing w:after="0" w:line="259" w:lineRule="auto"/>
      </w:pPr>
      <w:r>
        <w:t xml:space="preserve">Additional roles may be </w:t>
      </w:r>
      <w:r w:rsidR="002563F1">
        <w:t xml:space="preserve">covered on a temporary or ongoing basis by </w:t>
      </w:r>
      <w:r w:rsidR="00FF5076">
        <w:t xml:space="preserve">organisations that are </w:t>
      </w:r>
      <w:r w:rsidR="0089407B">
        <w:t>part</w:t>
      </w:r>
      <w:r w:rsidR="00FF5076">
        <w:t xml:space="preserve"> of the </w:t>
      </w:r>
      <w:r w:rsidR="0089407B">
        <w:t>CDPG</w:t>
      </w:r>
      <w:r w:rsidR="00FF5076">
        <w:t>, or org</w:t>
      </w:r>
      <w:r w:rsidR="00E524E0">
        <w:t>a</w:t>
      </w:r>
      <w:r w:rsidR="00FF5076">
        <w:t>nis</w:t>
      </w:r>
      <w:r w:rsidR="00E524E0">
        <w:t>a</w:t>
      </w:r>
      <w:r w:rsidR="00FF5076">
        <w:t>tions and individuals who support the CDPG</w:t>
      </w:r>
      <w:r w:rsidR="0023430E">
        <w:t>’</w:t>
      </w:r>
      <w:r w:rsidR="00FF5076">
        <w:t xml:space="preserve">s purpose. These roles may be voluntary or, where the level of effort </w:t>
      </w:r>
      <w:r w:rsidR="00E524E0">
        <w:t xml:space="preserve">over a period of time justifies it, may be a funded role </w:t>
      </w:r>
      <w:r w:rsidR="0023430E">
        <w:t xml:space="preserve">administered </w:t>
      </w:r>
      <w:r w:rsidR="00E524E0">
        <w:t xml:space="preserve">through one of the </w:t>
      </w:r>
      <w:r w:rsidR="0023430E">
        <w:t xml:space="preserve">CDPG </w:t>
      </w:r>
      <w:r w:rsidR="00E524E0">
        <w:t>organisation</w:t>
      </w:r>
      <w:r w:rsidR="00E23603">
        <w:t>s</w:t>
      </w:r>
      <w:r w:rsidR="00E524E0">
        <w:t>.</w:t>
      </w:r>
    </w:p>
    <w:p w14:paraId="17C81C72" w14:textId="77777777" w:rsidR="003B6D5A" w:rsidRDefault="003B6D5A" w:rsidP="009316D5">
      <w:pPr>
        <w:spacing w:after="0" w:line="259" w:lineRule="auto"/>
      </w:pPr>
    </w:p>
    <w:p w14:paraId="7386CC29" w14:textId="04D376B1" w:rsidR="007D1A02" w:rsidRDefault="007D1A02" w:rsidP="00455F4E">
      <w:pPr>
        <w:pStyle w:val="Heading1"/>
        <w:ind w:left="0" w:firstLine="0"/>
      </w:pPr>
      <w:r>
        <w:t>Engagement</w:t>
      </w:r>
    </w:p>
    <w:p w14:paraId="13A25E57" w14:textId="77777777" w:rsidR="007D1A02" w:rsidRDefault="007D1A02" w:rsidP="007D1A02"/>
    <w:p w14:paraId="480C5F93" w14:textId="00D998F0" w:rsidR="0047298A" w:rsidRDefault="006E0CF5" w:rsidP="0047298A">
      <w:pPr>
        <w:spacing w:after="0" w:line="259" w:lineRule="auto"/>
      </w:pPr>
      <w:r>
        <w:t>In addition to the CDPG</w:t>
      </w:r>
      <w:r w:rsidR="00E23603">
        <w:t xml:space="preserve"> organisations</w:t>
      </w:r>
      <w:r>
        <w:t xml:space="preserve">, many organisations and individuals support the </w:t>
      </w:r>
      <w:r w:rsidR="0023430E">
        <w:t xml:space="preserve">overall </w:t>
      </w:r>
      <w:r>
        <w:t>work of the group and individual campaigns.</w:t>
      </w:r>
      <w:r w:rsidR="007E53E9">
        <w:t xml:space="preserve"> T</w:t>
      </w:r>
      <w:r w:rsidR="006661DF">
        <w:t xml:space="preserve">he </w:t>
      </w:r>
      <w:r w:rsidR="00E23603">
        <w:t>CDPG</w:t>
      </w:r>
      <w:r w:rsidR="006661DF">
        <w:t xml:space="preserve"> will </w:t>
      </w:r>
      <w:r w:rsidR="007E53E9">
        <w:t xml:space="preserve">grow its </w:t>
      </w:r>
      <w:r w:rsidR="006661DF">
        <w:t>supporter</w:t>
      </w:r>
      <w:r w:rsidR="007E53E9">
        <w:t xml:space="preserve"> network and engage them </w:t>
      </w:r>
      <w:r w:rsidR="00F12AD9">
        <w:t>t</w:t>
      </w:r>
      <w:r w:rsidR="007E53E9">
        <w:t>o enhance the CDPG’s policy positions and campaigns</w:t>
      </w:r>
      <w:r w:rsidR="0047298A">
        <w:t xml:space="preserve">. This </w:t>
      </w:r>
      <w:r w:rsidR="00F12AD9">
        <w:t>may</w:t>
      </w:r>
      <w:r w:rsidR="00AA2E04">
        <w:t xml:space="preserve"> take many forms such as;</w:t>
      </w:r>
    </w:p>
    <w:p w14:paraId="168F52C3" w14:textId="564CD6AA" w:rsidR="00AA2E04" w:rsidRDefault="006A6A50" w:rsidP="00AA2E04">
      <w:pPr>
        <w:pStyle w:val="ListParagraph"/>
        <w:numPr>
          <w:ilvl w:val="0"/>
          <w:numId w:val="10"/>
        </w:numPr>
        <w:spacing w:after="0" w:line="259" w:lineRule="auto"/>
      </w:pPr>
      <w:r>
        <w:t>Opportunities to c</w:t>
      </w:r>
      <w:r w:rsidR="00F12AD9">
        <w:t>ontri</w:t>
      </w:r>
      <w:r w:rsidR="006A088E">
        <w:t>b</w:t>
      </w:r>
      <w:r w:rsidR="00F12AD9">
        <w:t>ut</w:t>
      </w:r>
      <w:r>
        <w:t>e</w:t>
      </w:r>
      <w:r w:rsidR="00F12AD9">
        <w:t xml:space="preserve"> to policy and campaign development through surveys, roundtables and other input and review sessions.</w:t>
      </w:r>
    </w:p>
    <w:p w14:paraId="07142EE1" w14:textId="2D3550D2" w:rsidR="006A088E" w:rsidRDefault="006A088E" w:rsidP="00AA2E04">
      <w:pPr>
        <w:pStyle w:val="ListParagraph"/>
        <w:numPr>
          <w:ilvl w:val="0"/>
          <w:numId w:val="10"/>
        </w:numPr>
        <w:spacing w:after="0" w:line="259" w:lineRule="auto"/>
      </w:pPr>
      <w:r>
        <w:t xml:space="preserve">Adding their names to key campaign </w:t>
      </w:r>
      <w:r w:rsidR="00062F0A">
        <w:t xml:space="preserve">calls to action, to </w:t>
      </w:r>
      <w:r w:rsidR="006571A1">
        <w:t>demonstrate t</w:t>
      </w:r>
      <w:r w:rsidR="00062F0A">
        <w:t>heir support.</w:t>
      </w:r>
    </w:p>
    <w:p w14:paraId="39D9D1CE" w14:textId="26E17BC8" w:rsidR="00062F0A" w:rsidRDefault="00062F0A" w:rsidP="009316D5">
      <w:pPr>
        <w:pStyle w:val="ListParagraph"/>
        <w:numPr>
          <w:ilvl w:val="0"/>
          <w:numId w:val="10"/>
        </w:numPr>
        <w:spacing w:after="0" w:line="259" w:lineRule="auto"/>
      </w:pPr>
      <w:r>
        <w:t>Amplifying the policy and campaign messages through their own networks</w:t>
      </w:r>
      <w:r w:rsidR="00E84ABE">
        <w:t xml:space="preserve"> and</w:t>
      </w:r>
      <w:r>
        <w:t xml:space="preserve"> communications activities</w:t>
      </w:r>
      <w:r w:rsidR="00E84ABE">
        <w:t>.</w:t>
      </w:r>
    </w:p>
    <w:p w14:paraId="18FB80E5" w14:textId="77777777" w:rsidR="006571A1" w:rsidRDefault="006571A1"/>
    <w:p w14:paraId="0AE4D286" w14:textId="75F91B22" w:rsidR="00E84ABE" w:rsidRDefault="00E84ABE">
      <w:r>
        <w:lastRenderedPageBreak/>
        <w:t xml:space="preserve">There may be opportunities for supporters to </w:t>
      </w:r>
      <w:r w:rsidR="006571A1">
        <w:t xml:space="preserve">be </w:t>
      </w:r>
      <w:r w:rsidR="0037782D">
        <w:t xml:space="preserve">more involved in </w:t>
      </w:r>
      <w:r>
        <w:t>individual campaigns</w:t>
      </w:r>
      <w:r w:rsidR="005A7059">
        <w:t xml:space="preserve"> and activities</w:t>
      </w:r>
      <w:r>
        <w:t xml:space="preserve">, </w:t>
      </w:r>
      <w:r w:rsidR="005A7059">
        <w:t>by</w:t>
      </w:r>
      <w:r>
        <w:t xml:space="preserve"> contri</w:t>
      </w:r>
      <w:r w:rsidR="005A7059">
        <w:t>b</w:t>
      </w:r>
      <w:r>
        <w:t xml:space="preserve">uting </w:t>
      </w:r>
      <w:r w:rsidR="005A7059">
        <w:t>more substantial resources such as funding</w:t>
      </w:r>
      <w:r w:rsidR="003A3538">
        <w:t>,</w:t>
      </w:r>
      <w:r w:rsidR="005A7059">
        <w:t xml:space="preserve"> </w:t>
      </w:r>
      <w:r w:rsidR="0037782D">
        <w:t xml:space="preserve">delivery </w:t>
      </w:r>
      <w:r w:rsidR="005A7059">
        <w:t>capability</w:t>
      </w:r>
      <w:r w:rsidR="003A3538">
        <w:t xml:space="preserve"> or network connections</w:t>
      </w:r>
      <w:r w:rsidR="005A7059">
        <w:t xml:space="preserve">. In such cases, </w:t>
      </w:r>
      <w:r w:rsidR="007F19A1">
        <w:t>these organisations may be promoted as a specific sponsor of the activity.</w:t>
      </w:r>
    </w:p>
    <w:p w14:paraId="66D9205B" w14:textId="77777777" w:rsidR="0037782D" w:rsidRDefault="0037782D"/>
    <w:p w14:paraId="524FF2B2" w14:textId="28899661" w:rsidR="0037782D" w:rsidRDefault="0037782D" w:rsidP="00455F4E">
      <w:pPr>
        <w:pStyle w:val="Heading1"/>
        <w:ind w:left="0" w:firstLine="0"/>
      </w:pPr>
      <w:r>
        <w:t>Funding</w:t>
      </w:r>
    </w:p>
    <w:p w14:paraId="3CEE4BD0" w14:textId="77777777" w:rsidR="0037782D" w:rsidRDefault="0037782D"/>
    <w:p w14:paraId="558263F6" w14:textId="77777777" w:rsidR="003B67C0" w:rsidRDefault="00AF7E5F">
      <w:r>
        <w:t>The core costs of the group will be met by each of the CDPG organisations</w:t>
      </w:r>
      <w:r w:rsidR="00E52FC0">
        <w:t xml:space="preserve"> paying an equal share of the projected costs for the year</w:t>
      </w:r>
      <w:r>
        <w:t xml:space="preserve">. </w:t>
      </w:r>
      <w:r w:rsidR="00326798">
        <w:t>These costs will cover Policy Connect</w:t>
      </w:r>
      <w:r w:rsidR="00E52FC0">
        <w:t>’s</w:t>
      </w:r>
      <w:r w:rsidR="00326798">
        <w:t xml:space="preserve"> fees</w:t>
      </w:r>
      <w:r w:rsidR="0099661A">
        <w:t>, a</w:t>
      </w:r>
      <w:r w:rsidR="00E66A43">
        <w:t xml:space="preserve"> policy event (in 2023 this was in the House of Lords)</w:t>
      </w:r>
      <w:r w:rsidR="00326798">
        <w:t xml:space="preserve"> and any other costs agreed by the </w:t>
      </w:r>
      <w:r w:rsidR="004313B8">
        <w:t>CDPG</w:t>
      </w:r>
      <w:r w:rsidR="00044EBD">
        <w:t xml:space="preserve"> organisations</w:t>
      </w:r>
      <w:r w:rsidR="00E52FC0">
        <w:t xml:space="preserve"> as part of the budget</w:t>
      </w:r>
      <w:r w:rsidR="002C14D1">
        <w:t xml:space="preserve"> setting discussions</w:t>
      </w:r>
      <w:r w:rsidR="00326798">
        <w:t>.</w:t>
      </w:r>
      <w:r w:rsidR="00BF5C8E">
        <w:t xml:space="preserve"> </w:t>
      </w:r>
      <w:r w:rsidR="00756837">
        <w:t xml:space="preserve">In 2023-24, the cost per organisation was £1,250. </w:t>
      </w:r>
    </w:p>
    <w:p w14:paraId="228564C1" w14:textId="77777777" w:rsidR="003B67C0" w:rsidRDefault="003B67C0"/>
    <w:p w14:paraId="4992986A" w14:textId="23E1E0B4" w:rsidR="00AF7E5F" w:rsidRDefault="002470ED">
      <w:r>
        <w:t xml:space="preserve">Organisations that join the CDPG part-way through the year will pay a pro-rata </w:t>
      </w:r>
      <w:r w:rsidR="007A3C28">
        <w:t xml:space="preserve">amount of this share, </w:t>
      </w:r>
      <w:r w:rsidR="003B67C0">
        <w:t xml:space="preserve">then pay a full share at the </w:t>
      </w:r>
      <w:r w:rsidR="007A3C28">
        <w:t>next budgeting period.</w:t>
      </w:r>
    </w:p>
    <w:p w14:paraId="1F87B425" w14:textId="77777777" w:rsidR="00326798" w:rsidRDefault="00326798"/>
    <w:p w14:paraId="14FD50E6" w14:textId="7624BDEC" w:rsidR="00F545C5" w:rsidRDefault="00326798" w:rsidP="00756837">
      <w:r>
        <w:t xml:space="preserve">In addition, supporters may be encouraged to </w:t>
      </w:r>
      <w:r w:rsidR="00BF5C8E">
        <w:t xml:space="preserve">offer funding </w:t>
      </w:r>
      <w:r w:rsidR="00B800F6">
        <w:t xml:space="preserve">or resources </w:t>
      </w:r>
      <w:r w:rsidR="00BF5C8E">
        <w:t>for specific campaigns or activities</w:t>
      </w:r>
      <w:r w:rsidR="00B800F6">
        <w:t xml:space="preserve">, and in return </w:t>
      </w:r>
      <w:r w:rsidR="00CD4413">
        <w:t>may</w:t>
      </w:r>
      <w:r w:rsidR="00B800F6">
        <w:t xml:space="preserve"> be identified as a sponsor of that act</w:t>
      </w:r>
      <w:r w:rsidR="0009302A">
        <w:t xml:space="preserve">ivity. For example, if </w:t>
      </w:r>
      <w:r w:rsidR="004C281D">
        <w:t xml:space="preserve">a supporter helps fund an event, they may be identified as a sponsor, </w:t>
      </w:r>
      <w:r w:rsidR="001F6141">
        <w:t>have a speaking opportunity or other benefit to be agreed on a case-by-case basis.</w:t>
      </w:r>
    </w:p>
    <w:sectPr w:rsidR="00F545C5">
      <w:pgSz w:w="11906" w:h="16838"/>
      <w:pgMar w:top="701" w:right="1465" w:bottom="7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913"/>
    <w:multiLevelType w:val="hybridMultilevel"/>
    <w:tmpl w:val="4B2C5F46"/>
    <w:lvl w:ilvl="0" w:tplc="81260ED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4EB80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04BF0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053B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7C9D2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2BE1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58AC0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82CC4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56EF2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26ABF"/>
    <w:multiLevelType w:val="hybridMultilevel"/>
    <w:tmpl w:val="BA6C3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246D"/>
    <w:multiLevelType w:val="hybridMultilevel"/>
    <w:tmpl w:val="6566821E"/>
    <w:lvl w:ilvl="0" w:tplc="59441FF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8CB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041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A2B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8C91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4CF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A2A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CF4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C21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30C50"/>
    <w:multiLevelType w:val="hybridMultilevel"/>
    <w:tmpl w:val="FA58ADA2"/>
    <w:lvl w:ilvl="0" w:tplc="B69C343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3A91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015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0EC4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C0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096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C810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CFE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4F4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C4699D"/>
    <w:multiLevelType w:val="hybridMultilevel"/>
    <w:tmpl w:val="1144A504"/>
    <w:lvl w:ilvl="0" w:tplc="224E871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A082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F7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545D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422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08C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8A25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26F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E4A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C451C6"/>
    <w:multiLevelType w:val="hybridMultilevel"/>
    <w:tmpl w:val="B54818BE"/>
    <w:lvl w:ilvl="0" w:tplc="BB10C6A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7A1F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2A88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B23D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3828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EC19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6290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1402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2DA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7F37B0"/>
    <w:multiLevelType w:val="hybridMultilevel"/>
    <w:tmpl w:val="84589AC6"/>
    <w:lvl w:ilvl="0" w:tplc="8ABA633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007D6"/>
    <w:multiLevelType w:val="hybridMultilevel"/>
    <w:tmpl w:val="8194A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6680A"/>
    <w:multiLevelType w:val="hybridMultilevel"/>
    <w:tmpl w:val="1B3E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C1F99"/>
    <w:multiLevelType w:val="hybridMultilevel"/>
    <w:tmpl w:val="2EE44540"/>
    <w:lvl w:ilvl="0" w:tplc="DF78ABB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22436"/>
    <w:multiLevelType w:val="hybridMultilevel"/>
    <w:tmpl w:val="C4AC829A"/>
    <w:lvl w:ilvl="0" w:tplc="C0E003C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C19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665E9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722AA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4A24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A7A6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0AD1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08A24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485E7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2375360">
    <w:abstractNumId w:val="4"/>
  </w:num>
  <w:num w:numId="2" w16cid:durableId="566838274">
    <w:abstractNumId w:val="0"/>
  </w:num>
  <w:num w:numId="3" w16cid:durableId="12266752">
    <w:abstractNumId w:val="5"/>
  </w:num>
  <w:num w:numId="4" w16cid:durableId="2039114128">
    <w:abstractNumId w:val="10"/>
  </w:num>
  <w:num w:numId="5" w16cid:durableId="70389840">
    <w:abstractNumId w:val="3"/>
  </w:num>
  <w:num w:numId="6" w16cid:durableId="1428963264">
    <w:abstractNumId w:val="2"/>
  </w:num>
  <w:num w:numId="7" w16cid:durableId="1030685807">
    <w:abstractNumId w:val="7"/>
  </w:num>
  <w:num w:numId="8" w16cid:durableId="1265304141">
    <w:abstractNumId w:val="8"/>
  </w:num>
  <w:num w:numId="9" w16cid:durableId="1412239166">
    <w:abstractNumId w:val="1"/>
  </w:num>
  <w:num w:numId="10" w16cid:durableId="953172695">
    <w:abstractNumId w:val="9"/>
  </w:num>
  <w:num w:numId="11" w16cid:durableId="120154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C5"/>
    <w:rsid w:val="00007495"/>
    <w:rsid w:val="00012328"/>
    <w:rsid w:val="000170EF"/>
    <w:rsid w:val="00026391"/>
    <w:rsid w:val="00036648"/>
    <w:rsid w:val="000447E8"/>
    <w:rsid w:val="00044EBD"/>
    <w:rsid w:val="00061389"/>
    <w:rsid w:val="00062F0A"/>
    <w:rsid w:val="000657ED"/>
    <w:rsid w:val="00076471"/>
    <w:rsid w:val="0008342F"/>
    <w:rsid w:val="00085F24"/>
    <w:rsid w:val="0009302A"/>
    <w:rsid w:val="000977F2"/>
    <w:rsid w:val="000B78CD"/>
    <w:rsid w:val="000C0072"/>
    <w:rsid w:val="000C0094"/>
    <w:rsid w:val="000D3645"/>
    <w:rsid w:val="000F04BD"/>
    <w:rsid w:val="00101BBA"/>
    <w:rsid w:val="00102472"/>
    <w:rsid w:val="00107723"/>
    <w:rsid w:val="001126A6"/>
    <w:rsid w:val="0011345F"/>
    <w:rsid w:val="00124386"/>
    <w:rsid w:val="00126554"/>
    <w:rsid w:val="00150864"/>
    <w:rsid w:val="001544EC"/>
    <w:rsid w:val="0015493D"/>
    <w:rsid w:val="00165136"/>
    <w:rsid w:val="001A3E04"/>
    <w:rsid w:val="001B3F3D"/>
    <w:rsid w:val="001B72F5"/>
    <w:rsid w:val="001B7902"/>
    <w:rsid w:val="001C4D9B"/>
    <w:rsid w:val="001D590E"/>
    <w:rsid w:val="001E1864"/>
    <w:rsid w:val="001E31B3"/>
    <w:rsid w:val="001F259B"/>
    <w:rsid w:val="001F430D"/>
    <w:rsid w:val="001F6141"/>
    <w:rsid w:val="0020082A"/>
    <w:rsid w:val="00204EB2"/>
    <w:rsid w:val="00207322"/>
    <w:rsid w:val="00220705"/>
    <w:rsid w:val="00226A11"/>
    <w:rsid w:val="0023430E"/>
    <w:rsid w:val="00241805"/>
    <w:rsid w:val="002470ED"/>
    <w:rsid w:val="002563F1"/>
    <w:rsid w:val="00283522"/>
    <w:rsid w:val="0029121E"/>
    <w:rsid w:val="002960AF"/>
    <w:rsid w:val="002A0F3A"/>
    <w:rsid w:val="002C11FB"/>
    <w:rsid w:val="002C14D1"/>
    <w:rsid w:val="002C6D9F"/>
    <w:rsid w:val="002E0A78"/>
    <w:rsid w:val="002F2050"/>
    <w:rsid w:val="00300506"/>
    <w:rsid w:val="00316205"/>
    <w:rsid w:val="00326798"/>
    <w:rsid w:val="00341906"/>
    <w:rsid w:val="00360472"/>
    <w:rsid w:val="0037782D"/>
    <w:rsid w:val="00382AD6"/>
    <w:rsid w:val="00385B4F"/>
    <w:rsid w:val="003A0479"/>
    <w:rsid w:val="003A3538"/>
    <w:rsid w:val="003B67C0"/>
    <w:rsid w:val="003B6D5A"/>
    <w:rsid w:val="003D0EBD"/>
    <w:rsid w:val="003F4077"/>
    <w:rsid w:val="003F42E5"/>
    <w:rsid w:val="00423D99"/>
    <w:rsid w:val="00424DE5"/>
    <w:rsid w:val="0042536C"/>
    <w:rsid w:val="004313B8"/>
    <w:rsid w:val="0043690A"/>
    <w:rsid w:val="00443080"/>
    <w:rsid w:val="00451D04"/>
    <w:rsid w:val="00454B44"/>
    <w:rsid w:val="00455A97"/>
    <w:rsid w:val="00455B22"/>
    <w:rsid w:val="00455F4E"/>
    <w:rsid w:val="00462DFB"/>
    <w:rsid w:val="0047298A"/>
    <w:rsid w:val="0047506A"/>
    <w:rsid w:val="00481710"/>
    <w:rsid w:val="004908CB"/>
    <w:rsid w:val="00494813"/>
    <w:rsid w:val="004B0886"/>
    <w:rsid w:val="004B1938"/>
    <w:rsid w:val="004C0C3A"/>
    <w:rsid w:val="004C281D"/>
    <w:rsid w:val="004D3A23"/>
    <w:rsid w:val="004E6FB4"/>
    <w:rsid w:val="004F0D1B"/>
    <w:rsid w:val="004F1626"/>
    <w:rsid w:val="004F76F9"/>
    <w:rsid w:val="0051144F"/>
    <w:rsid w:val="00521EAF"/>
    <w:rsid w:val="0052635B"/>
    <w:rsid w:val="005352BF"/>
    <w:rsid w:val="00545337"/>
    <w:rsid w:val="00561FDF"/>
    <w:rsid w:val="00570A00"/>
    <w:rsid w:val="0058063B"/>
    <w:rsid w:val="005939E6"/>
    <w:rsid w:val="005A2157"/>
    <w:rsid w:val="005A6F53"/>
    <w:rsid w:val="005A7059"/>
    <w:rsid w:val="005B4608"/>
    <w:rsid w:val="005C6040"/>
    <w:rsid w:val="005C7BCE"/>
    <w:rsid w:val="005E317D"/>
    <w:rsid w:val="006010E4"/>
    <w:rsid w:val="00614601"/>
    <w:rsid w:val="006316AC"/>
    <w:rsid w:val="00631763"/>
    <w:rsid w:val="00631D69"/>
    <w:rsid w:val="00643333"/>
    <w:rsid w:val="006512E5"/>
    <w:rsid w:val="006571A1"/>
    <w:rsid w:val="006655A5"/>
    <w:rsid w:val="006661DF"/>
    <w:rsid w:val="00684EA4"/>
    <w:rsid w:val="00691056"/>
    <w:rsid w:val="006A088E"/>
    <w:rsid w:val="006A6A50"/>
    <w:rsid w:val="006B6560"/>
    <w:rsid w:val="006E0CF5"/>
    <w:rsid w:val="006E15AC"/>
    <w:rsid w:val="006E5E31"/>
    <w:rsid w:val="006E6656"/>
    <w:rsid w:val="006F1163"/>
    <w:rsid w:val="00704C98"/>
    <w:rsid w:val="00711642"/>
    <w:rsid w:val="007319F0"/>
    <w:rsid w:val="007473C2"/>
    <w:rsid w:val="00747B13"/>
    <w:rsid w:val="00756837"/>
    <w:rsid w:val="00762D72"/>
    <w:rsid w:val="00771570"/>
    <w:rsid w:val="00780518"/>
    <w:rsid w:val="00782094"/>
    <w:rsid w:val="007844F5"/>
    <w:rsid w:val="00795710"/>
    <w:rsid w:val="007A3C28"/>
    <w:rsid w:val="007B0E57"/>
    <w:rsid w:val="007B56D2"/>
    <w:rsid w:val="007B6BF1"/>
    <w:rsid w:val="007C0FC9"/>
    <w:rsid w:val="007C6421"/>
    <w:rsid w:val="007D1A02"/>
    <w:rsid w:val="007E536C"/>
    <w:rsid w:val="007E53E9"/>
    <w:rsid w:val="007F19A1"/>
    <w:rsid w:val="0082720E"/>
    <w:rsid w:val="0083459D"/>
    <w:rsid w:val="00837686"/>
    <w:rsid w:val="00843FF9"/>
    <w:rsid w:val="00845037"/>
    <w:rsid w:val="0085431D"/>
    <w:rsid w:val="00863132"/>
    <w:rsid w:val="0086337A"/>
    <w:rsid w:val="0086632C"/>
    <w:rsid w:val="00873C26"/>
    <w:rsid w:val="0087798B"/>
    <w:rsid w:val="00891A24"/>
    <w:rsid w:val="0089407B"/>
    <w:rsid w:val="00894997"/>
    <w:rsid w:val="00896F6E"/>
    <w:rsid w:val="008B005C"/>
    <w:rsid w:val="008B41E6"/>
    <w:rsid w:val="008D0BAC"/>
    <w:rsid w:val="008E089C"/>
    <w:rsid w:val="008F1D47"/>
    <w:rsid w:val="0090213C"/>
    <w:rsid w:val="00902AE3"/>
    <w:rsid w:val="00903E30"/>
    <w:rsid w:val="00914964"/>
    <w:rsid w:val="0091593D"/>
    <w:rsid w:val="00917288"/>
    <w:rsid w:val="009316D5"/>
    <w:rsid w:val="00932AF2"/>
    <w:rsid w:val="00952FAC"/>
    <w:rsid w:val="00955ABE"/>
    <w:rsid w:val="00960281"/>
    <w:rsid w:val="0096392D"/>
    <w:rsid w:val="009710EA"/>
    <w:rsid w:val="0099661A"/>
    <w:rsid w:val="00997A2B"/>
    <w:rsid w:val="009A435D"/>
    <w:rsid w:val="009B31D9"/>
    <w:rsid w:val="009C044D"/>
    <w:rsid w:val="009C4BC4"/>
    <w:rsid w:val="009D59ED"/>
    <w:rsid w:val="009E054D"/>
    <w:rsid w:val="009E19F0"/>
    <w:rsid w:val="009E295D"/>
    <w:rsid w:val="009E4439"/>
    <w:rsid w:val="009F0BBE"/>
    <w:rsid w:val="009F3D9F"/>
    <w:rsid w:val="00A0233F"/>
    <w:rsid w:val="00A0642D"/>
    <w:rsid w:val="00A11BB3"/>
    <w:rsid w:val="00A244A3"/>
    <w:rsid w:val="00A30642"/>
    <w:rsid w:val="00A352B6"/>
    <w:rsid w:val="00A37C93"/>
    <w:rsid w:val="00A412ED"/>
    <w:rsid w:val="00A42C3E"/>
    <w:rsid w:val="00A868CA"/>
    <w:rsid w:val="00A918E5"/>
    <w:rsid w:val="00AA2E04"/>
    <w:rsid w:val="00AC53C6"/>
    <w:rsid w:val="00AD1DA5"/>
    <w:rsid w:val="00AE5AF5"/>
    <w:rsid w:val="00AF6B91"/>
    <w:rsid w:val="00AF7E5F"/>
    <w:rsid w:val="00B05ACC"/>
    <w:rsid w:val="00B05CDA"/>
    <w:rsid w:val="00B1688E"/>
    <w:rsid w:val="00B21C71"/>
    <w:rsid w:val="00B261C0"/>
    <w:rsid w:val="00B34C3E"/>
    <w:rsid w:val="00B36AE3"/>
    <w:rsid w:val="00B44A1B"/>
    <w:rsid w:val="00B800F6"/>
    <w:rsid w:val="00B80E3A"/>
    <w:rsid w:val="00BC2064"/>
    <w:rsid w:val="00BC6A72"/>
    <w:rsid w:val="00BE272F"/>
    <w:rsid w:val="00BE777C"/>
    <w:rsid w:val="00BF5C8E"/>
    <w:rsid w:val="00C175C2"/>
    <w:rsid w:val="00C365F4"/>
    <w:rsid w:val="00C4463F"/>
    <w:rsid w:val="00C46926"/>
    <w:rsid w:val="00C47E95"/>
    <w:rsid w:val="00C6384F"/>
    <w:rsid w:val="00C73571"/>
    <w:rsid w:val="00C8774D"/>
    <w:rsid w:val="00CA6FA2"/>
    <w:rsid w:val="00CA75F7"/>
    <w:rsid w:val="00CB2F16"/>
    <w:rsid w:val="00CB69AF"/>
    <w:rsid w:val="00CD3716"/>
    <w:rsid w:val="00CD4413"/>
    <w:rsid w:val="00CF66CF"/>
    <w:rsid w:val="00D0167C"/>
    <w:rsid w:val="00D0327A"/>
    <w:rsid w:val="00D12C94"/>
    <w:rsid w:val="00D20BBA"/>
    <w:rsid w:val="00D2670E"/>
    <w:rsid w:val="00D367E7"/>
    <w:rsid w:val="00D44B19"/>
    <w:rsid w:val="00D46255"/>
    <w:rsid w:val="00D546D9"/>
    <w:rsid w:val="00D5587B"/>
    <w:rsid w:val="00D61228"/>
    <w:rsid w:val="00D76F7A"/>
    <w:rsid w:val="00D823FD"/>
    <w:rsid w:val="00DB0ABE"/>
    <w:rsid w:val="00DB4D0D"/>
    <w:rsid w:val="00DC6C39"/>
    <w:rsid w:val="00E0702C"/>
    <w:rsid w:val="00E23603"/>
    <w:rsid w:val="00E51ED5"/>
    <w:rsid w:val="00E524E0"/>
    <w:rsid w:val="00E52FC0"/>
    <w:rsid w:val="00E5684B"/>
    <w:rsid w:val="00E66A43"/>
    <w:rsid w:val="00E83F4C"/>
    <w:rsid w:val="00E84ABE"/>
    <w:rsid w:val="00E908BA"/>
    <w:rsid w:val="00E93C29"/>
    <w:rsid w:val="00EA104A"/>
    <w:rsid w:val="00EA390E"/>
    <w:rsid w:val="00EA66DC"/>
    <w:rsid w:val="00EA6EB3"/>
    <w:rsid w:val="00EB2031"/>
    <w:rsid w:val="00EC451F"/>
    <w:rsid w:val="00ED4E70"/>
    <w:rsid w:val="00ED7BC3"/>
    <w:rsid w:val="00F12AD9"/>
    <w:rsid w:val="00F3758F"/>
    <w:rsid w:val="00F407A1"/>
    <w:rsid w:val="00F441F0"/>
    <w:rsid w:val="00F44810"/>
    <w:rsid w:val="00F545C5"/>
    <w:rsid w:val="00F65F25"/>
    <w:rsid w:val="00F714EE"/>
    <w:rsid w:val="00F91710"/>
    <w:rsid w:val="00FA7900"/>
    <w:rsid w:val="00FA7ED4"/>
    <w:rsid w:val="00FC18D2"/>
    <w:rsid w:val="00FD08D6"/>
    <w:rsid w:val="00FE3DD6"/>
    <w:rsid w:val="00FE5331"/>
    <w:rsid w:val="00FF5076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A88B"/>
  <w15:docId w15:val="{12E9B2D0-5602-4AC3-90B3-326BF6EF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" w:line="249" w:lineRule="auto"/>
      <w:ind w:left="37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Revision">
    <w:name w:val="Revision"/>
    <w:hidden/>
    <w:uiPriority w:val="99"/>
    <w:semiHidden/>
    <w:rsid w:val="00382AD6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06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6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642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42D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Wilson Vitae</dc:creator>
  <cp:keywords/>
  <cp:lastModifiedBy>David Morgan</cp:lastModifiedBy>
  <cp:revision>2</cp:revision>
  <dcterms:created xsi:type="dcterms:W3CDTF">2024-01-25T10:15:00Z</dcterms:created>
  <dcterms:modified xsi:type="dcterms:W3CDTF">2024-01-25T10:15:00Z</dcterms:modified>
</cp:coreProperties>
</file>