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445AC746"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3D4C38F3">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5C5B88">
        <w:rPr>
          <w:rFonts w:ascii="Ayuthaya" w:hAnsi="Ayuthaya" w:cs="Ayuthaya"/>
          <w:b/>
          <w:bCs/>
          <w:noProof/>
          <w:color w:val="17365D" w:themeColor="text2" w:themeShade="BF"/>
          <w:sz w:val="21"/>
          <w:szCs w:val="21"/>
        </w:rPr>
        <w:t>Saints Peter and Paul</w:t>
      </w:r>
      <w:r w:rsidR="00D672EC">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01CADF38" w14:textId="5E5839C6" w:rsidR="00803371" w:rsidRPr="00803371" w:rsidRDefault="00255379"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5423F214" w14:textId="6655F657" w:rsidR="00253BA4" w:rsidRPr="00A465AE" w:rsidRDefault="00215A85" w:rsidP="00215A85">
      <w:pPr>
        <w:autoSpaceDE w:val="0"/>
        <w:autoSpaceDN w:val="0"/>
        <w:bidi/>
        <w:adjustRightInd w:val="0"/>
        <w:spacing w:after="0" w:line="240" w:lineRule="auto"/>
        <w:jc w:val="center"/>
        <w:rPr>
          <w:rStyle w:val="Hyperlink"/>
          <w:rFonts w:ascii="Ayuthaya" w:hAnsi="Ayuthaya" w:cs="Ayuthaya"/>
          <w:b/>
          <w:bCs/>
          <w:sz w:val="18"/>
          <w:szCs w:val="18"/>
          <w:u w:val="none"/>
          <w:rtl/>
        </w:rPr>
      </w:pPr>
      <w:hyperlink r:id="rId13" w:history="1">
        <w:r w:rsidRPr="00E76653">
          <w:rPr>
            <w:rStyle w:val="Hyperlink"/>
            <w:rFonts w:ascii="Ayuthaya" w:hAnsi="Ayuthaya" w:cs="Times New Roman"/>
            <w:b/>
            <w:bCs/>
            <w:sz w:val="18"/>
            <w:szCs w:val="18"/>
          </w:rPr>
          <w:t>https://www.peterpaulchurch.org</w:t>
        </w:r>
      </w:hyperlink>
      <w:r w:rsidR="00A465AE" w:rsidRPr="00A465AE">
        <w:rPr>
          <w:rStyle w:val="Hyperlink"/>
          <w:rFonts w:ascii="Ayuthaya" w:hAnsi="Ayuthaya" w:cs="Times New Roman" w:hint="cs"/>
          <w:b/>
          <w:bCs/>
          <w:sz w:val="18"/>
          <w:szCs w:val="18"/>
          <w:u w:val="none"/>
          <w:rtl/>
        </w:rPr>
        <w:t xml:space="preserve">            </w:t>
      </w:r>
    </w:p>
    <w:p w14:paraId="2D2971F4" w14:textId="65B1AC19" w:rsidR="00994305" w:rsidRPr="00792469" w:rsidRDefault="00994305"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7DDC15CD" w14:textId="765B53D1" w:rsidR="004C5015" w:rsidRPr="00C51769" w:rsidRDefault="004C5015" w:rsidP="006E5A7F">
      <w:pPr>
        <w:shd w:val="clear" w:color="auto" w:fill="FFFFFF"/>
        <w:bidi/>
        <w:spacing w:after="0" w:line="240" w:lineRule="auto"/>
        <w:ind w:left="270" w:right="270"/>
        <w:jc w:val="center"/>
        <w:rPr>
          <w:rFonts w:ascii="Dubai" w:eastAsia="Times New Roman" w:hAnsi="Dubai" w:cs="Dubai"/>
          <w:b/>
          <w:color w:val="222222"/>
          <w:sz w:val="21"/>
          <w:szCs w:val="21"/>
          <w:u w:val="single"/>
          <w:lang w:bidi="ar-JO"/>
        </w:rPr>
      </w:pPr>
      <w:r w:rsidRPr="00C51769">
        <w:rPr>
          <w:rFonts w:ascii="Dubai" w:eastAsia="Times New Roman" w:hAnsi="Dubai" w:cs="Dubai"/>
          <w:b/>
          <w:noProof/>
          <w:color w:val="222222"/>
          <w:sz w:val="21"/>
          <w:szCs w:val="21"/>
          <w:u w:val="single"/>
          <w:lang w:bidi="ar-JO"/>
        </w:rPr>
        <mc:AlternateContent>
          <mc:Choice Requires="wps">
            <w:drawing>
              <wp:anchor distT="0" distB="0" distL="114300" distR="114300" simplePos="0" relativeHeight="252069887" behindDoc="0" locked="0" layoutInCell="1" allowOverlap="1" wp14:anchorId="28AB7D1A" wp14:editId="066F1924">
                <wp:simplePos x="0" y="0"/>
                <wp:positionH relativeFrom="column">
                  <wp:posOffset>25400</wp:posOffset>
                </wp:positionH>
                <wp:positionV relativeFrom="paragraph">
                  <wp:posOffset>98425</wp:posOffset>
                </wp:positionV>
                <wp:extent cx="7013575" cy="793750"/>
                <wp:effectExtent l="0" t="0" r="9525" b="19050"/>
                <wp:wrapNone/>
                <wp:docPr id="1537050038" name="Rounded Rectangle 7"/>
                <wp:cNvGraphicFramePr/>
                <a:graphic xmlns:a="http://schemas.openxmlformats.org/drawingml/2006/main">
                  <a:graphicData uri="http://schemas.microsoft.com/office/word/2010/wordprocessingShape">
                    <wps:wsp>
                      <wps:cNvSpPr/>
                      <wps:spPr>
                        <a:xfrm>
                          <a:off x="0" y="0"/>
                          <a:ext cx="7013575" cy="793750"/>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5BF46" id="Rounded Rectangle 7" o:spid="_x0000_s1026" style="position:absolute;margin-left:2pt;margin-top:7.75pt;width:552.25pt;height:62.5pt;z-index:252069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" filled="f" strokecolor="#0a121c [484]"/>
            </w:pict>
          </mc:Fallback>
        </mc:AlternateContent>
      </w:r>
    </w:p>
    <w:p w14:paraId="6CA541CE" w14:textId="2AD9BAB2" w:rsidR="005C5B88" w:rsidRPr="00C51769" w:rsidRDefault="005C5B88" w:rsidP="004C5015">
      <w:pPr>
        <w:shd w:val="clear" w:color="auto" w:fill="FFFFFF"/>
        <w:bidi/>
        <w:spacing w:after="0" w:line="240" w:lineRule="auto"/>
        <w:ind w:left="270" w:right="270"/>
        <w:jc w:val="center"/>
        <w:rPr>
          <w:rFonts w:ascii="Dubai" w:eastAsia="Times New Roman" w:hAnsi="Dubai" w:cs="Dubai"/>
          <w:bCs/>
          <w:color w:val="222222"/>
          <w:sz w:val="21"/>
          <w:szCs w:val="21"/>
          <w:u w:val="single"/>
          <w:rtl/>
          <w:lang w:bidi="ar-JO"/>
        </w:rPr>
      </w:pPr>
      <w:r w:rsidRPr="00C51769">
        <w:rPr>
          <w:rFonts w:ascii="Dubai" w:eastAsia="Times New Roman" w:hAnsi="Dubai" w:cs="Dubai"/>
          <w:bCs/>
          <w:color w:val="222222"/>
          <w:sz w:val="21"/>
          <w:szCs w:val="21"/>
          <w:highlight w:val="cyan"/>
          <w:u w:val="single"/>
          <w:rtl/>
          <w:lang w:bidi="ar-JO"/>
        </w:rPr>
        <w:t>طروبارية القديسين بطرس وبولص باللحن الرابع</w:t>
      </w:r>
    </w:p>
    <w:p w14:paraId="1ADA5F0B" w14:textId="7E57C11C" w:rsidR="005C5B88" w:rsidRPr="00C51769" w:rsidRDefault="005C5B88" w:rsidP="005C5B88">
      <w:pPr>
        <w:shd w:val="clear" w:color="auto" w:fill="FFFFFF"/>
        <w:bidi/>
        <w:spacing w:after="0" w:line="240" w:lineRule="auto"/>
        <w:ind w:left="270" w:right="270"/>
        <w:jc w:val="center"/>
        <w:rPr>
          <w:rFonts w:ascii="Dubai" w:eastAsia="Times New Roman" w:hAnsi="Dubai" w:cs="Dubai"/>
          <w:b/>
          <w:color w:val="222222"/>
          <w:sz w:val="21"/>
          <w:szCs w:val="21"/>
          <w:lang w:bidi="ar-JO"/>
        </w:rPr>
      </w:pPr>
      <w:r w:rsidRPr="00C51769">
        <w:rPr>
          <w:rFonts w:ascii="Dubai" w:eastAsia="Times New Roman" w:hAnsi="Dubai" w:cs="Dubai"/>
          <w:b/>
          <w:color w:val="222222"/>
          <w:sz w:val="21"/>
          <w:szCs w:val="21"/>
          <w:rtl/>
          <w:lang w:bidi="ar-JO"/>
        </w:rPr>
        <w:t>أيها المتقدمان في كراسي الرسل ومعلما المسكونة،  تشفعا الى سيد الكل أن يمنح السلامة للمسكونة، ولنفوسنا الرحمة العظمى.</w:t>
      </w:r>
    </w:p>
    <w:p w14:paraId="48CEA254" w14:textId="4B6F9829" w:rsidR="004C5015" w:rsidRPr="00C51769" w:rsidRDefault="004C5015" w:rsidP="004C5015">
      <w:pPr>
        <w:shd w:val="clear" w:color="auto" w:fill="FFFFFF"/>
        <w:bidi/>
        <w:spacing w:after="0" w:line="240" w:lineRule="auto"/>
        <w:ind w:left="270" w:right="270"/>
        <w:jc w:val="center"/>
        <w:rPr>
          <w:rFonts w:ascii="Dubai" w:eastAsia="Times New Roman" w:hAnsi="Dubai" w:cs="Dubai"/>
          <w:b/>
          <w:color w:val="222222"/>
          <w:sz w:val="21"/>
          <w:szCs w:val="21"/>
          <w:lang w:bidi="ar-JO"/>
        </w:rPr>
      </w:pP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C688D4F"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5DF06A3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08E372C8"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5AD476F"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hint="cs"/>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hint="cs"/>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hint="cs"/>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hint="cs"/>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hint="cs"/>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hint="cs"/>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hint="cs"/>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hint="cs"/>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hint="cs"/>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hint="cs"/>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hint="cs"/>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hint="cs"/>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hint="cs"/>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hint="cs"/>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hint="cs"/>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hint="cs"/>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hint="cs"/>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16EA" w14:textId="77777777" w:rsidR="009E5FE5" w:rsidRDefault="009E5FE5" w:rsidP="00155B4C">
      <w:pPr>
        <w:spacing w:after="0" w:line="240" w:lineRule="auto"/>
      </w:pPr>
      <w:r>
        <w:separator/>
      </w:r>
    </w:p>
  </w:endnote>
  <w:endnote w:type="continuationSeparator" w:id="0">
    <w:p w14:paraId="1E000B41" w14:textId="77777777" w:rsidR="009E5FE5" w:rsidRDefault="009E5FE5"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FACD7" w14:textId="77777777" w:rsidR="009E5FE5" w:rsidRDefault="009E5FE5" w:rsidP="00155B4C">
      <w:pPr>
        <w:spacing w:after="0" w:line="240" w:lineRule="auto"/>
      </w:pPr>
      <w:r>
        <w:separator/>
      </w:r>
    </w:p>
  </w:footnote>
  <w:footnote w:type="continuationSeparator" w:id="0">
    <w:p w14:paraId="5FD15E0C" w14:textId="77777777" w:rsidR="009E5FE5" w:rsidRDefault="009E5FE5"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A1349"/>
    <w:rsid w:val="00FA1AD4"/>
    <w:rsid w:val="00FA2701"/>
    <w:rsid w:val="00FA42E8"/>
    <w:rsid w:val="00FA4D0E"/>
    <w:rsid w:val="00FA4ECC"/>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terpaul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2</cp:revision>
  <cp:lastPrinted>2025-10-28T18:21:00Z</cp:lastPrinted>
  <dcterms:created xsi:type="dcterms:W3CDTF">2025-11-03T20:40:00Z</dcterms:created>
  <dcterms:modified xsi:type="dcterms:W3CDTF">2025-11-03T20:40:00Z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