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2AEBD" w14:textId="77777777" w:rsidR="00582160" w:rsidRDefault="00582160" w:rsidP="00582160">
      <w:pPr>
        <w:pStyle w:val="Title"/>
        <w:rPr>
          <w:lang w:val="en-US"/>
        </w:rPr>
      </w:pPr>
      <w:r>
        <w:rPr>
          <w:lang w:val="en-US"/>
        </w:rPr>
        <w:t>Safety Meetings, Incident Analysis, and Human Resource Updates: November and December</w:t>
      </w:r>
    </w:p>
    <w:p w14:paraId="6E853BB7" w14:textId="77777777" w:rsidR="00582160" w:rsidRDefault="00582160" w:rsidP="00582160">
      <w:pPr>
        <w:pStyle w:val="Heading1"/>
        <w:rPr>
          <w:lang w:val="en-US"/>
        </w:rPr>
      </w:pPr>
      <w:r>
        <w:rPr>
          <w:lang w:val="en-US"/>
        </w:rPr>
        <w:t>Overview of Safety Meetings</w:t>
      </w:r>
    </w:p>
    <w:p w14:paraId="66565072" w14:textId="31CB8D42" w:rsidR="00582160" w:rsidRDefault="00582160" w:rsidP="00582160">
      <w:r w:rsidRPr="00582160">
        <w:t xml:space="preserve">During November and December, a series of safety meetings were conducted, attended by Corinne </w:t>
      </w:r>
      <w:r w:rsidR="00A57B03">
        <w:t xml:space="preserve">Pierce </w:t>
      </w:r>
      <w:r w:rsidRPr="00582160">
        <w:t>and another representative from Human Resources. The primary focus of these meetings was to address changes in job descriptions and to analyze the high frequency of incidents involving Educational Assistants (EAs). Representatives from various divisions participated in these discussions, including transportation, library, custodial staff, secretaries, and a teacher representative.</w:t>
      </w:r>
    </w:p>
    <w:p w14:paraId="15520C03" w14:textId="77777777" w:rsidR="00582160" w:rsidRDefault="00582160" w:rsidP="00582160">
      <w:pPr>
        <w:pStyle w:val="Heading2"/>
      </w:pPr>
      <w:r>
        <w:t>Discussion of Serious Incidents</w:t>
      </w:r>
    </w:p>
    <w:p w14:paraId="327BD8F9" w14:textId="63849753" w:rsidR="00582160" w:rsidRDefault="00582160" w:rsidP="00582160">
      <w:r w:rsidRPr="00582160">
        <w:t xml:space="preserve">One particularly serious incident reviewed during the meetings involved the loss of a digit on an employee's hand. This case highlighted complacency as a significant contributing factor, especially when employees perform repetitive tasks and may start overlooking established safety protocols. The meetings underscored the importance of consistently following safety procedures, regardless of how routine a task may become. These protocols are in place </w:t>
      </w:r>
      <w:r w:rsidR="00A57B03" w:rsidRPr="00582160">
        <w:t>because of</w:t>
      </w:r>
      <w:r w:rsidRPr="00582160">
        <w:t xml:space="preserve"> previous serious incidents, and it is crucial to learn from others' experiences to prevent further harm.</w:t>
      </w:r>
    </w:p>
    <w:p w14:paraId="5843ACE2" w14:textId="77777777" w:rsidR="00582160" w:rsidRDefault="00582160" w:rsidP="00582160">
      <w:pPr>
        <w:pStyle w:val="Heading2"/>
      </w:pPr>
      <w:r>
        <w:t>Reporting and Awareness</w:t>
      </w:r>
    </w:p>
    <w:p w14:paraId="6B65A876" w14:textId="77777777" w:rsidR="00582160" w:rsidRDefault="00582160" w:rsidP="00582160">
      <w:r w:rsidRPr="00582160">
        <w:t>When questioned about the large number of reported incidents among members, it was explained that there has been an increase in reporting, which is largely attributed to the efforts of previous presidents who encouraged members to document incidents more thoroughly. Previously, there was a tendency to discourage reporting out of concern for how such incidents might affect the perception of children within the school system. Additionally, some members viewed certain risks as inherent to their job descriptions and thus did not report them.</w:t>
      </w:r>
    </w:p>
    <w:p w14:paraId="5E4B63D3" w14:textId="77777777" w:rsidR="00582160" w:rsidRDefault="00582160" w:rsidP="00582160">
      <w:pPr>
        <w:pStyle w:val="Heading2"/>
      </w:pPr>
      <w:r>
        <w:t>Proposed Solutions</w:t>
      </w:r>
    </w:p>
    <w:p w14:paraId="7028F0AB" w14:textId="77777777" w:rsidR="00582160" w:rsidRDefault="00582160" w:rsidP="00582160">
      <w:r w:rsidRPr="00582160">
        <w:t xml:space="preserve">In response to inquiries about potential solutions, the suggestion was made that providing more information about the students assigned to EAs would be beneficial. This would enable staff to better prepare for and monitor potential triggers, functional disabilities, </w:t>
      </w:r>
      <w:r w:rsidRPr="00582160">
        <w:lastRenderedPageBreak/>
        <w:t>learning disabilities, social disabilities, experiences with physical or verbal abuse, tendencies to run and hide, difficulties with sharing, or matters related to sexual orientation. Currently, EAs receive their assignments at the start of the school year without detailed background information, and most relevant details are informally communicated by the previous EA who worked with the student.</w:t>
      </w:r>
    </w:p>
    <w:p w14:paraId="47CD1EBA" w14:textId="77777777" w:rsidR="00582160" w:rsidRDefault="00582160" w:rsidP="00582160">
      <w:r w:rsidRPr="00582160">
        <w:t xml:space="preserve">The teacher representative noted attending a meeting with MB </w:t>
      </w:r>
      <w:proofErr w:type="spellStart"/>
      <w:r w:rsidRPr="00582160">
        <w:t>Safework</w:t>
      </w:r>
      <w:proofErr w:type="spellEnd"/>
      <w:r w:rsidRPr="00582160">
        <w:t>, where the same concerns were raised. He highlighted that the lack of shared information about students makes it difficult for staff to understand and anticipate the challenges students may face. The focus should be on not only identifying difficulties but also sharing strategies that have proven successful in the past, so staff do not have to relearn interventions with each new assignment.</w:t>
      </w:r>
    </w:p>
    <w:p w14:paraId="16476412" w14:textId="77777777" w:rsidR="00582160" w:rsidRDefault="00582160" w:rsidP="00582160">
      <w:pPr>
        <w:pStyle w:val="Heading2"/>
      </w:pPr>
      <w:r>
        <w:t>EA Perspectives and Student Relationships</w:t>
      </w:r>
    </w:p>
    <w:p w14:paraId="02C211FD" w14:textId="77777777" w:rsidR="00582160" w:rsidRDefault="00582160" w:rsidP="00582160">
      <w:r w:rsidRPr="00582160">
        <w:t>It was also emphasized that EAs build unique relationships with the students they support. When incidents occur, many EAs experience sadness, knowing that the incident may lead to additional work for colleagues or substitute staff. Despite these challenges, many EAs continue in their roles out of a strong commitment to prioritizing the well-being and needs of their students.</w:t>
      </w:r>
    </w:p>
    <w:p w14:paraId="74E0A4EA" w14:textId="77777777" w:rsidR="00582160" w:rsidRDefault="00582160" w:rsidP="00582160">
      <w:pPr>
        <w:pStyle w:val="Heading1"/>
      </w:pPr>
      <w:r>
        <w:t>Human Resource Meetings and Job Description Clarification</w:t>
      </w:r>
    </w:p>
    <w:p w14:paraId="13072202" w14:textId="6DE7922D" w:rsidR="00582160" w:rsidRDefault="00582160" w:rsidP="00582160">
      <w:r w:rsidRPr="00582160">
        <w:t xml:space="preserve">Recent meetings with Human Resources focused on clarifying new job descriptions and ensuring a clear understanding of the responsibilities at each EA level. Evidence was presented regarding Manitoba's education funding, which outlines in detail what services a Level 2 funded student </w:t>
      </w:r>
      <w:r w:rsidR="00EF728A" w:rsidRPr="00582160">
        <w:t>receives,</w:t>
      </w:r>
      <w:r w:rsidRPr="00582160">
        <w:t xml:space="preserve"> and the criteria required for Level 3 funding. All other students receive standard funding per division, with additional grants available for divisions to offset some costs.</w:t>
      </w:r>
    </w:p>
    <w:p w14:paraId="4F76FE7D" w14:textId="77777777" w:rsidR="00582160" w:rsidRDefault="00582160" w:rsidP="00582160">
      <w:r w:rsidRPr="00582160">
        <w:t>Corinne is also working on other initiatives and will share updates in the new year.</w:t>
      </w:r>
    </w:p>
    <w:p w14:paraId="14ED929E" w14:textId="77777777" w:rsidR="00582160" w:rsidRDefault="00582160" w:rsidP="00582160">
      <w:pPr>
        <w:pStyle w:val="Heading2"/>
      </w:pPr>
      <w:r>
        <w:t>Payroll Concerns and Member Advocacy</w:t>
      </w:r>
    </w:p>
    <w:p w14:paraId="21BFC85F" w14:textId="77777777" w:rsidR="00582160" w:rsidRDefault="00582160" w:rsidP="00582160">
      <w:r w:rsidRPr="00582160">
        <w:t>Attention was brought to ongoing payroll concerns, particularly the unfortunate issues that occurred in September and before the most recent break, which affected many members. Since many employees live on a tight budget or paycheck to paycheck, even a one-day delay can result in missed payments or the inability to shop for necessities.</w:t>
      </w:r>
    </w:p>
    <w:p w14:paraId="0C5C15D1" w14:textId="77777777" w:rsidR="00582160" w:rsidRDefault="00582160" w:rsidP="00582160">
      <w:r w:rsidRPr="00582160">
        <w:t>Elisa Downing has requested a meeting in the new year to address these concerns further.</w:t>
      </w:r>
    </w:p>
    <w:p w14:paraId="77703050" w14:textId="25FA6C38" w:rsidR="00EF728A" w:rsidRPr="00EF728A" w:rsidRDefault="00582160" w:rsidP="00EF728A">
      <w:pPr>
        <w:pStyle w:val="Heading2"/>
      </w:pPr>
      <w:r>
        <w:lastRenderedPageBreak/>
        <w:t>Meeting Participation and Logistics</w:t>
      </w:r>
    </w:p>
    <w:p w14:paraId="0E9C40DE" w14:textId="70AE2656" w:rsidR="00EF728A" w:rsidRDefault="00582160" w:rsidP="00582160">
      <w:r w:rsidRPr="00582160">
        <w:t>During this period, a total of 21 meetings were attended with members at the request of Human Resources. As of November, Human Resources has requested that these meetings be held at Division offices or virtually, which has helped to reduce travel time.</w:t>
      </w:r>
    </w:p>
    <w:p w14:paraId="55FCCA6F" w14:textId="77777777" w:rsidR="00A57B03" w:rsidRDefault="00A57B03" w:rsidP="00A57B03">
      <w:pPr>
        <w:pStyle w:val="Heading2"/>
      </w:pPr>
      <w:r>
        <w:t>Old Business</w:t>
      </w:r>
    </w:p>
    <w:p w14:paraId="4B8F37C3" w14:textId="77777777" w:rsidR="00A57B03" w:rsidRDefault="00A57B03" w:rsidP="00A57B03">
      <w:pPr>
        <w:pStyle w:val="Heading3"/>
      </w:pPr>
      <w:r>
        <w:t>Holy Days Policy Concerns</w:t>
      </w:r>
    </w:p>
    <w:p w14:paraId="30255D59" w14:textId="77777777" w:rsidR="00A57B03" w:rsidRDefault="00A57B03" w:rsidP="00A57B03">
      <w:r w:rsidRPr="00A57B03">
        <w:t xml:space="preserve">We have reached out to our legal counsel regarding recent changes to the policy surrounding Holy Days. It has been brought to our attention that some individuals who previously observed these days on a regular basis are now being denied this accommodation. The justification provided for these </w:t>
      </w:r>
      <w:proofErr w:type="gramStart"/>
      <w:r w:rsidRPr="00A57B03">
        <w:t>denials</w:t>
      </w:r>
      <w:proofErr w:type="gramEnd"/>
      <w:r w:rsidRPr="00A57B03">
        <w:t xml:space="preserve"> centres around the need to formally prove religious tradition or beliefs, which must be supported by a written statement from a recognized religious organization. However, this requirement poses challenges for those whose beliefs are more ritualistic in nature and not governed by an official religious figurehead, making it difficult for them to obtain such documentation.</w:t>
      </w:r>
    </w:p>
    <w:p w14:paraId="6E05CB33" w14:textId="77777777" w:rsidR="00A57B03" w:rsidRDefault="00A57B03" w:rsidP="00A57B03">
      <w:r w:rsidRPr="00A57B03">
        <w:t>Currently, further evidence is being collected to present to our lawyer before any decisions are made. It is our hope that, had consultation occurred prior to the implementation of these changes, a compromise might have been reached.</w:t>
      </w:r>
    </w:p>
    <w:p w14:paraId="4483CDF5" w14:textId="77777777" w:rsidR="00A57B03" w:rsidRDefault="00A57B03" w:rsidP="00A57B03">
      <w:pPr>
        <w:pStyle w:val="Heading3"/>
      </w:pPr>
      <w:r>
        <w:t>November 26 Meeting Reflections</w:t>
      </w:r>
    </w:p>
    <w:p w14:paraId="3E66C9E4" w14:textId="77777777" w:rsidR="00A57B03" w:rsidRDefault="00A57B03" w:rsidP="00A57B03">
      <w:r w:rsidRPr="00A57B03">
        <w:t>The meeting held on November 26 was marked by moments of frustration felt by many participants. The Executive acknowledges these challenges and is actively working to resolve internal disagreements to ensure that the standards of past meeting performance are met. It is important to recognize that every member present is new</w:t>
      </w:r>
      <w:r w:rsidRPr="00A57B03">
        <w:rPr>
          <w:rFonts w:hint="eastAsia"/>
        </w:rPr>
        <w:t>—</w:t>
      </w:r>
      <w:r w:rsidRPr="00A57B03">
        <w:t>either serving for the first time as an Executive member or taking on a new position within the organization. As a result, we are experiencing typical growing pains.</w:t>
      </w:r>
    </w:p>
    <w:p w14:paraId="32F71495" w14:textId="5B754F0F" w:rsidR="002A4EEB" w:rsidRDefault="00A57B03" w:rsidP="00A57B03">
      <w:r w:rsidRPr="00A57B03">
        <w:t>Disagreements, whether among Executive members or between members and the Executive, are a natural and necessary part of our process. Our structure is designed to function as a check and balance, which can occasionally lead to heated discussions. Adaptation is essential, and we must move beyond the mentality of "this is the way it has always been." Instead, embracing the grey areas allows us to explore new approaches and find compromises that address the complexities of various situations.</w:t>
      </w:r>
    </w:p>
    <w:p w14:paraId="3D309F67" w14:textId="77777777" w:rsidR="00D85E3E" w:rsidRDefault="00D85E3E" w:rsidP="00D85E3E">
      <w:pPr>
        <w:rPr>
          <w:rFonts w:ascii="Aptos" w:hAnsi="Aptos"/>
          <w:color w:val="000000"/>
        </w:rPr>
      </w:pPr>
      <w:r w:rsidRPr="00D85E3E">
        <w:rPr>
          <w:rFonts w:ascii="Aptos" w:hAnsi="Aptos"/>
          <w:color w:val="000000"/>
        </w:rPr>
        <w:t>Thank you for taking the time to review the information provided.</w:t>
      </w:r>
    </w:p>
    <w:p w14:paraId="18410553" w14:textId="183826AE" w:rsidR="00AB0098" w:rsidRPr="00D85E3E" w:rsidRDefault="00D85E3E" w:rsidP="00D85E3E">
      <w:pPr>
        <w:rPr>
          <w:rFonts w:ascii="Aptos" w:hAnsi="Aptos"/>
          <w:color w:val="000000"/>
        </w:rPr>
      </w:pPr>
      <w:r w:rsidRPr="00D85E3E">
        <w:rPr>
          <w:rFonts w:ascii="Aptos" w:hAnsi="Aptos"/>
          <w:color w:val="000000"/>
        </w:rPr>
        <w:t>Ed Mukanik</w:t>
      </w:r>
    </w:p>
    <w:p w14:paraId="7D606419" w14:textId="1C20F9D8" w:rsidR="00C40D47" w:rsidRPr="003C7E66" w:rsidRDefault="003C7E66" w:rsidP="003A5C14">
      <w:pPr>
        <w:jc w:val="center"/>
        <w:rPr>
          <w:sz w:val="40"/>
          <w:szCs w:val="40"/>
        </w:rPr>
      </w:pPr>
      <w:r w:rsidRPr="003C7E66">
        <w:rPr>
          <w:sz w:val="40"/>
          <w:szCs w:val="40"/>
        </w:rPr>
        <w:lastRenderedPageBreak/>
        <w:t>For your information</w:t>
      </w:r>
    </w:p>
    <w:p w14:paraId="33321E0F" w14:textId="0334452B" w:rsidR="00F156B9" w:rsidRDefault="0048097C" w:rsidP="00A57B03">
      <w:r w:rsidRPr="00A15B94">
        <w:rPr>
          <w:b/>
          <w:bCs/>
        </w:rPr>
        <w:t>A</w:t>
      </w:r>
      <w:r>
        <w:t>-FOUNDATIONS &amp;</w:t>
      </w:r>
      <w:r w:rsidR="00C868FA">
        <w:t xml:space="preserve"> BASIC COMMITMENTS </w:t>
      </w:r>
    </w:p>
    <w:p w14:paraId="35CAD19B" w14:textId="3A78466A" w:rsidR="007A44AD" w:rsidRDefault="00F866A2" w:rsidP="00A57B03">
      <w:r>
        <w:t xml:space="preserve">POLICY </w:t>
      </w:r>
      <w:r w:rsidR="007A44AD" w:rsidRPr="00A15B94">
        <w:rPr>
          <w:b/>
          <w:bCs/>
        </w:rPr>
        <w:t xml:space="preserve">ACF </w:t>
      </w:r>
    </w:p>
    <w:p w14:paraId="5CE262D0" w14:textId="610FA02C" w:rsidR="00B24B84" w:rsidRDefault="007A44AD" w:rsidP="00A57B03">
      <w:r>
        <w:t>RESPECT FOR HUMAN DIVERSITY</w:t>
      </w:r>
    </w:p>
    <w:p w14:paraId="10AD0FAE" w14:textId="77777777" w:rsidR="007A44AD" w:rsidRDefault="00B24B84" w:rsidP="00A57B03">
      <w:r>
        <w:t>The River East Transcona School Division recognizes that the underlying principle of human rights is the recognition of the individual worth and dignity of every person. Furthermore, the school division believes in and adheres to the principles and beliefs enshrined in the Manitoba Human Rights Code.</w:t>
      </w:r>
    </w:p>
    <w:p w14:paraId="1AE0C085" w14:textId="77777777" w:rsidR="00745B3F" w:rsidRDefault="00B24B84" w:rsidP="00A57B03">
      <w:r>
        <w:t xml:space="preserve"> All members of the River East Transcona School Division community have the right to learn and work in a safe and inclusive school environment that respects human diversity in all its forms encompassed in the Manitoba Human Rights Code. </w:t>
      </w:r>
    </w:p>
    <w:p w14:paraId="1630D9C6" w14:textId="77777777" w:rsidR="00745B3F" w:rsidRDefault="00B24B84" w:rsidP="00A57B03">
      <w:r>
        <w:t xml:space="preserve">To support an inclusive school environment that respects human diversity, the division will provide opportunities for training and professional development that increases the capacity of staff to teach and support pupils on issues regarding all aspects of human diversity. </w:t>
      </w:r>
    </w:p>
    <w:p w14:paraId="5FFA892A" w14:textId="77777777" w:rsidR="00982E8B" w:rsidRDefault="00B24B84" w:rsidP="00A57B03">
      <w:r>
        <w:t>Furthermore, the school division will accommodate pupils who wish to establish and lead groups or activities that promote respect for human diversity and a positive school environment that is inclusive and accepting of all pupils.</w:t>
      </w:r>
    </w:p>
    <w:p w14:paraId="52F30C07" w14:textId="77777777" w:rsidR="00982E8B" w:rsidRDefault="00B24B84" w:rsidP="00407F36">
      <w:pPr>
        <w:pStyle w:val="NoSpacing"/>
      </w:pPr>
      <w:r>
        <w:t xml:space="preserve"> Effective Date: March 18, </w:t>
      </w:r>
      <w:proofErr w:type="gramStart"/>
      <w:r>
        <w:t>2014</w:t>
      </w:r>
      <w:proofErr w:type="gramEnd"/>
      <w:r>
        <w:t xml:space="preserve"> Review Date: October 9, 2019 </w:t>
      </w:r>
    </w:p>
    <w:p w14:paraId="3C273028" w14:textId="77777777" w:rsidR="00BD638E" w:rsidRDefault="00B24B84" w:rsidP="00407F36">
      <w:pPr>
        <w:pStyle w:val="NoSpacing"/>
      </w:pPr>
      <w:r>
        <w:t>Amended Date: Board Motion(s):</w:t>
      </w:r>
    </w:p>
    <w:p w14:paraId="36A29166" w14:textId="77777777" w:rsidR="00BD638E" w:rsidRDefault="00B24B84" w:rsidP="00407F36">
      <w:pPr>
        <w:pStyle w:val="NoSpacing"/>
      </w:pPr>
      <w:r>
        <w:t xml:space="preserve"> 84/14 Legal/Cross Reference:</w:t>
      </w:r>
    </w:p>
    <w:p w14:paraId="1F4EF474" w14:textId="77777777" w:rsidR="007F208A" w:rsidRDefault="00B24B84" w:rsidP="00407F36">
      <w:pPr>
        <w:pStyle w:val="NoSpacing"/>
      </w:pPr>
      <w:r>
        <w:t xml:space="preserve"> Canadian Charter of Rights and Freedoms; Manitoba Human Rights </w:t>
      </w:r>
      <w:proofErr w:type="gramStart"/>
      <w:r>
        <w:t>Code;</w:t>
      </w:r>
      <w:proofErr w:type="gramEnd"/>
    </w:p>
    <w:p w14:paraId="40DD1D53" w14:textId="77777777" w:rsidR="007321E3" w:rsidRDefault="00B24B84" w:rsidP="00407F36">
      <w:pPr>
        <w:pStyle w:val="NoSpacing"/>
      </w:pPr>
      <w:r>
        <w:t xml:space="preserve"> PSA 41(</w:t>
      </w:r>
      <w:proofErr w:type="gramStart"/>
      <w:r>
        <w:t>1)(</w:t>
      </w:r>
      <w:proofErr w:type="gramEnd"/>
      <w:r>
        <w:t xml:space="preserve">b.4), 41(1.6-1.8), 47.1; AC </w:t>
      </w:r>
    </w:p>
    <w:p w14:paraId="0556B3C4" w14:textId="77777777" w:rsidR="007321E3" w:rsidRDefault="00B24B84" w:rsidP="00407F36">
      <w:pPr>
        <w:pStyle w:val="NoSpacing"/>
      </w:pPr>
      <w:r>
        <w:t xml:space="preserve">Human Rights; ACD-Religious </w:t>
      </w:r>
      <w:proofErr w:type="gramStart"/>
      <w:r>
        <w:t>Accommodation;</w:t>
      </w:r>
      <w:proofErr w:type="gramEnd"/>
      <w:r>
        <w:t xml:space="preserve"> </w:t>
      </w:r>
    </w:p>
    <w:p w14:paraId="711AB58A" w14:textId="77777777" w:rsidR="006D5858" w:rsidRDefault="00B24B84" w:rsidP="00407F36">
      <w:pPr>
        <w:pStyle w:val="NoSpacing"/>
      </w:pPr>
      <w:r>
        <w:t xml:space="preserve">JB-Appropriate Educational Programming; JICDAA-Safe Caring and Respectful </w:t>
      </w:r>
      <w:proofErr w:type="gramStart"/>
      <w:r>
        <w:t>Schools;</w:t>
      </w:r>
      <w:proofErr w:type="gramEnd"/>
      <w:r>
        <w:t xml:space="preserve"> </w:t>
      </w:r>
    </w:p>
    <w:p w14:paraId="23F11473" w14:textId="61F64332" w:rsidR="00CB4773" w:rsidRDefault="00B24B84" w:rsidP="00407F36">
      <w:pPr>
        <w:pStyle w:val="NoSpacing"/>
      </w:pPr>
      <w:r>
        <w:t>JICDAB Freedom from Bullying; JICDAC-Threat Assessment</w:t>
      </w:r>
    </w:p>
    <w:p w14:paraId="69CE4643" w14:textId="77777777" w:rsidR="00407F36" w:rsidRPr="005054AA" w:rsidRDefault="00407F36" w:rsidP="00407F36">
      <w:pPr>
        <w:pStyle w:val="NoSpacing"/>
        <w:rPr>
          <w:sz w:val="36"/>
          <w:szCs w:val="36"/>
        </w:rPr>
      </w:pPr>
    </w:p>
    <w:p w14:paraId="62E6792F" w14:textId="78AB424F" w:rsidR="00592B69" w:rsidRDefault="00E4652E" w:rsidP="00A57B03">
      <w:pPr>
        <w:rPr>
          <w:b/>
          <w:bCs/>
          <w:sz w:val="36"/>
          <w:szCs w:val="36"/>
        </w:rPr>
      </w:pPr>
      <w:r w:rsidRPr="005054AA">
        <w:rPr>
          <w:b/>
          <w:bCs/>
          <w:sz w:val="36"/>
          <w:szCs w:val="36"/>
        </w:rPr>
        <w:t xml:space="preserve">Found under </w:t>
      </w:r>
      <w:r w:rsidR="00407F36" w:rsidRPr="005054AA">
        <w:rPr>
          <w:b/>
          <w:bCs/>
          <w:sz w:val="36"/>
          <w:szCs w:val="36"/>
        </w:rPr>
        <w:t>P</w:t>
      </w:r>
      <w:r w:rsidRPr="005054AA">
        <w:rPr>
          <w:b/>
          <w:bCs/>
          <w:sz w:val="36"/>
          <w:szCs w:val="36"/>
        </w:rPr>
        <w:t xml:space="preserve">olicies on </w:t>
      </w:r>
      <w:r w:rsidR="00134161" w:rsidRPr="005054AA">
        <w:rPr>
          <w:b/>
          <w:bCs/>
          <w:sz w:val="36"/>
          <w:szCs w:val="36"/>
        </w:rPr>
        <w:t>River East Transcona Website</w:t>
      </w:r>
    </w:p>
    <w:p w14:paraId="0BC026FC" w14:textId="04723A14" w:rsidR="00592B69" w:rsidRDefault="00E95FAF" w:rsidP="00A57B03">
      <w:hyperlink r:id="rId6" w:anchor="link1" w:history="1">
        <w:r>
          <w:rPr>
            <w:rStyle w:val="Hyperlink"/>
          </w:rPr>
          <w:t>Policies</w:t>
        </w:r>
      </w:hyperlink>
    </w:p>
    <w:p w14:paraId="39279088" w14:textId="77777777" w:rsidR="00E95FAF" w:rsidRPr="00592B69" w:rsidRDefault="00E95FAF" w:rsidP="00A57B03">
      <w:pPr>
        <w:rPr>
          <w:b/>
          <w:bCs/>
          <w:sz w:val="36"/>
          <w:szCs w:val="36"/>
        </w:rPr>
      </w:pPr>
    </w:p>
    <w:sectPr w:rsidR="00E95FAF" w:rsidRPr="00592B6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D6FB" w14:textId="77777777" w:rsidR="00D33C5D" w:rsidRDefault="00D33C5D" w:rsidP="00E35495">
      <w:pPr>
        <w:spacing w:after="0" w:line="240" w:lineRule="auto"/>
      </w:pPr>
      <w:r>
        <w:separator/>
      </w:r>
    </w:p>
  </w:endnote>
  <w:endnote w:type="continuationSeparator" w:id="0">
    <w:p w14:paraId="6ED3C917" w14:textId="77777777" w:rsidR="00D33C5D" w:rsidRDefault="00D33C5D" w:rsidP="00E3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B508" w14:textId="77777777" w:rsidR="00D33C5D" w:rsidRDefault="00D33C5D" w:rsidP="00E35495">
      <w:pPr>
        <w:spacing w:after="0" w:line="240" w:lineRule="auto"/>
      </w:pPr>
      <w:r>
        <w:separator/>
      </w:r>
    </w:p>
  </w:footnote>
  <w:footnote w:type="continuationSeparator" w:id="0">
    <w:p w14:paraId="62B87413" w14:textId="77777777" w:rsidR="00D33C5D" w:rsidRDefault="00D33C5D" w:rsidP="00E35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20C8" w14:textId="4584FBB0" w:rsidR="00E35495" w:rsidRPr="00E35495" w:rsidRDefault="00E35495">
    <w:pPr>
      <w:pStyle w:val="Header"/>
      <w:rPr>
        <w:rFonts w:ascii="Times New Roman" w:hAnsi="Times New Roman"/>
        <w:lang w:val="en-US"/>
      </w:rPr>
    </w:pPr>
    <w:r>
      <w:rPr>
        <w:rFonts w:ascii="Times New Roman" w:hAnsi="Times New Roman"/>
        <w:lang w:val="en-US"/>
      </w:rPr>
      <w:t xml:space="preserve">Presidents Report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95"/>
    <w:rsid w:val="000068AC"/>
    <w:rsid w:val="00055688"/>
    <w:rsid w:val="00061741"/>
    <w:rsid w:val="00095BEF"/>
    <w:rsid w:val="00134161"/>
    <w:rsid w:val="001446DB"/>
    <w:rsid w:val="001A2A24"/>
    <w:rsid w:val="002A4EEB"/>
    <w:rsid w:val="00326650"/>
    <w:rsid w:val="00373C1C"/>
    <w:rsid w:val="003A5C14"/>
    <w:rsid w:val="003C7E66"/>
    <w:rsid w:val="004058FD"/>
    <w:rsid w:val="00407F36"/>
    <w:rsid w:val="004167F0"/>
    <w:rsid w:val="00434AA4"/>
    <w:rsid w:val="0048097C"/>
    <w:rsid w:val="00486738"/>
    <w:rsid w:val="004A0D4C"/>
    <w:rsid w:val="005054AA"/>
    <w:rsid w:val="0052165B"/>
    <w:rsid w:val="00525802"/>
    <w:rsid w:val="00560072"/>
    <w:rsid w:val="00582160"/>
    <w:rsid w:val="00592B69"/>
    <w:rsid w:val="006D5858"/>
    <w:rsid w:val="007321E3"/>
    <w:rsid w:val="00745B3F"/>
    <w:rsid w:val="007A44AD"/>
    <w:rsid w:val="007C5E47"/>
    <w:rsid w:val="007E1C08"/>
    <w:rsid w:val="007F208A"/>
    <w:rsid w:val="007F6D28"/>
    <w:rsid w:val="00951459"/>
    <w:rsid w:val="00982E8B"/>
    <w:rsid w:val="009D33BE"/>
    <w:rsid w:val="009F4C6B"/>
    <w:rsid w:val="00A15B94"/>
    <w:rsid w:val="00A5552F"/>
    <w:rsid w:val="00A57B03"/>
    <w:rsid w:val="00AB0098"/>
    <w:rsid w:val="00B24B84"/>
    <w:rsid w:val="00B32464"/>
    <w:rsid w:val="00B7645D"/>
    <w:rsid w:val="00BD0F9C"/>
    <w:rsid w:val="00BD638E"/>
    <w:rsid w:val="00C32507"/>
    <w:rsid w:val="00C40D47"/>
    <w:rsid w:val="00C63B52"/>
    <w:rsid w:val="00C868FA"/>
    <w:rsid w:val="00CB4773"/>
    <w:rsid w:val="00CE090A"/>
    <w:rsid w:val="00D33C5D"/>
    <w:rsid w:val="00D52E89"/>
    <w:rsid w:val="00D85E3E"/>
    <w:rsid w:val="00E35495"/>
    <w:rsid w:val="00E4652E"/>
    <w:rsid w:val="00E95FAF"/>
    <w:rsid w:val="00EF1B5C"/>
    <w:rsid w:val="00EF6F3A"/>
    <w:rsid w:val="00EF728A"/>
    <w:rsid w:val="00F02910"/>
    <w:rsid w:val="00F156B9"/>
    <w:rsid w:val="00F866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1555"/>
  <w15:chartTrackingRefBased/>
  <w15:docId w15:val="{971F94A8-30B2-480D-8787-A6D8823A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5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5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5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5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495"/>
    <w:rPr>
      <w:rFonts w:eastAsiaTheme="majorEastAsia" w:cstheme="majorBidi"/>
      <w:color w:val="272727" w:themeColor="text1" w:themeTint="D8"/>
    </w:rPr>
  </w:style>
  <w:style w:type="paragraph" w:styleId="Title">
    <w:name w:val="Title"/>
    <w:basedOn w:val="Normal"/>
    <w:next w:val="Normal"/>
    <w:link w:val="TitleChar"/>
    <w:uiPriority w:val="10"/>
    <w:qFormat/>
    <w:rsid w:val="00E35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495"/>
    <w:pPr>
      <w:spacing w:before="160"/>
      <w:jc w:val="center"/>
    </w:pPr>
    <w:rPr>
      <w:i/>
      <w:iCs/>
      <w:color w:val="404040" w:themeColor="text1" w:themeTint="BF"/>
    </w:rPr>
  </w:style>
  <w:style w:type="character" w:customStyle="1" w:styleId="QuoteChar">
    <w:name w:val="Quote Char"/>
    <w:basedOn w:val="DefaultParagraphFont"/>
    <w:link w:val="Quote"/>
    <w:uiPriority w:val="29"/>
    <w:rsid w:val="00E35495"/>
    <w:rPr>
      <w:i/>
      <w:iCs/>
      <w:color w:val="404040" w:themeColor="text1" w:themeTint="BF"/>
    </w:rPr>
  </w:style>
  <w:style w:type="paragraph" w:styleId="ListParagraph">
    <w:name w:val="List Paragraph"/>
    <w:basedOn w:val="Normal"/>
    <w:uiPriority w:val="34"/>
    <w:qFormat/>
    <w:rsid w:val="00E35495"/>
    <w:pPr>
      <w:ind w:left="720"/>
      <w:contextualSpacing/>
    </w:pPr>
  </w:style>
  <w:style w:type="character" w:styleId="IntenseEmphasis">
    <w:name w:val="Intense Emphasis"/>
    <w:basedOn w:val="DefaultParagraphFont"/>
    <w:uiPriority w:val="21"/>
    <w:qFormat/>
    <w:rsid w:val="00E35495"/>
    <w:rPr>
      <w:i/>
      <w:iCs/>
      <w:color w:val="0F4761" w:themeColor="accent1" w:themeShade="BF"/>
    </w:rPr>
  </w:style>
  <w:style w:type="paragraph" w:styleId="IntenseQuote">
    <w:name w:val="Intense Quote"/>
    <w:basedOn w:val="Normal"/>
    <w:next w:val="Normal"/>
    <w:link w:val="IntenseQuoteChar"/>
    <w:uiPriority w:val="30"/>
    <w:qFormat/>
    <w:rsid w:val="00E35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495"/>
    <w:rPr>
      <w:i/>
      <w:iCs/>
      <w:color w:val="0F4761" w:themeColor="accent1" w:themeShade="BF"/>
    </w:rPr>
  </w:style>
  <w:style w:type="character" w:styleId="IntenseReference">
    <w:name w:val="Intense Reference"/>
    <w:basedOn w:val="DefaultParagraphFont"/>
    <w:uiPriority w:val="32"/>
    <w:qFormat/>
    <w:rsid w:val="00E35495"/>
    <w:rPr>
      <w:b/>
      <w:bCs/>
      <w:smallCaps/>
      <w:color w:val="0F4761" w:themeColor="accent1" w:themeShade="BF"/>
      <w:spacing w:val="5"/>
    </w:rPr>
  </w:style>
  <w:style w:type="paragraph" w:styleId="Header">
    <w:name w:val="header"/>
    <w:basedOn w:val="Normal"/>
    <w:link w:val="HeaderChar"/>
    <w:uiPriority w:val="99"/>
    <w:unhideWhenUsed/>
    <w:rsid w:val="00E35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495"/>
  </w:style>
  <w:style w:type="paragraph" w:styleId="Footer">
    <w:name w:val="footer"/>
    <w:basedOn w:val="Normal"/>
    <w:link w:val="FooterChar"/>
    <w:uiPriority w:val="99"/>
    <w:unhideWhenUsed/>
    <w:rsid w:val="00E35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495"/>
  </w:style>
  <w:style w:type="paragraph" w:styleId="NoSpacing">
    <w:name w:val="No Spacing"/>
    <w:uiPriority w:val="1"/>
    <w:qFormat/>
    <w:rsid w:val="00407F36"/>
    <w:pPr>
      <w:spacing w:after="0" w:line="240" w:lineRule="auto"/>
    </w:pPr>
  </w:style>
  <w:style w:type="character" w:styleId="Hyperlink">
    <w:name w:val="Hyperlink"/>
    <w:basedOn w:val="DefaultParagraphFont"/>
    <w:uiPriority w:val="99"/>
    <w:semiHidden/>
    <w:unhideWhenUsed/>
    <w:rsid w:val="005054AA"/>
    <w:rPr>
      <w:color w:val="0000FF"/>
      <w:u w:val="single"/>
    </w:rPr>
  </w:style>
  <w:style w:type="character" w:styleId="FollowedHyperlink">
    <w:name w:val="FollowedHyperlink"/>
    <w:basedOn w:val="DefaultParagraphFont"/>
    <w:uiPriority w:val="99"/>
    <w:semiHidden/>
    <w:unhideWhenUsed/>
    <w:rsid w:val="004167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tsd.mb.ca/polici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1241</Words>
  <Characters>7114</Characters>
  <Application>Microsoft Office Word</Application>
  <DocSecurity>0</DocSecurity>
  <Lines>123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RETEAA President</dc:creator>
  <cp:keywords/>
  <dc:description/>
  <cp:lastModifiedBy>RETEAA President</cp:lastModifiedBy>
  <cp:revision>38</cp:revision>
  <dcterms:created xsi:type="dcterms:W3CDTF">2025-12-30T15:21:00Z</dcterms:created>
  <dcterms:modified xsi:type="dcterms:W3CDTF">2026-03-27T19:58:00Z</dcterms:modified>
</cp:coreProperties>
</file>