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A2C3" w14:textId="77777777" w:rsidR="000C532A" w:rsidRDefault="000C532A" w:rsidP="003C774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Hornby Island Community Fund</w:t>
      </w:r>
    </w:p>
    <w:p w14:paraId="1C16CC25" w14:textId="77777777" w:rsidR="000C532A" w:rsidRDefault="000C532A" w:rsidP="003C774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BB0DB7B" w14:textId="3AC469AC" w:rsidR="00BD4F21" w:rsidRDefault="00A60BCB" w:rsidP="003C774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A1902">
        <w:rPr>
          <w:rFonts w:ascii="Times New Roman" w:hAnsi="Times New Roman" w:cs="Times New Roman"/>
          <w:b/>
          <w:bCs/>
          <w:sz w:val="48"/>
          <w:szCs w:val="48"/>
        </w:rPr>
        <w:t xml:space="preserve">How </w:t>
      </w:r>
      <w:r w:rsidR="000F0DBD" w:rsidRPr="009A1902">
        <w:rPr>
          <w:rFonts w:ascii="Times New Roman" w:hAnsi="Times New Roman" w:cs="Times New Roman"/>
          <w:b/>
          <w:bCs/>
          <w:sz w:val="48"/>
          <w:szCs w:val="48"/>
        </w:rPr>
        <w:t xml:space="preserve">We </w:t>
      </w:r>
      <w:r w:rsidR="00B16C00" w:rsidRPr="009A1902">
        <w:rPr>
          <w:rFonts w:ascii="Times New Roman" w:hAnsi="Times New Roman" w:cs="Times New Roman"/>
          <w:b/>
          <w:bCs/>
          <w:sz w:val="48"/>
          <w:szCs w:val="48"/>
        </w:rPr>
        <w:t>Grant</w:t>
      </w:r>
    </w:p>
    <w:p w14:paraId="41187F65" w14:textId="77777777" w:rsidR="000C532A" w:rsidRDefault="000C532A" w:rsidP="003C774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C477F9A" w14:textId="77777777" w:rsidR="000C532A" w:rsidRPr="009A1902" w:rsidRDefault="000C532A" w:rsidP="000C532A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2CE19001" w14:textId="22ED53CB" w:rsidR="143BBB0B" w:rsidRDefault="143BBB0B" w:rsidP="79AE5CD5">
      <w:pPr>
        <w:pStyle w:val="ListParagraph"/>
        <w:numPr>
          <w:ilvl w:val="0"/>
          <w:numId w:val="5"/>
        </w:numPr>
        <w:rPr>
          <w:sz w:val="40"/>
          <w:szCs w:val="40"/>
        </w:rPr>
      </w:pPr>
      <w:r w:rsidRPr="79AE5CD5">
        <w:rPr>
          <w:sz w:val="40"/>
          <w:szCs w:val="40"/>
        </w:rPr>
        <w:t>Process overview</w:t>
      </w:r>
    </w:p>
    <w:p w14:paraId="2B78977F" w14:textId="472F5E4A" w:rsidR="00B16C00" w:rsidRDefault="00EB4846" w:rsidP="00B16C00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 xml:space="preserve">Current </w:t>
      </w:r>
      <w:r w:rsidR="00EF5337">
        <w:rPr>
          <w:sz w:val="40"/>
          <w:szCs w:val="40"/>
        </w:rPr>
        <w:t>F</w:t>
      </w:r>
      <w:r w:rsidR="4FDF28C0" w:rsidRPr="79AE5CD5">
        <w:rPr>
          <w:sz w:val="40"/>
          <w:szCs w:val="40"/>
        </w:rPr>
        <w:t>ocus</w:t>
      </w:r>
    </w:p>
    <w:p w14:paraId="7D5BDF6F" w14:textId="56CC5D33" w:rsidR="00A774F9" w:rsidRDefault="00EF5337" w:rsidP="00B16C00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Eligibility</w:t>
      </w:r>
    </w:p>
    <w:p w14:paraId="5DAE8662" w14:textId="2ACA60A3" w:rsidR="00B16C00" w:rsidRDefault="00B16C00" w:rsidP="00B16C00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Key dates and timing</w:t>
      </w:r>
    </w:p>
    <w:p w14:paraId="4B2BE020" w14:textId="58D718FD" w:rsidR="00B16C00" w:rsidRDefault="00B16C00" w:rsidP="003C7745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Evaluation criteria</w:t>
      </w:r>
    </w:p>
    <w:p w14:paraId="61793D0F" w14:textId="77777777" w:rsidR="003C7745" w:rsidRDefault="003C7745" w:rsidP="003C7745">
      <w:pPr>
        <w:pStyle w:val="ListParagraph"/>
        <w:rPr>
          <w:sz w:val="40"/>
          <w:szCs w:val="40"/>
        </w:rPr>
      </w:pPr>
    </w:p>
    <w:p w14:paraId="27CC9216" w14:textId="77777777" w:rsidR="000C532A" w:rsidRDefault="000C532A" w:rsidP="003C7745">
      <w:pPr>
        <w:pStyle w:val="ListParagraph"/>
        <w:rPr>
          <w:sz w:val="40"/>
          <w:szCs w:val="40"/>
        </w:rPr>
      </w:pPr>
    </w:p>
    <w:p w14:paraId="42A55E2F" w14:textId="77777777" w:rsidR="000C532A" w:rsidRDefault="000C532A" w:rsidP="003C7745">
      <w:pPr>
        <w:pStyle w:val="ListParagraph"/>
        <w:rPr>
          <w:sz w:val="40"/>
          <w:szCs w:val="40"/>
        </w:rPr>
      </w:pPr>
    </w:p>
    <w:p w14:paraId="2202C75C" w14:textId="77777777" w:rsidR="000C532A" w:rsidRDefault="000C532A" w:rsidP="003C7745">
      <w:pPr>
        <w:pStyle w:val="ListParagraph"/>
        <w:rPr>
          <w:sz w:val="40"/>
          <w:szCs w:val="40"/>
        </w:rPr>
      </w:pPr>
    </w:p>
    <w:p w14:paraId="09E18ED7" w14:textId="77777777" w:rsidR="000C532A" w:rsidRDefault="000C532A" w:rsidP="003C7745">
      <w:pPr>
        <w:pStyle w:val="ListParagraph"/>
        <w:rPr>
          <w:sz w:val="40"/>
          <w:szCs w:val="40"/>
        </w:rPr>
      </w:pPr>
    </w:p>
    <w:p w14:paraId="601F78F8" w14:textId="77777777" w:rsidR="000C532A" w:rsidRDefault="000C532A" w:rsidP="003C7745">
      <w:pPr>
        <w:pStyle w:val="ListParagraph"/>
        <w:rPr>
          <w:sz w:val="40"/>
          <w:szCs w:val="40"/>
        </w:rPr>
      </w:pPr>
    </w:p>
    <w:p w14:paraId="29D7FAEC" w14:textId="77777777" w:rsidR="000C532A" w:rsidRDefault="000C532A" w:rsidP="003C7745">
      <w:pPr>
        <w:pStyle w:val="ListParagraph"/>
        <w:rPr>
          <w:sz w:val="40"/>
          <w:szCs w:val="40"/>
        </w:rPr>
      </w:pPr>
    </w:p>
    <w:p w14:paraId="1BE0CFDF" w14:textId="77777777" w:rsidR="000C532A" w:rsidRDefault="000C532A" w:rsidP="003C7745">
      <w:pPr>
        <w:pStyle w:val="ListParagraph"/>
        <w:rPr>
          <w:sz w:val="40"/>
          <w:szCs w:val="40"/>
        </w:rPr>
      </w:pPr>
    </w:p>
    <w:p w14:paraId="7B638950" w14:textId="77777777" w:rsidR="000C532A" w:rsidRDefault="000C532A" w:rsidP="003C7745">
      <w:pPr>
        <w:pStyle w:val="ListParagraph"/>
        <w:rPr>
          <w:sz w:val="40"/>
          <w:szCs w:val="40"/>
        </w:rPr>
      </w:pPr>
    </w:p>
    <w:p w14:paraId="68FDC801" w14:textId="77777777" w:rsidR="000C532A" w:rsidRDefault="000C532A" w:rsidP="003C7745">
      <w:pPr>
        <w:pStyle w:val="ListParagraph"/>
        <w:rPr>
          <w:sz w:val="40"/>
          <w:szCs w:val="40"/>
        </w:rPr>
      </w:pPr>
    </w:p>
    <w:p w14:paraId="390755A0" w14:textId="77777777" w:rsidR="000C532A" w:rsidRDefault="000C532A" w:rsidP="003C7745">
      <w:pPr>
        <w:pStyle w:val="ListParagraph"/>
        <w:rPr>
          <w:sz w:val="40"/>
          <w:szCs w:val="40"/>
        </w:rPr>
      </w:pPr>
    </w:p>
    <w:p w14:paraId="54B97F49" w14:textId="77777777" w:rsidR="000C532A" w:rsidRDefault="000C532A" w:rsidP="003C7745">
      <w:pPr>
        <w:pStyle w:val="ListParagraph"/>
        <w:rPr>
          <w:sz w:val="40"/>
          <w:szCs w:val="40"/>
        </w:rPr>
      </w:pPr>
    </w:p>
    <w:p w14:paraId="67178B1D" w14:textId="6B314477" w:rsidR="3B85828D" w:rsidRDefault="3B85828D" w:rsidP="79AE5CD5">
      <w:pPr>
        <w:pStyle w:val="ListParagraph"/>
        <w:ind w:left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79AE5CD5"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>Process Overview</w:t>
      </w:r>
    </w:p>
    <w:p w14:paraId="142F93B8" w14:textId="2326EDC0" w:rsidR="79AE5CD5" w:rsidRDefault="79AE5CD5" w:rsidP="79AE5CD5">
      <w:pPr>
        <w:pStyle w:val="ListParagraph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238839" w14:textId="75BC69DA" w:rsidR="5DAEF4B1" w:rsidRPr="00B45B4C" w:rsidRDefault="5DAEF4B1" w:rsidP="79AE5CD5">
      <w:pPr>
        <w:pStyle w:val="ListParagraph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5B4C">
        <w:rPr>
          <w:rFonts w:ascii="Times New Roman" w:eastAsia="Times New Roman" w:hAnsi="Times New Roman" w:cs="Times New Roman"/>
          <w:sz w:val="28"/>
          <w:szCs w:val="28"/>
        </w:rPr>
        <w:t xml:space="preserve">HICFS will have one annual grant </w:t>
      </w:r>
      <w:r w:rsidR="00BC7DEB">
        <w:rPr>
          <w:rFonts w:ascii="Times New Roman" w:eastAsia="Times New Roman" w:hAnsi="Times New Roman" w:cs="Times New Roman"/>
          <w:sz w:val="28"/>
          <w:szCs w:val="28"/>
        </w:rPr>
        <w:t>cycle</w:t>
      </w:r>
      <w:r w:rsidR="682C523A" w:rsidRPr="00B45B4C">
        <w:rPr>
          <w:rFonts w:ascii="Times New Roman" w:eastAsia="Times New Roman" w:hAnsi="Times New Roman" w:cs="Times New Roman"/>
          <w:sz w:val="28"/>
          <w:szCs w:val="28"/>
        </w:rPr>
        <w:t xml:space="preserve">. It will advertise the opening of the grant </w:t>
      </w:r>
      <w:r w:rsidR="00BC7DEB">
        <w:rPr>
          <w:rFonts w:ascii="Times New Roman" w:eastAsia="Times New Roman" w:hAnsi="Times New Roman" w:cs="Times New Roman"/>
          <w:sz w:val="28"/>
          <w:szCs w:val="28"/>
        </w:rPr>
        <w:t xml:space="preserve">applications window </w:t>
      </w:r>
      <w:r w:rsidR="00C96BD8">
        <w:rPr>
          <w:rFonts w:ascii="Times New Roman" w:eastAsia="Times New Roman" w:hAnsi="Times New Roman" w:cs="Times New Roman"/>
          <w:sz w:val="28"/>
          <w:szCs w:val="28"/>
        </w:rPr>
        <w:t xml:space="preserve">indicating </w:t>
      </w:r>
      <w:r w:rsidR="000F0DBD" w:rsidRPr="00B45B4C">
        <w:rPr>
          <w:rFonts w:ascii="Times New Roman" w:eastAsia="Times New Roman" w:hAnsi="Times New Roman" w:cs="Times New Roman"/>
          <w:sz w:val="28"/>
          <w:szCs w:val="28"/>
        </w:rPr>
        <w:t>key dates and deliverables</w:t>
      </w:r>
      <w:r w:rsidR="006968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0BDF" w:rsidRPr="00B45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E49" w:rsidRPr="00B45B4C">
        <w:rPr>
          <w:rFonts w:ascii="Times New Roman" w:eastAsia="Times New Roman" w:hAnsi="Times New Roman" w:cs="Times New Roman"/>
          <w:sz w:val="28"/>
          <w:szCs w:val="28"/>
        </w:rPr>
        <w:t xml:space="preserve">including </w:t>
      </w:r>
      <w:r w:rsidR="74D8717D" w:rsidRPr="00B45B4C">
        <w:rPr>
          <w:rFonts w:ascii="Times New Roman" w:eastAsia="Times New Roman" w:hAnsi="Times New Roman" w:cs="Times New Roman"/>
          <w:sz w:val="28"/>
          <w:szCs w:val="28"/>
        </w:rPr>
        <w:t>the deadline for applications</w:t>
      </w:r>
      <w:r w:rsidR="0069686B">
        <w:rPr>
          <w:rFonts w:ascii="Times New Roman" w:eastAsia="Times New Roman" w:hAnsi="Times New Roman" w:cs="Times New Roman"/>
          <w:sz w:val="28"/>
          <w:szCs w:val="28"/>
        </w:rPr>
        <w:t>,</w:t>
      </w:r>
      <w:r w:rsidR="74D8717D" w:rsidRPr="00B45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BDF" w:rsidRPr="00B45B4C">
        <w:rPr>
          <w:rFonts w:ascii="Times New Roman" w:eastAsia="Times New Roman" w:hAnsi="Times New Roman" w:cs="Times New Roman"/>
          <w:sz w:val="28"/>
          <w:szCs w:val="28"/>
        </w:rPr>
        <w:t xml:space="preserve">along with an </w:t>
      </w:r>
      <w:r w:rsidR="74D8717D" w:rsidRPr="00B45B4C">
        <w:rPr>
          <w:rFonts w:ascii="Times New Roman" w:eastAsia="Times New Roman" w:hAnsi="Times New Roman" w:cs="Times New Roman"/>
          <w:sz w:val="28"/>
          <w:szCs w:val="28"/>
        </w:rPr>
        <w:t xml:space="preserve">estimate of funds available.  </w:t>
      </w:r>
      <w:r w:rsidR="682C523A" w:rsidRPr="00B45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FCEF157" w14:textId="48FCDFD5" w:rsidR="00DF4F22" w:rsidRDefault="00EB4846" w:rsidP="00BD4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  <w:t xml:space="preserve">Current </w:t>
      </w:r>
      <w:r w:rsidR="00DF4F2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  <w:t>Focus</w:t>
      </w:r>
    </w:p>
    <w:p w14:paraId="612DAF6F" w14:textId="598D8B3A" w:rsidR="00AF6364" w:rsidRPr="000939DC" w:rsidRDefault="00AF6364" w:rsidP="000939D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 w:rsidRPr="000939DC">
        <w:rPr>
          <w:rFonts w:ascii="Times New Roman" w:hAnsi="Times New Roman" w:cs="Times New Roman"/>
          <w:spacing w:val="-2"/>
          <w:w w:val="115"/>
          <w:sz w:val="28"/>
          <w:szCs w:val="28"/>
        </w:rPr>
        <w:t>Capital projects</w:t>
      </w:r>
      <w:r w:rsidR="00EB4846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(see Appendix 1 for </w:t>
      </w:r>
      <w:r w:rsidR="00B47991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expenses </w:t>
      </w:r>
      <w:r w:rsidR="00E43364">
        <w:rPr>
          <w:rFonts w:ascii="Times New Roman" w:hAnsi="Times New Roman" w:cs="Times New Roman"/>
          <w:spacing w:val="-2"/>
          <w:w w:val="115"/>
          <w:sz w:val="28"/>
          <w:szCs w:val="28"/>
        </w:rPr>
        <w:t>or initiatives no</w:t>
      </w:r>
      <w:r w:rsidR="001D32E4">
        <w:rPr>
          <w:rFonts w:ascii="Times New Roman" w:hAnsi="Times New Roman" w:cs="Times New Roman"/>
          <w:spacing w:val="-2"/>
          <w:w w:val="115"/>
          <w:sz w:val="28"/>
          <w:szCs w:val="28"/>
        </w:rPr>
        <w:t>t</w:t>
      </w:r>
      <w:r w:rsidR="00E43364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currently funded)</w:t>
      </w:r>
    </w:p>
    <w:p w14:paraId="104901B2" w14:textId="689ACA54" w:rsidR="000C532A" w:rsidRPr="000C532A" w:rsidRDefault="000939DC" w:rsidP="000C532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</w:pPr>
      <w:r w:rsidRPr="000939D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Sectors: </w:t>
      </w:r>
      <w:r w:rsidR="00DF4F22" w:rsidRPr="000939DC">
        <w:rPr>
          <w:rFonts w:ascii="Times New Roman" w:hAnsi="Times New Roman" w:cs="Times New Roman"/>
          <w:spacing w:val="-2"/>
          <w:w w:val="115"/>
          <w:sz w:val="28"/>
          <w:szCs w:val="28"/>
        </w:rPr>
        <w:t>Health, Education, Recreation, Arts and Culture, Environment, Economic and Social Justice</w:t>
      </w:r>
    </w:p>
    <w:p w14:paraId="780D42B7" w14:textId="579A00E3" w:rsidR="00BD4F21" w:rsidRPr="003C7745" w:rsidRDefault="00EF0333" w:rsidP="00BD4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  <w:t xml:space="preserve">Applicant </w:t>
      </w:r>
      <w:r w:rsidR="003C7745" w:rsidRPr="003C7745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  <w:t>Eligib</w:t>
      </w:r>
      <w:r w:rsidR="0012788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  <w:t>ility</w:t>
      </w:r>
    </w:p>
    <w:p w14:paraId="2FC5536D" w14:textId="14A8AC09" w:rsidR="00BD4F21" w:rsidRPr="00677303" w:rsidRDefault="009F5563" w:rsidP="00BD4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Be a</w:t>
      </w:r>
      <w:r w:rsidR="00BD4F21"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registered </w:t>
      </w:r>
      <w:r w:rsidR="0012788D"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charity or </w:t>
      </w:r>
      <w:r w:rsidR="00677303"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registered </w:t>
      </w:r>
      <w:r w:rsidR="00BD4F21"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non</w:t>
      </w:r>
      <w:r w:rsidR="00BD4F21"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noBreakHyphen/>
        <w:t>profit</w:t>
      </w:r>
      <w:r w:rsidR="0010222A" w:rsidRPr="0010222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en-CA"/>
          <w14:ligatures w14:val="none"/>
        </w:rPr>
        <w:t>1</w:t>
      </w:r>
      <w:r w:rsidR="00BD4F21"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, </w:t>
      </w:r>
      <w:r w:rsidR="00084FBD"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in good standing</w:t>
      </w:r>
      <w:r w:rsidR="005D73DD"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</w:t>
      </w:r>
    </w:p>
    <w:p w14:paraId="401E5AA2" w14:textId="51750763" w:rsidR="00BD4F21" w:rsidRPr="00677303" w:rsidRDefault="00BD4F21" w:rsidP="00BD4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Deliver programs or services </w:t>
      </w:r>
      <w:r w:rsidR="00EB4846"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that benefit </w:t>
      </w:r>
      <w:r w:rsidR="00651EB4"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Hornby Island</w:t>
      </w:r>
    </w:p>
    <w:p w14:paraId="6787D11D" w14:textId="77777777" w:rsidR="00BD4F21" w:rsidRPr="00677303" w:rsidRDefault="00BD4F21" w:rsidP="00BD4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Demonstrate organizational capacity to manage funds responsibly.</w:t>
      </w:r>
    </w:p>
    <w:p w14:paraId="606E44B0" w14:textId="77777777" w:rsidR="00BD4F21" w:rsidRPr="00677303" w:rsidRDefault="00BD4F21" w:rsidP="00BD4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Have no outstanding reporting obligations from previous grants.</w:t>
      </w:r>
    </w:p>
    <w:p w14:paraId="014DF726" w14:textId="77777777" w:rsidR="00BD4F21" w:rsidRPr="00677303" w:rsidRDefault="00BD4F21" w:rsidP="00BD4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677303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Comply with all relevant laws, regulations, and Fund policies.</w:t>
      </w:r>
    </w:p>
    <w:p w14:paraId="1FA65C69" w14:textId="77777777" w:rsidR="000C532A" w:rsidRDefault="00503036" w:rsidP="000C532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F96AC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96AC1">
        <w:rPr>
          <w:rFonts w:ascii="Times New Roman" w:hAnsi="Times New Roman" w:cs="Times New Roman"/>
          <w:sz w:val="20"/>
          <w:szCs w:val="20"/>
        </w:rPr>
        <w:t xml:space="preserve"> </w:t>
      </w:r>
      <w:r w:rsidR="00D752E2" w:rsidRPr="00F96AC1">
        <w:rPr>
          <w:rFonts w:ascii="Times New Roman" w:hAnsi="Times New Roman" w:cs="Times New Roman"/>
          <w:sz w:val="20"/>
          <w:szCs w:val="20"/>
        </w:rPr>
        <w:t>Must have a Sponsorship Agreement with a Registered Charity satisfactory to HICFS</w:t>
      </w:r>
    </w:p>
    <w:p w14:paraId="55560299" w14:textId="0381A512" w:rsidR="000C532A" w:rsidRPr="000C532A" w:rsidRDefault="000C532A" w:rsidP="000C532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0C532A">
        <w:rPr>
          <w:rFonts w:ascii="Times New Roman" w:hAnsi="Times New Roman" w:cs="Times New Roman"/>
          <w:b/>
          <w:bCs/>
          <w:sz w:val="44"/>
          <w:szCs w:val="44"/>
        </w:rPr>
        <w:t xml:space="preserve">Project Ineligibility </w:t>
      </w:r>
    </w:p>
    <w:p w14:paraId="5FAE907B" w14:textId="77777777" w:rsidR="000C532A" w:rsidRPr="00E43364" w:rsidRDefault="000C532A" w:rsidP="000C532A">
      <w:pPr>
        <w:pStyle w:val="ListParagraph"/>
        <w:widowControl w:val="0"/>
        <w:numPr>
          <w:ilvl w:val="0"/>
          <w:numId w:val="6"/>
        </w:numPr>
        <w:tabs>
          <w:tab w:val="left" w:pos="1443"/>
        </w:tabs>
        <w:autoSpaceDE w:val="0"/>
        <w:autoSpaceDN w:val="0"/>
        <w:spacing w:before="100" w:beforeAutospacing="1" w:after="100" w:afterAutospacing="1" w:line="240" w:lineRule="auto"/>
        <w:ind w:left="993"/>
        <w:contextualSpacing w:val="0"/>
        <w:rPr>
          <w:rFonts w:ascii="Times New Roman" w:hAnsi="Times New Roman" w:cs="Times New Roman"/>
          <w:sz w:val="28"/>
          <w:szCs w:val="28"/>
        </w:rPr>
      </w:pPr>
      <w:r w:rsidRPr="00E43364">
        <w:rPr>
          <w:rFonts w:ascii="Times New Roman" w:hAnsi="Times New Roman" w:cs="Times New Roman"/>
          <w:w w:val="115"/>
          <w:sz w:val="28"/>
          <w:szCs w:val="28"/>
        </w:rPr>
        <w:t>deficit</w:t>
      </w:r>
      <w:r w:rsidRPr="00E43364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financing</w:t>
      </w:r>
    </w:p>
    <w:p w14:paraId="46E9A3E9" w14:textId="77777777" w:rsidR="000C532A" w:rsidRPr="00E43364" w:rsidRDefault="000C532A" w:rsidP="000C532A">
      <w:pPr>
        <w:pStyle w:val="ListParagraph"/>
        <w:widowControl w:val="0"/>
        <w:numPr>
          <w:ilvl w:val="0"/>
          <w:numId w:val="6"/>
        </w:numPr>
        <w:tabs>
          <w:tab w:val="left" w:pos="1443"/>
        </w:tabs>
        <w:autoSpaceDE w:val="0"/>
        <w:autoSpaceDN w:val="0"/>
        <w:spacing w:before="100" w:beforeAutospacing="1" w:after="100" w:afterAutospacing="1" w:line="240" w:lineRule="auto"/>
        <w:ind w:left="993"/>
        <w:contextualSpacing w:val="0"/>
        <w:rPr>
          <w:rFonts w:ascii="Times New Roman" w:hAnsi="Times New Roman" w:cs="Times New Roman"/>
          <w:sz w:val="28"/>
          <w:szCs w:val="28"/>
        </w:rPr>
      </w:pPr>
      <w:r w:rsidRPr="00E43364">
        <w:rPr>
          <w:rFonts w:ascii="Times New Roman" w:hAnsi="Times New Roman" w:cs="Times New Roman"/>
          <w:w w:val="110"/>
          <w:sz w:val="28"/>
          <w:szCs w:val="28"/>
        </w:rPr>
        <w:t>endowments</w:t>
      </w:r>
      <w:r w:rsidRPr="00E43364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0"/>
          <w:sz w:val="28"/>
          <w:szCs w:val="28"/>
        </w:rPr>
        <w:t>funds</w:t>
      </w:r>
    </w:p>
    <w:p w14:paraId="0C420AB3" w14:textId="77777777" w:rsidR="000C532A" w:rsidRPr="00E43364" w:rsidRDefault="000C532A" w:rsidP="000C532A">
      <w:pPr>
        <w:pStyle w:val="ListParagraph"/>
        <w:widowControl w:val="0"/>
        <w:numPr>
          <w:ilvl w:val="0"/>
          <w:numId w:val="6"/>
        </w:numPr>
        <w:tabs>
          <w:tab w:val="left" w:pos="1443"/>
        </w:tabs>
        <w:autoSpaceDE w:val="0"/>
        <w:autoSpaceDN w:val="0"/>
        <w:spacing w:before="100" w:beforeAutospacing="1" w:after="100" w:afterAutospacing="1" w:line="240" w:lineRule="auto"/>
        <w:ind w:left="993" w:right="775"/>
        <w:contextualSpacing w:val="0"/>
        <w:rPr>
          <w:rFonts w:ascii="Times New Roman" w:hAnsi="Times New Roman" w:cs="Times New Roman"/>
          <w:sz w:val="28"/>
          <w:szCs w:val="28"/>
        </w:rPr>
      </w:pPr>
      <w:r w:rsidRPr="00E43364">
        <w:rPr>
          <w:rFonts w:ascii="Times New Roman" w:hAnsi="Times New Roman" w:cs="Times New Roman"/>
          <w:w w:val="115"/>
          <w:sz w:val="28"/>
          <w:szCs w:val="28"/>
        </w:rPr>
        <w:t>fund</w:t>
      </w:r>
      <w:r w:rsidRPr="00E43364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projects</w:t>
      </w:r>
      <w:r w:rsidRPr="00E4336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that</w:t>
      </w:r>
      <w:r w:rsidRPr="00E4336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impact</w:t>
      </w:r>
      <w:r w:rsidRPr="00E4336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residents</w:t>
      </w:r>
      <w:r w:rsidRPr="00E4336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outside</w:t>
      </w:r>
      <w:r w:rsidRPr="00E4336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of</w:t>
      </w:r>
      <w:r w:rsidRPr="00E4336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Hornby Island</w:t>
      </w:r>
    </w:p>
    <w:p w14:paraId="5CA11B77" w14:textId="77777777" w:rsidR="000C532A" w:rsidRPr="00E43364" w:rsidRDefault="000C532A" w:rsidP="000C532A">
      <w:pPr>
        <w:pStyle w:val="ListParagraph"/>
        <w:widowControl w:val="0"/>
        <w:numPr>
          <w:ilvl w:val="0"/>
          <w:numId w:val="6"/>
        </w:numPr>
        <w:tabs>
          <w:tab w:val="left" w:pos="1443"/>
        </w:tabs>
        <w:autoSpaceDE w:val="0"/>
        <w:autoSpaceDN w:val="0"/>
        <w:spacing w:before="100" w:beforeAutospacing="1" w:after="100" w:afterAutospacing="1" w:line="240" w:lineRule="auto"/>
        <w:ind w:left="993"/>
        <w:contextualSpacing w:val="0"/>
        <w:rPr>
          <w:rFonts w:ascii="Times New Roman" w:hAnsi="Times New Roman" w:cs="Times New Roman"/>
          <w:sz w:val="28"/>
          <w:szCs w:val="28"/>
        </w:rPr>
      </w:pPr>
      <w:r w:rsidRPr="00E43364">
        <w:rPr>
          <w:rFonts w:ascii="Times New Roman" w:hAnsi="Times New Roman" w:cs="Times New Roman"/>
          <w:w w:val="115"/>
          <w:sz w:val="28"/>
          <w:szCs w:val="28"/>
        </w:rPr>
        <w:t>individuals</w:t>
      </w:r>
    </w:p>
    <w:p w14:paraId="2BA7850A" w14:textId="77777777" w:rsidR="000C532A" w:rsidRPr="00E43364" w:rsidRDefault="000C532A" w:rsidP="000C532A">
      <w:pPr>
        <w:pStyle w:val="ListParagraph"/>
        <w:widowControl w:val="0"/>
        <w:numPr>
          <w:ilvl w:val="0"/>
          <w:numId w:val="6"/>
        </w:numPr>
        <w:tabs>
          <w:tab w:val="left" w:pos="1443"/>
        </w:tabs>
        <w:autoSpaceDE w:val="0"/>
        <w:autoSpaceDN w:val="0"/>
        <w:spacing w:before="100" w:beforeAutospacing="1" w:after="100" w:afterAutospacing="1" w:line="240" w:lineRule="auto"/>
        <w:ind w:left="993"/>
        <w:contextualSpacing w:val="0"/>
        <w:rPr>
          <w:rFonts w:ascii="Times New Roman" w:hAnsi="Times New Roman" w:cs="Times New Roman"/>
          <w:sz w:val="28"/>
          <w:szCs w:val="28"/>
        </w:rPr>
      </w:pPr>
      <w:r w:rsidRPr="00E43364">
        <w:rPr>
          <w:rFonts w:ascii="Times New Roman" w:hAnsi="Times New Roman" w:cs="Times New Roman"/>
          <w:spacing w:val="-3"/>
          <w:w w:val="115"/>
          <w:sz w:val="28"/>
          <w:szCs w:val="28"/>
        </w:rPr>
        <w:t>matching</w:t>
      </w:r>
      <w:r w:rsidRPr="00E43364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spacing w:val="-2"/>
          <w:w w:val="115"/>
          <w:sz w:val="28"/>
          <w:szCs w:val="28"/>
        </w:rPr>
        <w:t>funds campaign</w:t>
      </w:r>
    </w:p>
    <w:p w14:paraId="54A79E2F" w14:textId="77777777" w:rsidR="000C532A" w:rsidRPr="00E43364" w:rsidRDefault="000C532A" w:rsidP="000C532A">
      <w:pPr>
        <w:pStyle w:val="ListParagraph"/>
        <w:widowControl w:val="0"/>
        <w:numPr>
          <w:ilvl w:val="0"/>
          <w:numId w:val="6"/>
        </w:numPr>
        <w:tabs>
          <w:tab w:val="left" w:pos="1423"/>
        </w:tabs>
        <w:autoSpaceDE w:val="0"/>
        <w:autoSpaceDN w:val="0"/>
        <w:spacing w:before="100" w:beforeAutospacing="1" w:after="100" w:afterAutospacing="1" w:line="240" w:lineRule="auto"/>
        <w:ind w:left="993" w:right="3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3364">
        <w:rPr>
          <w:rFonts w:ascii="Times New Roman" w:hAnsi="Times New Roman" w:cs="Times New Roman"/>
          <w:w w:val="110"/>
          <w:sz w:val="28"/>
          <w:szCs w:val="28"/>
        </w:rPr>
        <w:t>retroactive funding for project expenses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already incurred</w:t>
      </w:r>
    </w:p>
    <w:p w14:paraId="3D6C4AD7" w14:textId="6D0FF7C9" w:rsidR="000C532A" w:rsidRPr="000C532A" w:rsidRDefault="000C532A" w:rsidP="000C532A">
      <w:pPr>
        <w:pStyle w:val="ListParagraph"/>
        <w:widowControl w:val="0"/>
        <w:numPr>
          <w:ilvl w:val="0"/>
          <w:numId w:val="6"/>
        </w:numPr>
        <w:tabs>
          <w:tab w:val="left" w:pos="1423"/>
        </w:tabs>
        <w:autoSpaceDE w:val="0"/>
        <w:autoSpaceDN w:val="0"/>
        <w:spacing w:before="100" w:beforeAutospacing="1" w:after="100" w:afterAutospacing="1" w:line="240" w:lineRule="auto"/>
        <w:ind w:left="993" w:right="66"/>
        <w:contextualSpacing w:val="0"/>
        <w:rPr>
          <w:rFonts w:ascii="Times New Roman" w:hAnsi="Times New Roman" w:cs="Times New Roman"/>
          <w:sz w:val="28"/>
          <w:szCs w:val="28"/>
        </w:rPr>
      </w:pPr>
      <w:r w:rsidRPr="00E43364">
        <w:rPr>
          <w:rFonts w:ascii="Times New Roman" w:hAnsi="Times New Roman" w:cs="Times New Roman"/>
          <w:w w:val="110"/>
          <w:sz w:val="28"/>
          <w:szCs w:val="28"/>
        </w:rPr>
        <w:t>ongoing</w:t>
      </w:r>
      <w:r w:rsidRPr="00E43364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0"/>
          <w:sz w:val="28"/>
          <w:szCs w:val="28"/>
        </w:rPr>
        <w:t>fundraising</w:t>
      </w:r>
      <w:r w:rsidRPr="00E43364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0"/>
          <w:sz w:val="28"/>
          <w:szCs w:val="28"/>
        </w:rPr>
        <w:t>activities,</w:t>
      </w:r>
      <w:r w:rsidRPr="00E43364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0"/>
          <w:sz w:val="28"/>
          <w:szCs w:val="28"/>
        </w:rPr>
        <w:t xml:space="preserve">including </w:t>
      </w:r>
      <w:r w:rsidRPr="00E43364">
        <w:rPr>
          <w:rFonts w:ascii="Times New Roman" w:hAnsi="Times New Roman" w:cs="Times New Roman"/>
          <w:spacing w:val="-62"/>
          <w:w w:val="110"/>
          <w:sz w:val="28"/>
          <w:szCs w:val="28"/>
        </w:rPr>
        <w:t>annual</w:t>
      </w:r>
      <w:r w:rsidRPr="00E4336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fund</w:t>
      </w:r>
      <w:r w:rsidRPr="00E4336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drives</w:t>
      </w:r>
      <w:r w:rsidRPr="00E4336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and</w:t>
      </w:r>
      <w:r w:rsidRPr="00E43364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capital</w:t>
      </w:r>
      <w:r w:rsidRPr="00E43364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campaigns</w:t>
      </w:r>
    </w:p>
    <w:p w14:paraId="51AEC2B2" w14:textId="70AEF889" w:rsidR="000C532A" w:rsidRPr="00E43364" w:rsidRDefault="000C532A" w:rsidP="000C532A">
      <w:pPr>
        <w:pStyle w:val="ListParagraph"/>
        <w:widowControl w:val="0"/>
        <w:numPr>
          <w:ilvl w:val="0"/>
          <w:numId w:val="6"/>
        </w:numPr>
        <w:tabs>
          <w:tab w:val="left" w:pos="1423"/>
        </w:tabs>
        <w:autoSpaceDE w:val="0"/>
        <w:autoSpaceDN w:val="0"/>
        <w:spacing w:before="100" w:beforeAutospacing="1" w:after="100" w:afterAutospacing="1" w:line="240" w:lineRule="auto"/>
        <w:ind w:left="993" w:right="775"/>
        <w:contextualSpacing w:val="0"/>
        <w:rPr>
          <w:rFonts w:ascii="Times New Roman" w:hAnsi="Times New Roman" w:cs="Times New Roman"/>
          <w:sz w:val="28"/>
          <w:szCs w:val="28"/>
        </w:rPr>
      </w:pPr>
      <w:r w:rsidRPr="00E43364">
        <w:rPr>
          <w:rFonts w:ascii="Times New Roman" w:hAnsi="Times New Roman" w:cs="Times New Roman"/>
          <w:spacing w:val="-2"/>
          <w:w w:val="115"/>
          <w:sz w:val="28"/>
          <w:szCs w:val="28"/>
        </w:rPr>
        <w:t>multi-year</w:t>
      </w:r>
      <w:r w:rsidRPr="00E4336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spacing w:val="-2"/>
          <w:w w:val="115"/>
          <w:sz w:val="28"/>
          <w:szCs w:val="28"/>
        </w:rPr>
        <w:t>funding</w:t>
      </w:r>
      <w:r w:rsidRPr="00E4336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spacing w:val="-1"/>
          <w:w w:val="115"/>
          <w:sz w:val="28"/>
          <w:szCs w:val="28"/>
        </w:rPr>
        <w:t>beyond</w:t>
      </w:r>
      <w:r w:rsidRPr="00E43364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spacing w:val="-1"/>
          <w:w w:val="115"/>
          <w:sz w:val="28"/>
          <w:szCs w:val="28"/>
        </w:rPr>
        <w:t>the</w:t>
      </w:r>
      <w:r w:rsidRPr="00E43364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spacing w:val="-1"/>
          <w:w w:val="115"/>
          <w:sz w:val="28"/>
          <w:szCs w:val="28"/>
        </w:rPr>
        <w:t>annual</w:t>
      </w:r>
      <w:r w:rsidRPr="00E43364">
        <w:rPr>
          <w:rFonts w:ascii="Times New Roman" w:hAnsi="Times New Roman" w:cs="Times New Roman"/>
          <w:spacing w:val="-64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granting</w:t>
      </w:r>
      <w:r w:rsidRPr="00E43364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5"/>
          <w:sz w:val="28"/>
          <w:szCs w:val="28"/>
        </w:rPr>
        <w:t>period</w:t>
      </w:r>
    </w:p>
    <w:p w14:paraId="38700DEB" w14:textId="77777777" w:rsidR="000C532A" w:rsidRPr="00E43364" w:rsidRDefault="000C532A" w:rsidP="000C532A">
      <w:pPr>
        <w:pStyle w:val="ListParagraph"/>
        <w:widowControl w:val="0"/>
        <w:numPr>
          <w:ilvl w:val="0"/>
          <w:numId w:val="6"/>
        </w:numPr>
        <w:tabs>
          <w:tab w:val="left" w:pos="1423"/>
        </w:tabs>
        <w:autoSpaceDE w:val="0"/>
        <w:autoSpaceDN w:val="0"/>
        <w:spacing w:before="100" w:beforeAutospacing="1" w:after="100" w:afterAutospacing="1" w:line="240" w:lineRule="auto"/>
        <w:ind w:left="993"/>
        <w:contextualSpacing w:val="0"/>
        <w:rPr>
          <w:rFonts w:ascii="Times New Roman" w:hAnsi="Times New Roman" w:cs="Times New Roman"/>
          <w:sz w:val="28"/>
          <w:szCs w:val="28"/>
        </w:rPr>
      </w:pPr>
      <w:r w:rsidRPr="00E43364">
        <w:rPr>
          <w:rFonts w:ascii="Times New Roman" w:hAnsi="Times New Roman" w:cs="Times New Roman"/>
          <w:w w:val="110"/>
          <w:sz w:val="28"/>
          <w:szCs w:val="28"/>
        </w:rPr>
        <w:t>ongoing</w:t>
      </w:r>
      <w:r w:rsidRPr="00E43364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0"/>
          <w:sz w:val="28"/>
          <w:szCs w:val="28"/>
        </w:rPr>
        <w:t>operational</w:t>
      </w:r>
      <w:r w:rsidRPr="00E43364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0"/>
          <w:sz w:val="28"/>
          <w:szCs w:val="28"/>
        </w:rPr>
        <w:t>expenses</w:t>
      </w:r>
    </w:p>
    <w:p w14:paraId="3DD2AF63" w14:textId="77777777" w:rsidR="000C532A" w:rsidRPr="00E43364" w:rsidRDefault="000C532A" w:rsidP="000C532A">
      <w:pPr>
        <w:pStyle w:val="ListParagraph"/>
        <w:widowControl w:val="0"/>
        <w:numPr>
          <w:ilvl w:val="0"/>
          <w:numId w:val="6"/>
        </w:numPr>
        <w:tabs>
          <w:tab w:val="left" w:pos="1423"/>
        </w:tabs>
        <w:autoSpaceDE w:val="0"/>
        <w:autoSpaceDN w:val="0"/>
        <w:spacing w:before="100" w:beforeAutospacing="1" w:after="100" w:afterAutospacing="1" w:line="240" w:lineRule="auto"/>
        <w:ind w:left="993"/>
        <w:contextualSpacing w:val="0"/>
        <w:rPr>
          <w:rFonts w:ascii="Times New Roman" w:hAnsi="Times New Roman" w:cs="Times New Roman"/>
          <w:sz w:val="28"/>
          <w:szCs w:val="28"/>
        </w:rPr>
      </w:pPr>
      <w:r w:rsidRPr="00E43364">
        <w:rPr>
          <w:rFonts w:ascii="Times New Roman" w:hAnsi="Times New Roman" w:cs="Times New Roman"/>
          <w:w w:val="110"/>
          <w:sz w:val="28"/>
          <w:szCs w:val="28"/>
        </w:rPr>
        <w:t>sectarian,</w:t>
      </w:r>
      <w:r w:rsidRPr="00E43364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0"/>
          <w:sz w:val="28"/>
          <w:szCs w:val="28"/>
        </w:rPr>
        <w:t>religious,</w:t>
      </w:r>
      <w:r w:rsidRPr="00E43364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0"/>
          <w:sz w:val="28"/>
          <w:szCs w:val="28"/>
        </w:rPr>
        <w:t>or</w:t>
      </w:r>
      <w:r w:rsidRPr="00E43364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0"/>
          <w:sz w:val="28"/>
          <w:szCs w:val="28"/>
        </w:rPr>
        <w:t>political</w:t>
      </w:r>
      <w:r w:rsidRPr="00E43364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E43364">
        <w:rPr>
          <w:rFonts w:ascii="Times New Roman" w:hAnsi="Times New Roman" w:cs="Times New Roman"/>
          <w:w w:val="110"/>
          <w:sz w:val="28"/>
          <w:szCs w:val="28"/>
        </w:rPr>
        <w:t>purposes</w:t>
      </w:r>
    </w:p>
    <w:p w14:paraId="614524F1" w14:textId="17A6046D" w:rsidR="00BD4F21" w:rsidRPr="000B2F5F" w:rsidRDefault="00BD4F21">
      <w:pPr>
        <w:rPr>
          <w:b/>
          <w:bCs/>
        </w:rPr>
      </w:pPr>
      <w:r w:rsidRPr="003C7745">
        <w:rPr>
          <w:b/>
          <w:bCs/>
          <w:sz w:val="44"/>
          <w:szCs w:val="44"/>
        </w:rPr>
        <w:t>Application Timing and Decision Timeline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56"/>
        <w:gridCol w:w="4896"/>
        <w:gridCol w:w="2982"/>
      </w:tblGrid>
      <w:tr w:rsidR="000C532A" w:rsidRPr="000B2F5F" w14:paraId="2C5A8493" w14:textId="77777777" w:rsidTr="000C532A">
        <w:tc>
          <w:tcPr>
            <w:tcW w:w="1756" w:type="dxa"/>
          </w:tcPr>
          <w:p w14:paraId="356D72A5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Stage</w:t>
            </w:r>
          </w:p>
        </w:tc>
        <w:tc>
          <w:tcPr>
            <w:tcW w:w="4896" w:type="dxa"/>
          </w:tcPr>
          <w:p w14:paraId="42D3F1B8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Description</w:t>
            </w:r>
          </w:p>
        </w:tc>
        <w:tc>
          <w:tcPr>
            <w:tcW w:w="2982" w:type="dxa"/>
          </w:tcPr>
          <w:p w14:paraId="57ECE826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HCIF Grants</w:t>
            </w:r>
          </w:p>
        </w:tc>
      </w:tr>
      <w:tr w:rsidR="000C532A" w:rsidRPr="000B2F5F" w14:paraId="7EF5FFB1" w14:textId="77777777" w:rsidTr="000C532A">
        <w:tc>
          <w:tcPr>
            <w:tcW w:w="1756" w:type="dxa"/>
          </w:tcPr>
          <w:p w14:paraId="279CB33A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4896" w:type="dxa"/>
          </w:tcPr>
          <w:p w14:paraId="419477E9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2982" w:type="dxa"/>
          </w:tcPr>
          <w:p w14:paraId="77C8F630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0C532A" w:rsidRPr="000B2F5F" w14:paraId="11A9D024" w14:textId="77777777" w:rsidTr="000C532A">
        <w:tc>
          <w:tcPr>
            <w:tcW w:w="1756" w:type="dxa"/>
          </w:tcPr>
          <w:p w14:paraId="3E5F28D4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Intake</w:t>
            </w:r>
          </w:p>
        </w:tc>
        <w:tc>
          <w:tcPr>
            <w:tcW w:w="4896" w:type="dxa"/>
          </w:tcPr>
          <w:p w14:paraId="63AE2CD9" w14:textId="77777777" w:rsidR="000C532A" w:rsidRPr="000C532A" w:rsidRDefault="000C532A" w:rsidP="00BD4F2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Applications are accepted during defined intake periods or on a rolling basis, as determined by the Fund.</w:t>
            </w:r>
          </w:p>
          <w:p w14:paraId="2BFB66E3" w14:textId="77777777" w:rsidR="000C532A" w:rsidRPr="000C532A" w:rsidRDefault="000C532A" w:rsidP="00BD4F2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Staff conduct an initial screening to confirm completeness and eligibility.</w:t>
            </w:r>
          </w:p>
          <w:p w14:paraId="66A6D513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2982" w:type="dxa"/>
          </w:tcPr>
          <w:p w14:paraId="1354DDEF" w14:textId="35B17B73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gramStart"/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6 week</w:t>
            </w:r>
            <w:proofErr w:type="gramEnd"/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window between May 1 and June 7</w:t>
            </w: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en-CA"/>
                <w14:ligatures w14:val="none"/>
              </w:rPr>
              <w:t>th</w:t>
            </w:r>
          </w:p>
          <w:p w14:paraId="2949261A" w14:textId="2FE90541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CA"/>
                <w14:ligatures w14:val="none"/>
              </w:rPr>
              <w:t>For 2026 only May 14 through June 21</w:t>
            </w:r>
          </w:p>
        </w:tc>
      </w:tr>
      <w:tr w:rsidR="000C532A" w:rsidRPr="000B2F5F" w14:paraId="260169E4" w14:textId="77777777" w:rsidTr="000C532A">
        <w:tc>
          <w:tcPr>
            <w:tcW w:w="1756" w:type="dxa"/>
          </w:tcPr>
          <w:p w14:paraId="3AA2BBF6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Assessment</w:t>
            </w:r>
          </w:p>
        </w:tc>
        <w:tc>
          <w:tcPr>
            <w:tcW w:w="4896" w:type="dxa"/>
          </w:tcPr>
          <w:p w14:paraId="10119FC4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Eligible applications are evaluated using a standardized scoring rubric. Assessment may be conducted by:</w:t>
            </w:r>
          </w:p>
          <w:p w14:paraId="0F2ADC0D" w14:textId="77777777" w:rsidR="000C532A" w:rsidRPr="000C532A" w:rsidRDefault="000C532A" w:rsidP="00BD4F2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Staff</w:t>
            </w:r>
          </w:p>
          <w:p w14:paraId="7A489AE3" w14:textId="77777777" w:rsidR="000C532A" w:rsidRPr="000C532A" w:rsidRDefault="000C532A" w:rsidP="00BD4F2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 volunteer grants committee</w:t>
            </w:r>
          </w:p>
          <w:p w14:paraId="4E6AF132" w14:textId="77777777" w:rsidR="000C532A" w:rsidRPr="000C532A" w:rsidRDefault="000C532A" w:rsidP="00BD4F2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Subject</w:t>
            </w: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noBreakHyphen/>
              <w:t>matter experts</w:t>
            </w:r>
          </w:p>
          <w:p w14:paraId="77B3F961" w14:textId="77777777" w:rsidR="000C532A" w:rsidRPr="000C532A" w:rsidRDefault="000C532A" w:rsidP="00BD4F2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 hybrid model approved by the Board</w:t>
            </w:r>
          </w:p>
          <w:p w14:paraId="4E7305DC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2982" w:type="dxa"/>
          </w:tcPr>
          <w:p w14:paraId="577A26C4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June 7 June 21</w:t>
            </w:r>
          </w:p>
          <w:p w14:paraId="2DB49A12" w14:textId="0D0EA383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CA"/>
                <w14:ligatures w14:val="none"/>
              </w:rPr>
              <w:t>For 2026 only June 22 to July 7th</w:t>
            </w:r>
          </w:p>
        </w:tc>
      </w:tr>
      <w:tr w:rsidR="000C532A" w:rsidRPr="000B2F5F" w14:paraId="208663C5" w14:textId="77777777" w:rsidTr="000C532A">
        <w:tc>
          <w:tcPr>
            <w:tcW w:w="1756" w:type="dxa"/>
          </w:tcPr>
          <w:p w14:paraId="1F480E19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Decision Making</w:t>
            </w:r>
          </w:p>
        </w:tc>
        <w:tc>
          <w:tcPr>
            <w:tcW w:w="4896" w:type="dxa"/>
          </w:tcPr>
          <w:p w14:paraId="2A518663" w14:textId="24360283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Recommendations for granting submitted to the HICF Board for final approval.</w:t>
            </w:r>
          </w:p>
          <w:p w14:paraId="57BFB0F9" w14:textId="77777777" w:rsidR="000C532A" w:rsidRPr="000C532A" w:rsidRDefault="000C532A" w:rsidP="00795C4B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2982" w:type="dxa"/>
          </w:tcPr>
          <w:p w14:paraId="7864FB87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June 30</w:t>
            </w:r>
          </w:p>
          <w:p w14:paraId="6FF533C5" w14:textId="24DB09CA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CA"/>
                <w14:ligatures w14:val="none"/>
              </w:rPr>
              <w:t>For 2026 only July 7th</w:t>
            </w:r>
          </w:p>
        </w:tc>
      </w:tr>
      <w:tr w:rsidR="000C532A" w:rsidRPr="000B2F5F" w14:paraId="7EBA0D78" w14:textId="77777777" w:rsidTr="000C532A">
        <w:tc>
          <w:tcPr>
            <w:tcW w:w="1756" w:type="dxa"/>
          </w:tcPr>
          <w:p w14:paraId="5EAE37FC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Notification</w:t>
            </w:r>
          </w:p>
        </w:tc>
        <w:tc>
          <w:tcPr>
            <w:tcW w:w="4896" w:type="dxa"/>
          </w:tcPr>
          <w:p w14:paraId="5CA699F5" w14:textId="77777777" w:rsidR="000C532A" w:rsidRPr="000C532A" w:rsidRDefault="000C532A" w:rsidP="00BD4F2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Applicants receive written notification of approval or decline.</w:t>
            </w:r>
          </w:p>
          <w:p w14:paraId="7E6D3CEB" w14:textId="77777777" w:rsidR="000C532A" w:rsidRPr="000C532A" w:rsidRDefault="000C532A" w:rsidP="00BD4F2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Constructive feedback is provided upon request.</w:t>
            </w:r>
          </w:p>
        </w:tc>
        <w:tc>
          <w:tcPr>
            <w:tcW w:w="2982" w:type="dxa"/>
          </w:tcPr>
          <w:p w14:paraId="4D653B50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By July 7</w:t>
            </w:r>
          </w:p>
          <w:p w14:paraId="3FC6F94F" w14:textId="0F72789A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CA"/>
                <w14:ligatures w14:val="none"/>
              </w:rPr>
              <w:t>For 2026 only July 15</w:t>
            </w: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vertAlign w:val="superscript"/>
                <w:lang w:eastAsia="en-CA"/>
                <w14:ligatures w14:val="none"/>
              </w:rPr>
              <w:t>th</w:t>
            </w: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</w:tr>
      <w:tr w:rsidR="000C532A" w:rsidRPr="000B2F5F" w14:paraId="3652FE25" w14:textId="77777777" w:rsidTr="000C532A">
        <w:tc>
          <w:tcPr>
            <w:tcW w:w="1756" w:type="dxa"/>
          </w:tcPr>
          <w:p w14:paraId="42A3BD90" w14:textId="5CC1299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Funding Agreement</w:t>
            </w:r>
          </w:p>
        </w:tc>
        <w:tc>
          <w:tcPr>
            <w:tcW w:w="4896" w:type="dxa"/>
          </w:tcPr>
          <w:p w14:paraId="1EAC18A7" w14:textId="77777777" w:rsidR="000C532A" w:rsidRPr="000C532A" w:rsidRDefault="000C532A" w:rsidP="00BD4F2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Approved applicants must sign a funding agreement outlining deliverables, reporting requirements, timelines, and permitted uses of funds.</w:t>
            </w:r>
          </w:p>
          <w:p w14:paraId="4B3A8241" w14:textId="77777777" w:rsidR="000C532A" w:rsidRPr="000C532A" w:rsidRDefault="000C532A" w:rsidP="00BD4F2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Funds are disbursed according to the agreement (e.g., lump sum, installments, performance</w:t>
            </w: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noBreakHyphen/>
              <w:t>based milestones).</w:t>
            </w:r>
          </w:p>
          <w:p w14:paraId="1EA3CB4F" w14:textId="77777777" w:rsidR="000C532A" w:rsidRPr="000C532A" w:rsidRDefault="000C532A" w:rsidP="00A64FD3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2982" w:type="dxa"/>
          </w:tcPr>
          <w:p w14:paraId="00778AEC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By July 15</w:t>
            </w: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en-CA"/>
                <w14:ligatures w14:val="none"/>
              </w:rPr>
              <w:t>th</w:t>
            </w:r>
          </w:p>
          <w:p w14:paraId="7E11B1CB" w14:textId="77777777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0CBB6B6C" w14:textId="1D01E1A4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en-CA"/>
                <w14:ligatures w14:val="none"/>
              </w:rPr>
              <w:t>For 2026 only July 30th</w:t>
            </w:r>
          </w:p>
        </w:tc>
      </w:tr>
      <w:tr w:rsidR="000C532A" w:rsidRPr="000B2F5F" w14:paraId="6AB30A5D" w14:textId="77777777" w:rsidTr="000C532A">
        <w:tc>
          <w:tcPr>
            <w:tcW w:w="1756" w:type="dxa"/>
          </w:tcPr>
          <w:p w14:paraId="73CD3B16" w14:textId="26F7E3BB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Funding </w:t>
            </w:r>
            <w:r w:rsidR="00917E21"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Disb</w:t>
            </w:r>
            <w:r w:rsidR="00917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u</w:t>
            </w:r>
            <w:r w:rsidR="00917E21"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rsement</w:t>
            </w:r>
          </w:p>
        </w:tc>
        <w:tc>
          <w:tcPr>
            <w:tcW w:w="4896" w:type="dxa"/>
          </w:tcPr>
          <w:p w14:paraId="2360B640" w14:textId="6D34357A" w:rsidR="000C532A" w:rsidRPr="000C532A" w:rsidRDefault="000C532A" w:rsidP="00BD4F2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Funding is delivered to the recipients. </w:t>
            </w:r>
          </w:p>
        </w:tc>
        <w:tc>
          <w:tcPr>
            <w:tcW w:w="2982" w:type="dxa"/>
          </w:tcPr>
          <w:p w14:paraId="503C8772" w14:textId="0888B426" w:rsidR="000C532A" w:rsidRPr="000C532A" w:rsidRDefault="000C532A" w:rsidP="00A64F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5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Target Fall Fair. </w:t>
            </w:r>
          </w:p>
        </w:tc>
      </w:tr>
    </w:tbl>
    <w:p w14:paraId="580DCDD9" w14:textId="77777777" w:rsidR="00BD4F21" w:rsidRPr="000B2F5F" w:rsidRDefault="00BD4F21">
      <w:pPr>
        <w:rPr>
          <w:rFonts w:ascii="Times New Roman" w:hAnsi="Times New Roman" w:cs="Times New Roman"/>
          <w:sz w:val="28"/>
          <w:szCs w:val="28"/>
        </w:rPr>
      </w:pPr>
    </w:p>
    <w:p w14:paraId="7E92C6EC" w14:textId="77777777" w:rsidR="00917E21" w:rsidRDefault="00917E21" w:rsidP="00B16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</w:pPr>
    </w:p>
    <w:p w14:paraId="38451E15" w14:textId="0EE83DAD" w:rsidR="00B16C00" w:rsidRPr="003C7745" w:rsidRDefault="003C7745" w:rsidP="00B16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</w:pPr>
      <w:r w:rsidRPr="003C7745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  <w:t>Evaluation Criteria</w:t>
      </w:r>
    </w:p>
    <w:p w14:paraId="75E71188" w14:textId="6B9A9A33" w:rsidR="00B16C00" w:rsidRPr="00B45B4C" w:rsidRDefault="00B16C00">
      <w:pPr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5827"/>
        <w:gridCol w:w="1138"/>
      </w:tblGrid>
      <w:tr w:rsidR="00B16C00" w:rsidRPr="00B45B4C" w14:paraId="71E52B3C" w14:textId="77777777" w:rsidTr="00A64F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50B61D" w14:textId="77777777" w:rsidR="00B16C00" w:rsidRPr="00B45B4C" w:rsidRDefault="00B16C00" w:rsidP="00A6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Criterion</w:t>
            </w:r>
          </w:p>
        </w:tc>
        <w:tc>
          <w:tcPr>
            <w:tcW w:w="5797" w:type="dxa"/>
            <w:vAlign w:val="center"/>
            <w:hideMark/>
          </w:tcPr>
          <w:p w14:paraId="5D673865" w14:textId="77777777" w:rsidR="00B16C00" w:rsidRPr="00B45B4C" w:rsidRDefault="00B16C00" w:rsidP="00A6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Description</w:t>
            </w:r>
          </w:p>
        </w:tc>
        <w:tc>
          <w:tcPr>
            <w:tcW w:w="1093" w:type="dxa"/>
            <w:vAlign w:val="center"/>
            <w:hideMark/>
          </w:tcPr>
          <w:p w14:paraId="5BEB6DEE" w14:textId="77777777" w:rsidR="00B16C00" w:rsidRPr="00B45B4C" w:rsidRDefault="00B16C00" w:rsidP="00A6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Weight</w:t>
            </w:r>
          </w:p>
        </w:tc>
      </w:tr>
      <w:tr w:rsidR="00B16C00" w:rsidRPr="00B45B4C" w14:paraId="242A9011" w14:textId="77777777" w:rsidTr="00A64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88C96" w14:textId="77777777" w:rsidR="00B16C00" w:rsidRPr="00B45B4C" w:rsidRDefault="00B16C00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Alignment with Priorities</w:t>
            </w:r>
          </w:p>
        </w:tc>
        <w:tc>
          <w:tcPr>
            <w:tcW w:w="5797" w:type="dxa"/>
            <w:vAlign w:val="center"/>
            <w:hideMark/>
          </w:tcPr>
          <w:p w14:paraId="65F656FE" w14:textId="77777777" w:rsidR="00B16C00" w:rsidRPr="00B45B4C" w:rsidRDefault="00B16C00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Degree to which the project advances the Fund’s mission and priority areas</w:t>
            </w:r>
          </w:p>
        </w:tc>
        <w:tc>
          <w:tcPr>
            <w:tcW w:w="1093" w:type="dxa"/>
            <w:vAlign w:val="center"/>
            <w:hideMark/>
          </w:tcPr>
          <w:p w14:paraId="36743BE5" w14:textId="17291768" w:rsidR="00B16C00" w:rsidRPr="00B45B4C" w:rsidRDefault="00154AD1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30</w:t>
            </w:r>
            <w:r w:rsidR="00B16C00" w:rsidRPr="00B4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%</w:t>
            </w:r>
          </w:p>
        </w:tc>
      </w:tr>
      <w:tr w:rsidR="00B16C00" w:rsidRPr="00B45B4C" w14:paraId="5E85633A" w14:textId="77777777" w:rsidTr="00A64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5A7C8" w14:textId="77777777" w:rsidR="00B16C00" w:rsidRPr="00B45B4C" w:rsidRDefault="00B16C00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Community Impact</w:t>
            </w:r>
          </w:p>
        </w:tc>
        <w:tc>
          <w:tcPr>
            <w:tcW w:w="5797" w:type="dxa"/>
            <w:vAlign w:val="center"/>
            <w:hideMark/>
          </w:tcPr>
          <w:p w14:paraId="786261B2" w14:textId="77777777" w:rsidR="00B16C00" w:rsidRPr="00B45B4C" w:rsidRDefault="00B16C00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Expected reach, depth, and significance of benefits</w:t>
            </w:r>
          </w:p>
        </w:tc>
        <w:tc>
          <w:tcPr>
            <w:tcW w:w="1093" w:type="dxa"/>
            <w:vAlign w:val="center"/>
            <w:hideMark/>
          </w:tcPr>
          <w:p w14:paraId="714AD2C9" w14:textId="1E73A8FB" w:rsidR="00B16C00" w:rsidRPr="00B45B4C" w:rsidRDefault="00154AD1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30</w:t>
            </w:r>
            <w:r w:rsidR="00B16C00" w:rsidRPr="00B4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%</w:t>
            </w:r>
          </w:p>
        </w:tc>
      </w:tr>
      <w:tr w:rsidR="00B16C00" w:rsidRPr="00B45B4C" w14:paraId="053E27EC" w14:textId="77777777" w:rsidTr="00A64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C8BCD" w14:textId="77777777" w:rsidR="00B16C00" w:rsidRPr="00B45B4C" w:rsidRDefault="00B16C00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Feasibility &amp; Capacity</w:t>
            </w:r>
          </w:p>
        </w:tc>
        <w:tc>
          <w:tcPr>
            <w:tcW w:w="5797" w:type="dxa"/>
            <w:vAlign w:val="center"/>
            <w:hideMark/>
          </w:tcPr>
          <w:p w14:paraId="33CC083F" w14:textId="77777777" w:rsidR="00B16C00" w:rsidRPr="00B45B4C" w:rsidRDefault="00B16C00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Organizational readiness, staffing, partnerships, and ability to deliver</w:t>
            </w:r>
          </w:p>
        </w:tc>
        <w:tc>
          <w:tcPr>
            <w:tcW w:w="1093" w:type="dxa"/>
            <w:vAlign w:val="center"/>
            <w:hideMark/>
          </w:tcPr>
          <w:p w14:paraId="35652B62" w14:textId="77777777" w:rsidR="00B16C00" w:rsidRPr="00B45B4C" w:rsidRDefault="00B16C00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20%</w:t>
            </w:r>
          </w:p>
        </w:tc>
      </w:tr>
      <w:tr w:rsidR="00B16C00" w:rsidRPr="00B45B4C" w14:paraId="1A92E65F" w14:textId="77777777" w:rsidTr="00A64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E29A1" w14:textId="77777777" w:rsidR="00B16C00" w:rsidRPr="00B45B4C" w:rsidRDefault="00B16C00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Budget &amp; Value</w:t>
            </w:r>
          </w:p>
        </w:tc>
        <w:tc>
          <w:tcPr>
            <w:tcW w:w="5797" w:type="dxa"/>
            <w:vAlign w:val="center"/>
            <w:hideMark/>
          </w:tcPr>
          <w:p w14:paraId="34DFD55D" w14:textId="77777777" w:rsidR="00B16C00" w:rsidRPr="00B45B4C" w:rsidRDefault="00B16C00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Realistic budget, cost</w:t>
            </w:r>
            <w:r w:rsidRPr="00B4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noBreakHyphen/>
              <w:t>effectiveness, and leveraging of other resources</w:t>
            </w:r>
          </w:p>
        </w:tc>
        <w:tc>
          <w:tcPr>
            <w:tcW w:w="1093" w:type="dxa"/>
            <w:vAlign w:val="center"/>
            <w:hideMark/>
          </w:tcPr>
          <w:p w14:paraId="0A091C64" w14:textId="56266180" w:rsidR="00B16C00" w:rsidRPr="00B45B4C" w:rsidRDefault="00154AD1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10</w:t>
            </w:r>
            <w:r w:rsidR="00B16C00" w:rsidRPr="00B4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%</w:t>
            </w:r>
          </w:p>
        </w:tc>
      </w:tr>
      <w:tr w:rsidR="00B16C00" w:rsidRPr="00B45B4C" w14:paraId="400042E8" w14:textId="77777777" w:rsidTr="00A64F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C8D47" w14:textId="77777777" w:rsidR="00B16C00" w:rsidRPr="00B45B4C" w:rsidRDefault="00B16C00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Equity Considerations</w:t>
            </w:r>
          </w:p>
        </w:tc>
        <w:tc>
          <w:tcPr>
            <w:tcW w:w="5797" w:type="dxa"/>
            <w:vAlign w:val="center"/>
            <w:hideMark/>
          </w:tcPr>
          <w:p w14:paraId="60E48A33" w14:textId="77777777" w:rsidR="00B16C00" w:rsidRPr="00B45B4C" w:rsidRDefault="00B16C00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 w:rsidRPr="00B4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Extent to which the project addresses barriers or serves underrepresented groups</w:t>
            </w:r>
          </w:p>
        </w:tc>
        <w:tc>
          <w:tcPr>
            <w:tcW w:w="1093" w:type="dxa"/>
            <w:vAlign w:val="center"/>
            <w:hideMark/>
          </w:tcPr>
          <w:p w14:paraId="3A96A337" w14:textId="19774DCF" w:rsidR="00B16C00" w:rsidRPr="00B45B4C" w:rsidRDefault="00154AD1" w:rsidP="00A6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10</w:t>
            </w:r>
            <w:r w:rsidR="00B16C00" w:rsidRPr="00B45B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CA"/>
                <w14:ligatures w14:val="none"/>
              </w:rPr>
              <w:t>%</w:t>
            </w:r>
          </w:p>
        </w:tc>
      </w:tr>
    </w:tbl>
    <w:p w14:paraId="10FB9C34" w14:textId="77777777" w:rsidR="00E43364" w:rsidRPr="00B45B4C" w:rsidRDefault="00E43364" w:rsidP="00E43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</w:p>
    <w:p w14:paraId="6FB10D31" w14:textId="77777777" w:rsidR="00E43364" w:rsidRPr="00E43364" w:rsidRDefault="00E43364" w:rsidP="00E43364">
      <w:pPr>
        <w:rPr>
          <w:rFonts w:ascii="Times New Roman" w:hAnsi="Times New Roman" w:cs="Times New Roman"/>
          <w:sz w:val="28"/>
          <w:szCs w:val="28"/>
        </w:rPr>
      </w:pPr>
    </w:p>
    <w:p w14:paraId="7F5100E6" w14:textId="77777777" w:rsidR="00B16C00" w:rsidRDefault="00B16C00"/>
    <w:p w14:paraId="4B99B490" w14:textId="77777777" w:rsidR="00B16C00" w:rsidRDefault="00B16C00"/>
    <w:p w14:paraId="36FBF700" w14:textId="77777777" w:rsidR="00B16C00" w:rsidRDefault="00B16C00"/>
    <w:p w14:paraId="516EAB94" w14:textId="77777777" w:rsidR="00B16C00" w:rsidRDefault="00B16C00"/>
    <w:p w14:paraId="76F2F0D1" w14:textId="77777777" w:rsidR="00BD4F21" w:rsidRDefault="00BD4F21"/>
    <w:sectPr w:rsidR="00BD4F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059DE"/>
    <w:multiLevelType w:val="hybridMultilevel"/>
    <w:tmpl w:val="270AF8CE"/>
    <w:lvl w:ilvl="0" w:tplc="5B30DC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71B80"/>
    <w:multiLevelType w:val="multilevel"/>
    <w:tmpl w:val="43C6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74E1D"/>
    <w:multiLevelType w:val="multilevel"/>
    <w:tmpl w:val="0946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61AF6"/>
    <w:multiLevelType w:val="multilevel"/>
    <w:tmpl w:val="1CFC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44690"/>
    <w:multiLevelType w:val="hybridMultilevel"/>
    <w:tmpl w:val="AF221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E4485"/>
    <w:multiLevelType w:val="hybridMultilevel"/>
    <w:tmpl w:val="E4F88828"/>
    <w:lvl w:ilvl="0" w:tplc="4EC8B222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6" w15:restartNumberingAfterBreak="0">
    <w:nsid w:val="7B4E3C53"/>
    <w:multiLevelType w:val="hybridMultilevel"/>
    <w:tmpl w:val="F7A62122"/>
    <w:lvl w:ilvl="0" w:tplc="4EC8B22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60392"/>
    <w:multiLevelType w:val="multilevel"/>
    <w:tmpl w:val="3674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573721">
    <w:abstractNumId w:val="1"/>
  </w:num>
  <w:num w:numId="2" w16cid:durableId="127555237">
    <w:abstractNumId w:val="2"/>
  </w:num>
  <w:num w:numId="3" w16cid:durableId="218906483">
    <w:abstractNumId w:val="3"/>
  </w:num>
  <w:num w:numId="4" w16cid:durableId="1223254040">
    <w:abstractNumId w:val="7"/>
  </w:num>
  <w:num w:numId="5" w16cid:durableId="1260412664">
    <w:abstractNumId w:val="0"/>
  </w:num>
  <w:num w:numId="6" w16cid:durableId="1814444965">
    <w:abstractNumId w:val="5"/>
  </w:num>
  <w:num w:numId="7" w16cid:durableId="1788621816">
    <w:abstractNumId w:val="6"/>
  </w:num>
  <w:num w:numId="8" w16cid:durableId="1594630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21"/>
    <w:rsid w:val="00030B7E"/>
    <w:rsid w:val="00084FBD"/>
    <w:rsid w:val="000939DC"/>
    <w:rsid w:val="000B2F5F"/>
    <w:rsid w:val="000C532A"/>
    <w:rsid w:val="000E1CD5"/>
    <w:rsid w:val="000F0DBD"/>
    <w:rsid w:val="0010222A"/>
    <w:rsid w:val="0012788D"/>
    <w:rsid w:val="00154AD1"/>
    <w:rsid w:val="001662F9"/>
    <w:rsid w:val="001742A8"/>
    <w:rsid w:val="001D32E4"/>
    <w:rsid w:val="001D3CCB"/>
    <w:rsid w:val="002D5BA2"/>
    <w:rsid w:val="003C7745"/>
    <w:rsid w:val="00426968"/>
    <w:rsid w:val="00426CC1"/>
    <w:rsid w:val="00475250"/>
    <w:rsid w:val="00503036"/>
    <w:rsid w:val="005A51E6"/>
    <w:rsid w:val="005D3ABB"/>
    <w:rsid w:val="005D73DD"/>
    <w:rsid w:val="00604765"/>
    <w:rsid w:val="00625571"/>
    <w:rsid w:val="00644253"/>
    <w:rsid w:val="00651EB4"/>
    <w:rsid w:val="00652A80"/>
    <w:rsid w:val="006653D0"/>
    <w:rsid w:val="00677303"/>
    <w:rsid w:val="0069686B"/>
    <w:rsid w:val="006A7AD6"/>
    <w:rsid w:val="006E46FA"/>
    <w:rsid w:val="00764E0E"/>
    <w:rsid w:val="00795C4B"/>
    <w:rsid w:val="008A3516"/>
    <w:rsid w:val="008C6571"/>
    <w:rsid w:val="008F23CA"/>
    <w:rsid w:val="00917E21"/>
    <w:rsid w:val="00947D46"/>
    <w:rsid w:val="009A1902"/>
    <w:rsid w:val="009F5563"/>
    <w:rsid w:val="00A05B5A"/>
    <w:rsid w:val="00A14F80"/>
    <w:rsid w:val="00A55086"/>
    <w:rsid w:val="00A60BCB"/>
    <w:rsid w:val="00A774F9"/>
    <w:rsid w:val="00AB6BEC"/>
    <w:rsid w:val="00AE1A19"/>
    <w:rsid w:val="00AF6364"/>
    <w:rsid w:val="00B16C00"/>
    <w:rsid w:val="00B31CA4"/>
    <w:rsid w:val="00B45B4C"/>
    <w:rsid w:val="00B47991"/>
    <w:rsid w:val="00BC7DEB"/>
    <w:rsid w:val="00BD4F21"/>
    <w:rsid w:val="00C96BD8"/>
    <w:rsid w:val="00CA7380"/>
    <w:rsid w:val="00CE1967"/>
    <w:rsid w:val="00D06BB9"/>
    <w:rsid w:val="00D752E2"/>
    <w:rsid w:val="00DF1718"/>
    <w:rsid w:val="00DF4F22"/>
    <w:rsid w:val="00E21FF5"/>
    <w:rsid w:val="00E30BDF"/>
    <w:rsid w:val="00E43364"/>
    <w:rsid w:val="00E544CB"/>
    <w:rsid w:val="00E60D30"/>
    <w:rsid w:val="00EB4846"/>
    <w:rsid w:val="00EF0333"/>
    <w:rsid w:val="00EF5337"/>
    <w:rsid w:val="00F01E49"/>
    <w:rsid w:val="00F61D16"/>
    <w:rsid w:val="00F868DA"/>
    <w:rsid w:val="00F96AC1"/>
    <w:rsid w:val="0B78513B"/>
    <w:rsid w:val="0DA49615"/>
    <w:rsid w:val="102B3140"/>
    <w:rsid w:val="143BBB0B"/>
    <w:rsid w:val="299D6BE2"/>
    <w:rsid w:val="322658AE"/>
    <w:rsid w:val="39F05C15"/>
    <w:rsid w:val="3B85828D"/>
    <w:rsid w:val="4498BBDB"/>
    <w:rsid w:val="4B458EEC"/>
    <w:rsid w:val="4E99247E"/>
    <w:rsid w:val="4FDF28C0"/>
    <w:rsid w:val="50885BCE"/>
    <w:rsid w:val="512A0D58"/>
    <w:rsid w:val="51B6B7FA"/>
    <w:rsid w:val="54DF2709"/>
    <w:rsid w:val="5DAEF4B1"/>
    <w:rsid w:val="63C31CF6"/>
    <w:rsid w:val="682C523A"/>
    <w:rsid w:val="69EEC51F"/>
    <w:rsid w:val="6DBD44ED"/>
    <w:rsid w:val="74D8717D"/>
    <w:rsid w:val="771665A5"/>
    <w:rsid w:val="79A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695B"/>
  <w15:chartTrackingRefBased/>
  <w15:docId w15:val="{0306BBFD-345D-48EC-ABB2-0D2F2A43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D4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F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742A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42A8"/>
    <w:rPr>
      <w:rFonts w:ascii="Microsoft Sans Serif" w:eastAsia="Microsoft Sans Serif" w:hAnsi="Microsoft Sans Serif" w:cs="Microsoft Sans Serif"/>
      <w:kern w:val="0"/>
      <w:sz w:val="19"/>
      <w:szCs w:val="19"/>
      <w:lang w:val="en-US"/>
      <w14:ligatures w14:val="none"/>
    </w:rPr>
  </w:style>
  <w:style w:type="paragraph" w:styleId="Revision">
    <w:name w:val="Revision"/>
    <w:hidden/>
    <w:uiPriority w:val="99"/>
    <w:semiHidden/>
    <w:rsid w:val="00EF0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Pedersen</dc:creator>
  <cp:keywords/>
  <dc:description/>
  <cp:lastModifiedBy>Karen Ross</cp:lastModifiedBy>
  <cp:revision>2</cp:revision>
  <dcterms:created xsi:type="dcterms:W3CDTF">2026-05-20T19:23:00Z</dcterms:created>
  <dcterms:modified xsi:type="dcterms:W3CDTF">2026-05-20T19:23:00Z</dcterms:modified>
</cp:coreProperties>
</file>