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F2C2" w14:textId="77777777" w:rsidR="00364C14" w:rsidRDefault="00364C14" w:rsidP="00364C14">
      <w:pPr>
        <w:pStyle w:val="Heading1"/>
        <w:spacing w:before="0" w:after="0" w:line="540" w:lineRule="atLeast"/>
        <w:rPr>
          <w:rFonts w:ascii="Segoe UI" w:eastAsia="Times New Roman" w:hAnsi="Segoe UI" w:cs="Segoe UI"/>
          <w:color w:val="363737"/>
        </w:rPr>
      </w:pPr>
      <w:r>
        <w:rPr>
          <w:rFonts w:ascii="Segoe UI" w:eastAsia="Times New Roman" w:hAnsi="Segoe UI" w:cs="Segoe UI"/>
          <w:color w:val="363737"/>
        </w:rPr>
        <w:fldChar w:fldCharType="begin"/>
      </w:r>
      <w:r>
        <w:rPr>
          <w:rFonts w:ascii="Segoe UI" w:eastAsia="Times New Roman" w:hAnsi="Segoe UI" w:cs="Segoe UI"/>
          <w:color w:val="363737"/>
        </w:rPr>
        <w:instrText>HYPERLINK "https://substack.com/app-link/post?publication_id=1252790&amp;post_id=178900045&amp;utm_source=post-email-title&amp;utm_campaign=email-post-title&amp;isFreemail=true&amp;r=826h0&amp;token=eyJ1c2VyX2lkIjoxMzUzODYyOCwicG9zdF9pZCI6MTc4OTAwMDQ1LCJpYXQiOjE3NjQwODg1OTMsImV4cCI6MTc2NjY4MDU5MywiaXNzIjoicHViLTEyNTI3OTAiLCJzdWIiOiJwb3N0LXJlYWN0aW9uIn0.KZ2snTij-hjDiDkp3p2dp2XbOOAOAxbxoCv9uIbFrIc"</w:instrText>
      </w:r>
      <w:r>
        <w:rPr>
          <w:rFonts w:ascii="Segoe UI" w:eastAsia="Times New Roman" w:hAnsi="Segoe UI" w:cs="Segoe UI"/>
          <w:color w:val="363737"/>
        </w:rPr>
      </w:r>
      <w:r>
        <w:rPr>
          <w:rFonts w:ascii="Segoe UI" w:eastAsia="Times New Roman" w:hAnsi="Segoe UI" w:cs="Segoe UI"/>
          <w:color w:val="363737"/>
        </w:rPr>
        <w:fldChar w:fldCharType="separate"/>
      </w:r>
      <w:r>
        <w:rPr>
          <w:rStyle w:val="Hyperlink"/>
          <w:rFonts w:ascii="Segoe UI" w:eastAsia="Times New Roman" w:hAnsi="Segoe UI" w:cs="Segoe UI"/>
          <w:color w:val="363737"/>
        </w:rPr>
        <w:t>Mental Models #7 | A Profitability Ratio Toolkit</w:t>
      </w:r>
      <w:r>
        <w:rPr>
          <w:rFonts w:ascii="Segoe UI" w:eastAsia="Times New Roman" w:hAnsi="Segoe UI" w:cs="Segoe UI"/>
          <w:color w:val="363737"/>
        </w:rPr>
        <w:fldChar w:fldCharType="end"/>
      </w:r>
    </w:p>
    <w:p w14:paraId="2139361B" w14:textId="5FF93BFB" w:rsidR="00364C14" w:rsidRPr="00364C14" w:rsidRDefault="00364C14" w:rsidP="00364C14">
      <w:r>
        <w:t>ROA vs. ROIC vs. ROE</w:t>
      </w:r>
    </w:p>
    <w:p w14:paraId="18ECD1F9" w14:textId="77777777" w:rsidR="00364C14" w:rsidRPr="00364C14" w:rsidRDefault="00364C14" w:rsidP="00364C14">
      <w:pPr>
        <w:pStyle w:val="Heading3"/>
        <w:spacing w:before="180" w:after="0" w:line="360" w:lineRule="atLeast"/>
        <w:rPr>
          <w:rFonts w:ascii="Segoe UI" w:eastAsia="Times New Roman" w:hAnsi="Segoe UI" w:cs="Segoe UI"/>
          <w:color w:val="777777"/>
          <w:sz w:val="22"/>
          <w:szCs w:val="22"/>
        </w:rPr>
      </w:pPr>
      <w:r w:rsidRPr="00364C14">
        <w:rPr>
          <w:rFonts w:ascii="Segoe UI" w:eastAsia="Times New Roman" w:hAnsi="Segoe UI" w:cs="Segoe UI"/>
          <w:b/>
          <w:bCs/>
          <w:color w:val="777777"/>
          <w:sz w:val="22"/>
          <w:szCs w:val="22"/>
        </w:rPr>
        <w:t>There's more to return metrics than meets the eye. Learn to use them to your advantage.</w:t>
      </w:r>
    </w:p>
    <w:tbl>
      <w:tblPr>
        <w:tblW w:w="5000" w:type="pct"/>
        <w:tblCellSpacing w:w="0" w:type="dxa"/>
        <w:tblCellMar>
          <w:left w:w="0" w:type="dxa"/>
          <w:right w:w="0" w:type="dxa"/>
        </w:tblCellMar>
        <w:tblLook w:val="04A0" w:firstRow="1" w:lastRow="0" w:firstColumn="1" w:lastColumn="0" w:noHBand="0" w:noVBand="1"/>
      </w:tblPr>
      <w:tblGrid>
        <w:gridCol w:w="10763"/>
        <w:gridCol w:w="37"/>
      </w:tblGrid>
      <w:tr w:rsidR="00364C14" w:rsidRPr="00364C14" w14:paraId="4575D77E"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727"/>
            </w:tblGrid>
            <w:tr w:rsidR="00364C14" w:rsidRPr="00364C14" w14:paraId="4E19126D"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44"/>
                  </w:tblGrid>
                  <w:tr w:rsidR="00364C14" w:rsidRPr="00364C14" w14:paraId="417DA1D0" w14:textId="77777777">
                    <w:trPr>
                      <w:tblCellSpacing w:w="0" w:type="dxa"/>
                    </w:trPr>
                    <w:tc>
                      <w:tcPr>
                        <w:tcW w:w="0" w:type="auto"/>
                        <w:vAlign w:val="center"/>
                        <w:hideMark/>
                      </w:tcPr>
                      <w:p w14:paraId="503FFA99" w14:textId="77777777" w:rsidR="00364C14" w:rsidRPr="00364C14" w:rsidRDefault="00364C14">
                        <w:pPr>
                          <w:spacing w:line="300" w:lineRule="atLeast"/>
                          <w:rPr>
                            <w:rFonts w:ascii="Segoe UI" w:eastAsia="Times New Roman" w:hAnsi="Segoe UI" w:cs="Segoe UI"/>
                            <w:caps/>
                            <w:color w:val="363737"/>
                            <w:spacing w:val="3"/>
                            <w:sz w:val="22"/>
                            <w:szCs w:val="22"/>
                          </w:rPr>
                        </w:pPr>
                        <w:hyperlink r:id="rId5" w:history="1">
                          <w:r w:rsidRPr="00364C14">
                            <w:rPr>
                              <w:rStyle w:val="Hyperlink"/>
                              <w:rFonts w:ascii="Segoe UI" w:eastAsia="Times New Roman" w:hAnsi="Segoe UI" w:cs="Segoe UI"/>
                              <w:caps/>
                              <w:color w:val="363737"/>
                              <w:spacing w:val="3"/>
                              <w:sz w:val="22"/>
                              <w:szCs w:val="22"/>
                            </w:rPr>
                            <w:t>James Emanuel</w:t>
                          </w:r>
                        </w:hyperlink>
                      </w:p>
                    </w:tc>
                  </w:tr>
                </w:tbl>
                <w:p w14:paraId="0BB5876D" w14:textId="77777777" w:rsidR="00364C14" w:rsidRPr="00364C14" w:rsidRDefault="00364C14">
                  <w:pPr>
                    <w:rPr>
                      <w:rFonts w:ascii="Times New Roman" w:eastAsia="Times New Roman" w:hAnsi="Times New Roman" w:cs="Times New Roman"/>
                      <w:sz w:val="22"/>
                      <w:szCs w:val="22"/>
                    </w:rPr>
                  </w:pPr>
                </w:p>
              </w:tc>
            </w:tr>
            <w:tr w:rsidR="00364C14" w:rsidRPr="00364C14" w14:paraId="3BEED518"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83"/>
                  </w:tblGrid>
                  <w:tr w:rsidR="00364C14" w:rsidRPr="00364C14" w14:paraId="0A773D33" w14:textId="77777777">
                    <w:trPr>
                      <w:tblCellSpacing w:w="0" w:type="dxa"/>
                    </w:trPr>
                    <w:tc>
                      <w:tcPr>
                        <w:tcW w:w="0" w:type="auto"/>
                        <w:vAlign w:val="center"/>
                        <w:hideMark/>
                      </w:tcPr>
                      <w:p w14:paraId="32E4B16C" w14:textId="77777777" w:rsidR="00364C14" w:rsidRPr="00364C14" w:rsidRDefault="00364C14">
                        <w:pPr>
                          <w:spacing w:line="300" w:lineRule="atLeast"/>
                          <w:rPr>
                            <w:rFonts w:ascii="Segoe UI" w:eastAsia="Times New Roman" w:hAnsi="Segoe UI" w:cs="Segoe UI"/>
                            <w:caps/>
                            <w:color w:val="777777"/>
                            <w:spacing w:val="3"/>
                            <w:sz w:val="22"/>
                            <w:szCs w:val="22"/>
                          </w:rPr>
                        </w:pPr>
                        <w:r w:rsidRPr="00364C14">
                          <w:rPr>
                            <w:rFonts w:ascii="Segoe UI" w:eastAsia="Times New Roman" w:hAnsi="Segoe UI" w:cs="Segoe UI"/>
                            <w:caps/>
                            <w:color w:val="777777"/>
                            <w:spacing w:val="3"/>
                            <w:sz w:val="22"/>
                            <w:szCs w:val="22"/>
                          </w:rPr>
                          <w:t>Nov 25</w:t>
                        </w:r>
                      </w:p>
                    </w:tc>
                  </w:tr>
                </w:tbl>
                <w:p w14:paraId="1B739383" w14:textId="77777777" w:rsidR="00364C14" w:rsidRPr="00364C14" w:rsidRDefault="00364C14">
                  <w:pPr>
                    <w:rPr>
                      <w:rFonts w:ascii="Times New Roman" w:eastAsia="Times New Roman" w:hAnsi="Times New Roman" w:cs="Times New Roman"/>
                      <w:sz w:val="22"/>
                      <w:szCs w:val="22"/>
                    </w:rPr>
                  </w:pPr>
                </w:p>
              </w:tc>
            </w:tr>
          </w:tbl>
          <w:p w14:paraId="5471BEA7" w14:textId="77777777" w:rsidR="00364C14" w:rsidRPr="00364C14" w:rsidRDefault="00364C14">
            <w:pPr>
              <w:rPr>
                <w:rFonts w:ascii="Times New Roman" w:eastAsia="Times New Roman" w:hAnsi="Times New Roman" w:cs="Times New Roman"/>
                <w:sz w:val="22"/>
                <w:szCs w:val="22"/>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364C14" w:rsidRPr="00364C14" w14:paraId="2057D3A9" w14:textId="77777777">
              <w:trPr>
                <w:tblCellSpacing w:w="0" w:type="dxa"/>
                <w:jc w:val="right"/>
              </w:trPr>
              <w:tc>
                <w:tcPr>
                  <w:tcW w:w="0" w:type="auto"/>
                  <w:vAlign w:val="center"/>
                  <w:hideMark/>
                </w:tcPr>
                <w:p w14:paraId="2AABEAB4" w14:textId="21BDBAD4" w:rsidR="00364C14" w:rsidRPr="00364C14" w:rsidRDefault="00364C14">
                  <w:pPr>
                    <w:rPr>
                      <w:rFonts w:eastAsia="Times New Roman"/>
                      <w:sz w:val="22"/>
                      <w:szCs w:val="22"/>
                    </w:rPr>
                  </w:pPr>
                </w:p>
              </w:tc>
            </w:tr>
          </w:tbl>
          <w:p w14:paraId="645FACD2" w14:textId="77777777" w:rsidR="00364C14" w:rsidRPr="00364C14" w:rsidRDefault="00364C14">
            <w:pPr>
              <w:jc w:val="right"/>
              <w:rPr>
                <w:rFonts w:ascii="Times New Roman" w:eastAsia="Times New Roman" w:hAnsi="Times New Roman" w:cs="Times New Roman"/>
                <w:sz w:val="22"/>
                <w:szCs w:val="22"/>
              </w:rPr>
            </w:pPr>
          </w:p>
        </w:tc>
      </w:tr>
    </w:tbl>
    <w:p w14:paraId="54D8E97E" w14:textId="77777777" w:rsidR="00364C14" w:rsidRPr="00364C14" w:rsidRDefault="00364C14" w:rsidP="00364C14">
      <w:pPr>
        <w:spacing w:line="390" w:lineRule="atLeast"/>
        <w:rPr>
          <w:rFonts w:eastAsia="Times New Roman"/>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45"/>
        <w:gridCol w:w="10419"/>
        <w:gridCol w:w="336"/>
      </w:tblGrid>
      <w:tr w:rsidR="00364C14" w:rsidRPr="00364C14" w14:paraId="47FA3397" w14:textId="77777777">
        <w:trPr>
          <w:gridAfter w:val="2"/>
          <w:wAfter w:w="13950" w:type="dxa"/>
          <w:trHeight w:val="240"/>
          <w:tblCellSpacing w:w="0" w:type="dxa"/>
        </w:trPr>
        <w:tc>
          <w:tcPr>
            <w:tcW w:w="0" w:type="auto"/>
            <w:vAlign w:val="center"/>
            <w:hideMark/>
          </w:tcPr>
          <w:p w14:paraId="2082761E" w14:textId="7701F916" w:rsidR="00364C14" w:rsidRPr="00364C14" w:rsidRDefault="00364C14">
            <w:pPr>
              <w:spacing w:line="0" w:lineRule="auto"/>
              <w:rPr>
                <w:rFonts w:eastAsia="Times New Roman"/>
                <w:sz w:val="22"/>
                <w:szCs w:val="22"/>
              </w:rPr>
            </w:pPr>
          </w:p>
        </w:tc>
      </w:tr>
      <w:tr w:rsidR="00364C14" w:rsidRPr="00364C14" w14:paraId="6C935059" w14:textId="77777777" w:rsidTr="00364C14">
        <w:trPr>
          <w:gridAfter w:val="2"/>
          <w:wAfter w:w="13950" w:type="dxa"/>
          <w:tblCellSpacing w:w="0" w:type="dxa"/>
        </w:trPr>
        <w:tc>
          <w:tcPr>
            <w:tcW w:w="0" w:type="auto"/>
            <w:vAlign w:val="center"/>
          </w:tcPr>
          <w:p w14:paraId="4B96A060" w14:textId="77777777" w:rsidR="00364C14" w:rsidRPr="00364C14" w:rsidRDefault="00364C14">
            <w:pPr>
              <w:rPr>
                <w:rFonts w:ascii="Times New Roman" w:eastAsia="Times New Roman" w:hAnsi="Times New Roman" w:cs="Times New Roman"/>
                <w:sz w:val="22"/>
                <w:szCs w:val="22"/>
              </w:rPr>
            </w:pPr>
          </w:p>
        </w:tc>
      </w:tr>
      <w:tr w:rsidR="00364C14" w:rsidRPr="00364C14" w14:paraId="0D2233AD" w14:textId="77777777">
        <w:trPr>
          <w:gridAfter w:val="2"/>
          <w:wAfter w:w="13950" w:type="dxa"/>
          <w:trHeight w:val="240"/>
          <w:tblCellSpacing w:w="0" w:type="dxa"/>
        </w:trPr>
        <w:tc>
          <w:tcPr>
            <w:tcW w:w="0" w:type="auto"/>
            <w:vAlign w:val="center"/>
            <w:hideMark/>
          </w:tcPr>
          <w:p w14:paraId="6A7E5F7D" w14:textId="77777777" w:rsidR="00364C14" w:rsidRPr="00364C14" w:rsidRDefault="00364C14">
            <w:pPr>
              <w:spacing w:line="0" w:lineRule="auto"/>
              <w:rPr>
                <w:rFonts w:eastAsia="Times New Roman"/>
                <w:sz w:val="22"/>
                <w:szCs w:val="22"/>
              </w:rPr>
            </w:pPr>
            <w:r w:rsidRPr="00364C14">
              <w:rPr>
                <w:rFonts w:eastAsia="Times New Roman"/>
                <w:sz w:val="22"/>
                <w:szCs w:val="22"/>
              </w:rPr>
              <w:t> </w:t>
            </w:r>
          </w:p>
        </w:tc>
      </w:tr>
      <w:tr w:rsidR="00364C14" w:rsidRPr="00364C14" w14:paraId="32E2A3DF" w14:textId="77777777">
        <w:trPr>
          <w:tblCellSpacing w:w="0" w:type="dxa"/>
        </w:trPr>
        <w:tc>
          <w:tcPr>
            <w:tcW w:w="0" w:type="auto"/>
            <w:tcMar>
              <w:top w:w="240" w:type="dxa"/>
              <w:left w:w="0" w:type="dxa"/>
              <w:bottom w:w="384" w:type="dxa"/>
              <w:right w:w="0" w:type="dxa"/>
            </w:tcMar>
            <w:vAlign w:val="center"/>
            <w:hideMark/>
          </w:tcPr>
          <w:p w14:paraId="74253196" w14:textId="77777777" w:rsidR="00364C14" w:rsidRPr="00364C14" w:rsidRDefault="00364C14">
            <w:pPr>
              <w:rPr>
                <w:sz w:val="22"/>
                <w:szCs w:val="22"/>
              </w:rPr>
            </w:pPr>
          </w:p>
        </w:tc>
        <w:tc>
          <w:tcPr>
            <w:tcW w:w="13470" w:type="dxa"/>
            <w:tcMar>
              <w:top w:w="240" w:type="dxa"/>
              <w:left w:w="0" w:type="dxa"/>
              <w:bottom w:w="384" w:type="dxa"/>
              <w:right w:w="0" w:type="dxa"/>
            </w:tcMar>
            <w:vAlign w:val="center"/>
            <w:hideMark/>
          </w:tcPr>
          <w:p w14:paraId="51EC3B1B" w14:textId="49D6A38E" w:rsidR="00364C14" w:rsidRPr="00364C14" w:rsidRDefault="00364C14">
            <w:pPr>
              <w:jc w:val="center"/>
              <w:rPr>
                <w:rFonts w:eastAsia="Times New Roman"/>
                <w:sz w:val="22"/>
                <w:szCs w:val="22"/>
              </w:rPr>
            </w:pPr>
            <w:r w:rsidRPr="00364C14">
              <w:rPr>
                <w:rStyle w:val="Hyperlink"/>
                <w:rFonts w:eastAsia="Times New Roman"/>
                <w:noProof/>
                <w:sz w:val="22"/>
                <w:szCs w:val="22"/>
                <w:bdr w:val="none" w:sz="0" w:space="0" w:color="auto" w:frame="1"/>
              </w:rPr>
              <w:drawing>
                <wp:inline distT="0" distB="0" distL="0" distR="0" wp14:anchorId="3B27FE00" wp14:editId="3C42841F">
                  <wp:extent cx="2165350" cy="1634524"/>
                  <wp:effectExtent l="0" t="0" r="6350" b="3810"/>
                  <wp:docPr id="519304375" name="Picture 2" descr="A brain with wires connected to it&#10;&#10;AI-generated content may be incorrect.">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04375" name="Picture 2" descr="A brain with wires connected to it&#10;&#10;AI-generated content may be incorrect.">
                            <a:hlinkClick r:id="rId6" tgtFrame="_blank"/>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2040" cy="1639574"/>
                          </a:xfrm>
                          <a:prstGeom prst="rect">
                            <a:avLst/>
                          </a:prstGeom>
                          <a:noFill/>
                          <a:ln>
                            <a:noFill/>
                          </a:ln>
                        </pic:spPr>
                      </pic:pic>
                    </a:graphicData>
                  </a:graphic>
                </wp:inline>
              </w:drawing>
            </w:r>
          </w:p>
        </w:tc>
        <w:tc>
          <w:tcPr>
            <w:tcW w:w="0" w:type="auto"/>
            <w:tcMar>
              <w:top w:w="240" w:type="dxa"/>
              <w:left w:w="0" w:type="dxa"/>
              <w:bottom w:w="384" w:type="dxa"/>
              <w:right w:w="0" w:type="dxa"/>
            </w:tcMar>
            <w:vAlign w:val="center"/>
            <w:hideMark/>
          </w:tcPr>
          <w:p w14:paraId="6EA45F23" w14:textId="77777777" w:rsidR="00364C14" w:rsidRPr="00364C14" w:rsidRDefault="00364C14">
            <w:pPr>
              <w:rPr>
                <w:rFonts w:eastAsia="Times New Roman"/>
                <w:sz w:val="22"/>
                <w:szCs w:val="22"/>
              </w:rPr>
            </w:pPr>
          </w:p>
        </w:tc>
      </w:tr>
    </w:tbl>
    <w:p w14:paraId="3BB57A0E"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Our series on mental models continues with Part #7. Links to other posts in this series are below:</w:t>
      </w:r>
    </w:p>
    <w:p w14:paraId="3C182EF9" w14:textId="77777777" w:rsidR="00364C14" w:rsidRPr="00364C14" w:rsidRDefault="00364C14" w:rsidP="00364C14">
      <w:pPr>
        <w:numPr>
          <w:ilvl w:val="0"/>
          <w:numId w:val="1"/>
        </w:numPr>
        <w:spacing w:line="390" w:lineRule="atLeast"/>
        <w:rPr>
          <w:rFonts w:ascii="Segoe UI" w:eastAsia="Times New Roman" w:hAnsi="Segoe UI" w:cs="Segoe UI"/>
          <w:color w:val="363737"/>
          <w:sz w:val="22"/>
          <w:szCs w:val="22"/>
        </w:rPr>
      </w:pPr>
      <w:hyperlink r:id="rId8" w:history="1">
        <w:r w:rsidRPr="00364C14">
          <w:rPr>
            <w:rStyle w:val="Hyperlink"/>
            <w:rFonts w:ascii="Segoe UI" w:eastAsia="Times New Roman" w:hAnsi="Segoe UI" w:cs="Segoe UI"/>
            <w:color w:val="665FFF"/>
            <w:sz w:val="22"/>
            <w:szCs w:val="22"/>
          </w:rPr>
          <w:t>Mental Models #1</w:t>
        </w:r>
      </w:hyperlink>
      <w:r w:rsidRPr="00364C14">
        <w:rPr>
          <w:rFonts w:ascii="Segoe UI" w:eastAsia="Times New Roman" w:hAnsi="Segoe UI" w:cs="Segoe UI"/>
          <w:color w:val="363737"/>
          <w:sz w:val="22"/>
          <w:szCs w:val="22"/>
        </w:rPr>
        <w:t xml:space="preserve"> - The need for a lattice of mental models, Charlie Munger</w:t>
      </w:r>
    </w:p>
    <w:p w14:paraId="06CECFAA" w14:textId="77777777" w:rsidR="00364C14" w:rsidRPr="00364C14" w:rsidRDefault="00364C14" w:rsidP="00364C14">
      <w:pPr>
        <w:numPr>
          <w:ilvl w:val="0"/>
          <w:numId w:val="1"/>
        </w:numPr>
        <w:spacing w:line="390" w:lineRule="atLeast"/>
        <w:rPr>
          <w:rFonts w:ascii="Segoe UI" w:eastAsia="Times New Roman" w:hAnsi="Segoe UI" w:cs="Segoe UI"/>
          <w:color w:val="363737"/>
          <w:sz w:val="22"/>
          <w:szCs w:val="22"/>
        </w:rPr>
      </w:pPr>
      <w:hyperlink r:id="rId9" w:history="1">
        <w:r w:rsidRPr="00364C14">
          <w:rPr>
            <w:rStyle w:val="Hyperlink"/>
            <w:rFonts w:ascii="Segoe UI" w:eastAsia="Times New Roman" w:hAnsi="Segoe UI" w:cs="Segoe UI"/>
            <w:color w:val="665FFF"/>
            <w:sz w:val="22"/>
            <w:szCs w:val="22"/>
          </w:rPr>
          <w:t>Mental Models #2</w:t>
        </w:r>
      </w:hyperlink>
      <w:r w:rsidRPr="00364C14">
        <w:rPr>
          <w:rFonts w:ascii="Segoe UI" w:eastAsia="Times New Roman" w:hAnsi="Segoe UI" w:cs="Segoe UI"/>
          <w:color w:val="363737"/>
          <w:sz w:val="22"/>
          <w:szCs w:val="22"/>
        </w:rPr>
        <w:t xml:space="preserve"> - Commercial democratization as a mental model</w:t>
      </w:r>
    </w:p>
    <w:p w14:paraId="470171FE" w14:textId="77777777" w:rsidR="00364C14" w:rsidRPr="00364C14" w:rsidRDefault="00364C14" w:rsidP="00364C14">
      <w:pPr>
        <w:numPr>
          <w:ilvl w:val="0"/>
          <w:numId w:val="1"/>
        </w:numPr>
        <w:spacing w:line="390" w:lineRule="atLeast"/>
        <w:rPr>
          <w:rFonts w:ascii="Segoe UI" w:eastAsia="Times New Roman" w:hAnsi="Segoe UI" w:cs="Segoe UI"/>
          <w:color w:val="363737"/>
          <w:sz w:val="22"/>
          <w:szCs w:val="22"/>
        </w:rPr>
      </w:pPr>
      <w:hyperlink r:id="rId10" w:history="1">
        <w:r w:rsidRPr="00364C14">
          <w:rPr>
            <w:rStyle w:val="Hyperlink"/>
            <w:rFonts w:ascii="Segoe UI" w:eastAsia="Times New Roman" w:hAnsi="Segoe UI" w:cs="Segoe UI"/>
            <w:color w:val="665FFF"/>
            <w:sz w:val="22"/>
            <w:szCs w:val="22"/>
          </w:rPr>
          <w:t>Mental Models #3</w:t>
        </w:r>
      </w:hyperlink>
      <w:r w:rsidRPr="00364C14">
        <w:rPr>
          <w:rFonts w:ascii="Segoe UI" w:eastAsia="Times New Roman" w:hAnsi="Segoe UI" w:cs="Segoe UI"/>
          <w:color w:val="363737"/>
          <w:sz w:val="22"/>
          <w:szCs w:val="22"/>
        </w:rPr>
        <w:t xml:space="preserve"> - Incrementally better isn’t enough, be fundamentally different</w:t>
      </w:r>
    </w:p>
    <w:p w14:paraId="1D7EF0D2" w14:textId="77777777" w:rsidR="00364C14" w:rsidRPr="00364C14" w:rsidRDefault="00364C14" w:rsidP="00364C14">
      <w:pPr>
        <w:numPr>
          <w:ilvl w:val="0"/>
          <w:numId w:val="1"/>
        </w:numPr>
        <w:spacing w:line="390" w:lineRule="atLeast"/>
        <w:rPr>
          <w:rFonts w:ascii="Segoe UI" w:eastAsia="Times New Roman" w:hAnsi="Segoe UI" w:cs="Segoe UI"/>
          <w:color w:val="363737"/>
          <w:sz w:val="22"/>
          <w:szCs w:val="22"/>
        </w:rPr>
      </w:pPr>
      <w:hyperlink r:id="rId11" w:history="1">
        <w:r w:rsidRPr="00364C14">
          <w:rPr>
            <w:rStyle w:val="Hyperlink"/>
            <w:rFonts w:ascii="Segoe UI" w:eastAsia="Times New Roman" w:hAnsi="Segoe UI" w:cs="Segoe UI"/>
            <w:color w:val="665FFF"/>
            <w:sz w:val="22"/>
            <w:szCs w:val="22"/>
          </w:rPr>
          <w:t>Mental Models #4</w:t>
        </w:r>
      </w:hyperlink>
      <w:r w:rsidRPr="00364C14">
        <w:rPr>
          <w:rFonts w:ascii="Segoe UI" w:eastAsia="Times New Roman" w:hAnsi="Segoe UI" w:cs="Segoe UI"/>
          <w:color w:val="363737"/>
          <w:sz w:val="22"/>
          <w:szCs w:val="22"/>
        </w:rPr>
        <w:t xml:space="preserve"> - Ideas have no value</w:t>
      </w:r>
    </w:p>
    <w:p w14:paraId="29E97012" w14:textId="77777777" w:rsidR="00364C14" w:rsidRPr="00364C14" w:rsidRDefault="00364C14" w:rsidP="00364C14">
      <w:pPr>
        <w:numPr>
          <w:ilvl w:val="0"/>
          <w:numId w:val="1"/>
        </w:numPr>
        <w:spacing w:line="390" w:lineRule="atLeast"/>
        <w:rPr>
          <w:rFonts w:ascii="Segoe UI" w:eastAsia="Times New Roman" w:hAnsi="Segoe UI" w:cs="Segoe UI"/>
          <w:color w:val="363737"/>
          <w:sz w:val="22"/>
          <w:szCs w:val="22"/>
        </w:rPr>
      </w:pPr>
      <w:hyperlink r:id="rId12" w:history="1">
        <w:r w:rsidRPr="00364C14">
          <w:rPr>
            <w:rStyle w:val="Hyperlink"/>
            <w:rFonts w:ascii="Segoe UI" w:eastAsia="Times New Roman" w:hAnsi="Segoe UI" w:cs="Segoe UI"/>
            <w:color w:val="665FFF"/>
            <w:sz w:val="22"/>
            <w:szCs w:val="22"/>
          </w:rPr>
          <w:t>Mental Models #5</w:t>
        </w:r>
      </w:hyperlink>
      <w:r w:rsidRPr="00364C14">
        <w:rPr>
          <w:rFonts w:ascii="Segoe UI" w:eastAsia="Times New Roman" w:hAnsi="Segoe UI" w:cs="Segoe UI"/>
          <w:color w:val="363737"/>
          <w:sz w:val="22"/>
          <w:szCs w:val="22"/>
        </w:rPr>
        <w:t xml:space="preserve"> - Scale Economics Shared</w:t>
      </w:r>
    </w:p>
    <w:p w14:paraId="7B7D3CD3" w14:textId="77777777" w:rsidR="00364C14" w:rsidRPr="00364C14" w:rsidRDefault="00364C14" w:rsidP="00364C14">
      <w:pPr>
        <w:numPr>
          <w:ilvl w:val="0"/>
          <w:numId w:val="1"/>
        </w:numPr>
        <w:spacing w:line="390" w:lineRule="atLeast"/>
        <w:rPr>
          <w:rFonts w:ascii="Segoe UI" w:eastAsia="Times New Roman" w:hAnsi="Segoe UI" w:cs="Segoe UI"/>
          <w:color w:val="363737"/>
          <w:sz w:val="22"/>
          <w:szCs w:val="22"/>
        </w:rPr>
      </w:pPr>
      <w:hyperlink r:id="rId13" w:history="1">
        <w:r w:rsidRPr="00364C14">
          <w:rPr>
            <w:rStyle w:val="Hyperlink"/>
            <w:rFonts w:ascii="Segoe UI" w:eastAsia="Times New Roman" w:hAnsi="Segoe UI" w:cs="Segoe UI"/>
            <w:color w:val="665FFF"/>
            <w:sz w:val="22"/>
            <w:szCs w:val="22"/>
          </w:rPr>
          <w:t>Mental Models #6</w:t>
        </w:r>
      </w:hyperlink>
      <w:r w:rsidRPr="00364C14">
        <w:rPr>
          <w:rFonts w:ascii="Segoe UI" w:eastAsia="Times New Roman" w:hAnsi="Segoe UI" w:cs="Segoe UI"/>
          <w:color w:val="363737"/>
          <w:sz w:val="22"/>
          <w:szCs w:val="22"/>
        </w:rPr>
        <w:t xml:space="preserve"> - Structural Toxicity</w:t>
      </w:r>
    </w:p>
    <w:p w14:paraId="0E936623" w14:textId="77777777" w:rsidR="00364C14" w:rsidRPr="00364C14" w:rsidRDefault="00364C14" w:rsidP="00364C14">
      <w:pPr>
        <w:numPr>
          <w:ilvl w:val="0"/>
          <w:numId w:val="1"/>
        </w:numPr>
        <w:spacing w:line="390"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Mental Models #7 - This post</w:t>
      </w:r>
    </w:p>
    <w:p w14:paraId="47C20D61"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There are more to follow in the weeks ahead.</w:t>
      </w:r>
    </w:p>
    <w:p w14:paraId="5142AD1A" w14:textId="793FEB18" w:rsidR="00364C14" w:rsidRPr="00364C14" w:rsidRDefault="00364C14" w:rsidP="00364C14">
      <w:pPr>
        <w:spacing w:line="390" w:lineRule="atLeast"/>
        <w:jc w:val="center"/>
        <w:rPr>
          <w:rFonts w:ascii="Segoe UI" w:eastAsia="Times New Roman" w:hAnsi="Segoe UI" w:cs="Segoe UI"/>
          <w:color w:val="363737"/>
          <w:sz w:val="22"/>
          <w:szCs w:val="22"/>
        </w:rPr>
      </w:pPr>
    </w:p>
    <w:p w14:paraId="05F7A853" w14:textId="77777777" w:rsidR="00364C14" w:rsidRPr="00364C14" w:rsidRDefault="00364C14" w:rsidP="00364C14">
      <w:pPr>
        <w:spacing w:line="390" w:lineRule="atLeast"/>
        <w:jc w:val="center"/>
        <w:rPr>
          <w:rFonts w:ascii="Segoe UI" w:eastAsia="Times New Roman" w:hAnsi="Segoe UI" w:cs="Segoe UI"/>
          <w:sz w:val="22"/>
          <w:szCs w:val="22"/>
        </w:rPr>
      </w:pPr>
      <w:r w:rsidRPr="00364C14">
        <w:rPr>
          <w:rFonts w:ascii="Segoe UI" w:eastAsia="Times New Roman" w:hAnsi="Segoe UI" w:cs="Segoe UI"/>
          <w:sz w:val="22"/>
          <w:szCs w:val="22"/>
        </w:rPr>
        <w:pict w14:anchorId="084819A0">
          <v:rect id="_x0000_i1032" style="width:468pt;height:.75pt" o:hralign="center" o:hrstd="t" o:hr="t" fillcolor="#a0a0a0" stroked="f"/>
        </w:pict>
      </w:r>
    </w:p>
    <w:p w14:paraId="09011E85"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Most investors are familiar with the DuPont analysis, which breaks down Return on Equity (ROE) into three components: profit margin, asset turnover and leverage.</w:t>
      </w:r>
    </w:p>
    <w:p w14:paraId="0AFC87CC"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 xml:space="preserve">ROE = Profit Margin × Asset Turnover × Leverage </w:t>
      </w:r>
    </w:p>
    <w:p w14:paraId="14F2486C"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This framework is powerful because a raw ROE number may appear </w:t>
      </w:r>
      <w:proofErr w:type="spellStart"/>
      <w:r w:rsidRPr="00364C14">
        <w:rPr>
          <w:rFonts w:ascii="Segoe UI" w:hAnsi="Segoe UI" w:cs="Segoe UI"/>
          <w:color w:val="363737"/>
          <w:sz w:val="22"/>
          <w:szCs w:val="22"/>
        </w:rPr>
        <w:t>favourable</w:t>
      </w:r>
      <w:proofErr w:type="spellEnd"/>
      <w:r w:rsidRPr="00364C14">
        <w:rPr>
          <w:rFonts w:ascii="Segoe UI" w:hAnsi="Segoe UI" w:cs="Segoe UI"/>
          <w:color w:val="363737"/>
          <w:sz w:val="22"/>
          <w:szCs w:val="22"/>
        </w:rPr>
        <w:t xml:space="preserve">, but if it is driven purely by increasing leverage and impairing the balance sheet, then it </w:t>
      </w:r>
      <w:proofErr w:type="spellStart"/>
      <w:r w:rsidRPr="00364C14">
        <w:rPr>
          <w:rFonts w:ascii="Segoe UI" w:hAnsi="Segoe UI" w:cs="Segoe UI"/>
          <w:color w:val="363737"/>
          <w:sz w:val="22"/>
          <w:szCs w:val="22"/>
        </w:rPr>
        <w:t>ain’t</w:t>
      </w:r>
      <w:proofErr w:type="spellEnd"/>
      <w:r w:rsidRPr="00364C14">
        <w:rPr>
          <w:rFonts w:ascii="Segoe UI" w:hAnsi="Segoe UI" w:cs="Segoe UI"/>
          <w:color w:val="363737"/>
          <w:sz w:val="22"/>
          <w:szCs w:val="22"/>
        </w:rPr>
        <w:t xml:space="preserve"> so good!</w:t>
      </w:r>
    </w:p>
    <w:p w14:paraId="2DD10A43"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Breaking ROE into these three components enables the investor to compare trends over time. Investors want to see the first two components driving ROE improvements, not the third.</w:t>
      </w:r>
    </w:p>
    <w:p w14:paraId="47837A91"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But there’s an even more insightful way to think about the relationships between ROE, Return on Assets (ROA) and Return on Invested Capital (ROIC) that can give you immediate insights into a company’s operational efficiency, capital structure and overall quality.</w:t>
      </w:r>
    </w:p>
    <w:p w14:paraId="53D8BFF0" w14:textId="77777777" w:rsidR="00364C14" w:rsidRPr="00364C14" w:rsidRDefault="00364C14" w:rsidP="00364C14">
      <w:pPr>
        <w:pStyle w:val="Heading2"/>
        <w:spacing w:before="240" w:after="150" w:line="278"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The Foundation: Three Returns, Three Perspectives</w:t>
      </w:r>
    </w:p>
    <w:p w14:paraId="3D483B12"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Think of these three </w:t>
      </w:r>
      <w:proofErr w:type="gramStart"/>
      <w:r w:rsidRPr="00364C14">
        <w:rPr>
          <w:rFonts w:ascii="Segoe UI" w:hAnsi="Segoe UI" w:cs="Segoe UI"/>
          <w:color w:val="363737"/>
          <w:sz w:val="22"/>
          <w:szCs w:val="22"/>
        </w:rPr>
        <w:t>metrics</w:t>
      </w:r>
      <w:proofErr w:type="gramEnd"/>
      <w:r w:rsidRPr="00364C14">
        <w:rPr>
          <w:rFonts w:ascii="Segoe UI" w:hAnsi="Segoe UI" w:cs="Segoe UI"/>
          <w:color w:val="363737"/>
          <w:sz w:val="22"/>
          <w:szCs w:val="22"/>
        </w:rPr>
        <w:t xml:space="preserve"> as looking at the same business through different lenses: </w:t>
      </w:r>
    </w:p>
    <w:p w14:paraId="170EF610" w14:textId="77777777" w:rsidR="00364C14" w:rsidRPr="00364C14" w:rsidRDefault="00364C14" w:rsidP="00364C14">
      <w:pPr>
        <w:numPr>
          <w:ilvl w:val="0"/>
          <w:numId w:val="2"/>
        </w:numPr>
        <w:spacing w:line="390"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 xml:space="preserve">ROIC measures </w:t>
      </w:r>
      <w:proofErr w:type="gramStart"/>
      <w:r w:rsidRPr="00364C14">
        <w:rPr>
          <w:rFonts w:ascii="Segoe UI" w:eastAsia="Times New Roman" w:hAnsi="Segoe UI" w:cs="Segoe UI"/>
          <w:color w:val="363737"/>
          <w:sz w:val="22"/>
          <w:szCs w:val="22"/>
        </w:rPr>
        <w:t>returns</w:t>
      </w:r>
      <w:proofErr w:type="gramEnd"/>
      <w:r w:rsidRPr="00364C14">
        <w:rPr>
          <w:rFonts w:ascii="Segoe UI" w:eastAsia="Times New Roman" w:hAnsi="Segoe UI" w:cs="Segoe UI"/>
          <w:color w:val="363737"/>
          <w:sz w:val="22"/>
          <w:szCs w:val="22"/>
        </w:rPr>
        <w:t xml:space="preserve"> on the capital </w:t>
      </w:r>
      <w:proofErr w:type="gramStart"/>
      <w:r w:rsidRPr="00364C14">
        <w:rPr>
          <w:rFonts w:ascii="Segoe UI" w:eastAsia="Times New Roman" w:hAnsi="Segoe UI" w:cs="Segoe UI"/>
          <w:color w:val="363737"/>
          <w:sz w:val="22"/>
          <w:szCs w:val="22"/>
        </w:rPr>
        <w:t>actually deployed</w:t>
      </w:r>
      <w:proofErr w:type="gramEnd"/>
      <w:r w:rsidRPr="00364C14">
        <w:rPr>
          <w:rFonts w:ascii="Segoe UI" w:eastAsia="Times New Roman" w:hAnsi="Segoe UI" w:cs="Segoe UI"/>
          <w:color w:val="363737"/>
          <w:sz w:val="22"/>
          <w:szCs w:val="22"/>
        </w:rPr>
        <w:t xml:space="preserve"> in operations (pre-tax operating income divided by invested capital).</w:t>
      </w:r>
    </w:p>
    <w:p w14:paraId="34027318" w14:textId="77777777" w:rsidR="00364C14" w:rsidRPr="00364C14" w:rsidRDefault="00364C14" w:rsidP="00364C14">
      <w:pPr>
        <w:numPr>
          <w:ilvl w:val="0"/>
          <w:numId w:val="2"/>
        </w:numPr>
        <w:spacing w:line="390"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 xml:space="preserve">ROA adjusts this for taxes and looks at returns on all assets. </w:t>
      </w:r>
    </w:p>
    <w:p w14:paraId="5D062ACC" w14:textId="77777777" w:rsidR="00364C14" w:rsidRPr="00364C14" w:rsidRDefault="00364C14" w:rsidP="00364C14">
      <w:pPr>
        <w:numPr>
          <w:ilvl w:val="0"/>
          <w:numId w:val="2"/>
        </w:numPr>
        <w:spacing w:line="390"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 xml:space="preserve">ROE then adds the impact of financial leverage to show what shareholders </w:t>
      </w:r>
      <w:proofErr w:type="gramStart"/>
      <w:r w:rsidRPr="00364C14">
        <w:rPr>
          <w:rFonts w:ascii="Segoe UI" w:eastAsia="Times New Roman" w:hAnsi="Segoe UI" w:cs="Segoe UI"/>
          <w:color w:val="363737"/>
          <w:sz w:val="22"/>
          <w:szCs w:val="22"/>
        </w:rPr>
        <w:t>actually earn</w:t>
      </w:r>
      <w:proofErr w:type="gramEnd"/>
      <w:r w:rsidRPr="00364C14">
        <w:rPr>
          <w:rFonts w:ascii="Segoe UI" w:eastAsia="Times New Roman" w:hAnsi="Segoe UI" w:cs="Segoe UI"/>
          <w:color w:val="363737"/>
          <w:sz w:val="22"/>
          <w:szCs w:val="22"/>
        </w:rPr>
        <w:t>.</w:t>
      </w:r>
    </w:p>
    <w:p w14:paraId="50A4AE19"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The beautiful thing about these metrics is that their relationship with each other reveals critical information about how a business works. And you can extract these insights through simple mental calculations that take seconds to perform.</w:t>
      </w:r>
    </w:p>
    <w:p w14:paraId="58B7D4B0" w14:textId="77777777" w:rsidR="00364C14" w:rsidRPr="00364C14" w:rsidRDefault="00364C14" w:rsidP="00364C14">
      <w:pPr>
        <w:pStyle w:val="Heading2"/>
        <w:spacing w:before="240" w:after="150" w:line="278"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The Leverage Detector: ROE vs. ROA</w:t>
      </w:r>
    </w:p>
    <w:p w14:paraId="1F675B73"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This is your quickest and cleanest diagnostic tool.</w:t>
      </w:r>
    </w:p>
    <w:p w14:paraId="5B2C19C0"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 xml:space="preserve">ROE = Profit Margin × Asset Turnover × Leverage </w:t>
      </w:r>
    </w:p>
    <w:p w14:paraId="45E4C5D3"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with each of the three elements deconstructed as:</w:t>
      </w:r>
    </w:p>
    <w:p w14:paraId="7485F8C8"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 xml:space="preserve">ROE = (Net Income/Sales) × (Sales/Assets) × (Assets/Equity) </w:t>
      </w:r>
      <w:r w:rsidRPr="00364C14">
        <w:rPr>
          <w:rStyle w:val="Emphasis"/>
          <w:rFonts w:ascii="Segoe UI" w:hAnsi="Segoe UI" w:cs="Segoe UI"/>
          <w:color w:val="363737"/>
          <w:sz w:val="22"/>
          <w:szCs w:val="22"/>
        </w:rPr>
        <w:t>= Net Income/Equity</w:t>
      </w:r>
    </w:p>
    <w:p w14:paraId="52A5F549"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But the first part of </w:t>
      </w:r>
      <w:proofErr w:type="gramStart"/>
      <w:r w:rsidRPr="00364C14">
        <w:rPr>
          <w:rFonts w:ascii="Segoe UI" w:hAnsi="Segoe UI" w:cs="Segoe UI"/>
          <w:color w:val="363737"/>
          <w:sz w:val="22"/>
          <w:szCs w:val="22"/>
        </w:rPr>
        <w:t>the is</w:t>
      </w:r>
      <w:proofErr w:type="gramEnd"/>
      <w:r w:rsidRPr="00364C14">
        <w:rPr>
          <w:rFonts w:ascii="Segoe UI" w:hAnsi="Segoe UI" w:cs="Segoe UI"/>
          <w:color w:val="363737"/>
          <w:sz w:val="22"/>
          <w:szCs w:val="22"/>
        </w:rPr>
        <w:t xml:space="preserve"> breakdown reveals ROA</w:t>
      </w:r>
    </w:p>
    <w:p w14:paraId="43BFC943"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 xml:space="preserve">ROA = (Net Income/Sales) × (Sales/Assets) </w:t>
      </w:r>
      <w:r w:rsidRPr="00364C14">
        <w:rPr>
          <w:rStyle w:val="Emphasis"/>
          <w:rFonts w:ascii="Segoe UI" w:hAnsi="Segoe UI" w:cs="Segoe UI"/>
          <w:color w:val="363737"/>
          <w:sz w:val="22"/>
          <w:szCs w:val="22"/>
        </w:rPr>
        <w:t>= Net Income/Assets</w:t>
      </w:r>
    </w:p>
    <w:p w14:paraId="2F98DDB7"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proofErr w:type="gramStart"/>
      <w:r w:rsidRPr="00364C14">
        <w:rPr>
          <w:rFonts w:ascii="Segoe UI" w:hAnsi="Segoe UI" w:cs="Segoe UI"/>
          <w:color w:val="363737"/>
          <w:sz w:val="22"/>
          <w:szCs w:val="22"/>
        </w:rPr>
        <w:t>So</w:t>
      </w:r>
      <w:proofErr w:type="gramEnd"/>
      <w:r w:rsidRPr="00364C14">
        <w:rPr>
          <w:rFonts w:ascii="Segoe UI" w:hAnsi="Segoe UI" w:cs="Segoe UI"/>
          <w:color w:val="363737"/>
          <w:sz w:val="22"/>
          <w:szCs w:val="22"/>
        </w:rPr>
        <w:t xml:space="preserve"> the difference between ROA and ROE is the third element — leverage. Said differently, without any leverage ROA would equal ROE.</w:t>
      </w:r>
    </w:p>
    <w:p w14:paraId="167E8F2C"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In other words, by comparing ROE to ROA, one </w:t>
      </w:r>
      <w:proofErr w:type="gramStart"/>
      <w:r w:rsidRPr="00364C14">
        <w:rPr>
          <w:rFonts w:ascii="Segoe UI" w:hAnsi="Segoe UI" w:cs="Segoe UI"/>
          <w:color w:val="363737"/>
          <w:sz w:val="22"/>
          <w:szCs w:val="22"/>
        </w:rPr>
        <w:t>is able to</w:t>
      </w:r>
      <w:proofErr w:type="gramEnd"/>
      <w:r w:rsidRPr="00364C14">
        <w:rPr>
          <w:rFonts w:ascii="Segoe UI" w:hAnsi="Segoe UI" w:cs="Segoe UI"/>
          <w:color w:val="363737"/>
          <w:sz w:val="22"/>
          <w:szCs w:val="22"/>
        </w:rPr>
        <w:t xml:space="preserve"> immediately see how levered the business is. If you see a company with ROE of 20% and ROA of 10%, you instantly know that the company is juicing its returns with a leverage ratio of 2x.</w:t>
      </w:r>
    </w:p>
    <w:p w14:paraId="10474EB9"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ROE / ROA = Leverage</w:t>
      </w:r>
    </w:p>
    <w:p w14:paraId="1AA3CA7A"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This is powerful because it strips away all the noise and tells you immediately whether high returns are coming from operational excellence or financial engineering. A company with ROE of 25% might look impressive, but if ROA is only 5%, you’re looking at a leverage ratio of 5x and that’s a </w:t>
      </w:r>
      <w:proofErr w:type="gramStart"/>
      <w:r w:rsidRPr="00364C14">
        <w:rPr>
          <w:rFonts w:ascii="Segoe UI" w:hAnsi="Segoe UI" w:cs="Segoe UI"/>
          <w:color w:val="363737"/>
          <w:sz w:val="22"/>
          <w:szCs w:val="22"/>
        </w:rPr>
        <w:t>high risk</w:t>
      </w:r>
      <w:proofErr w:type="gramEnd"/>
      <w:r w:rsidRPr="00364C14">
        <w:rPr>
          <w:rFonts w:ascii="Segoe UI" w:hAnsi="Segoe UI" w:cs="Segoe UI"/>
          <w:color w:val="363737"/>
          <w:sz w:val="22"/>
          <w:szCs w:val="22"/>
        </w:rPr>
        <w:t xml:space="preserve"> balance sheet.</w:t>
      </w:r>
    </w:p>
    <w:p w14:paraId="189B77CD"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One important caveat: Sometimes a profitable company can find itself with a negative ROE, simply because it finds itself in a negative equity situation — it is </w:t>
      </w:r>
      <w:proofErr w:type="gramStart"/>
      <w:r w:rsidRPr="00364C14">
        <w:rPr>
          <w:rFonts w:ascii="Segoe UI" w:hAnsi="Segoe UI" w:cs="Segoe UI"/>
          <w:color w:val="363737"/>
          <w:sz w:val="22"/>
          <w:szCs w:val="22"/>
        </w:rPr>
        <w:t xml:space="preserve">the </w:t>
      </w:r>
      <w:proofErr w:type="spellStart"/>
      <w:r w:rsidRPr="00364C14">
        <w:rPr>
          <w:rFonts w:ascii="Segoe UI" w:hAnsi="Segoe UI" w:cs="Segoe UI"/>
          <w:color w:val="363737"/>
          <w:sz w:val="22"/>
          <w:szCs w:val="22"/>
        </w:rPr>
        <w:t>the</w:t>
      </w:r>
      <w:proofErr w:type="spellEnd"/>
      <w:proofErr w:type="gramEnd"/>
      <w:r w:rsidRPr="00364C14">
        <w:rPr>
          <w:rFonts w:ascii="Segoe UI" w:hAnsi="Segoe UI" w:cs="Segoe UI"/>
          <w:color w:val="363737"/>
          <w:sz w:val="22"/>
          <w:szCs w:val="22"/>
        </w:rPr>
        <w:t xml:space="preserve"> denominator, not the numerator that is negative. This isn’t necessarily a bad thing (</w:t>
      </w:r>
      <w:hyperlink r:id="rId14" w:history="1">
        <w:r w:rsidRPr="00364C14">
          <w:rPr>
            <w:rStyle w:val="Hyperlink"/>
            <w:rFonts w:ascii="Segoe UI" w:hAnsi="Segoe UI" w:cs="Segoe UI"/>
            <w:color w:val="665FFF"/>
            <w:sz w:val="22"/>
            <w:szCs w:val="22"/>
          </w:rPr>
          <w:t>see here to understand why this happens</w:t>
        </w:r>
      </w:hyperlink>
      <w:r w:rsidRPr="00364C14">
        <w:rPr>
          <w:rFonts w:ascii="Segoe UI" w:hAnsi="Segoe UI" w:cs="Segoe UI"/>
          <w:color w:val="363737"/>
          <w:sz w:val="22"/>
          <w:szCs w:val="22"/>
        </w:rPr>
        <w:t>), but an unreliable ROE will undermine the reliability of this particular mental model, so beware.</w:t>
      </w:r>
    </w:p>
    <w:p w14:paraId="1F4F9FE8" w14:textId="77777777" w:rsidR="00364C14" w:rsidRPr="00364C14" w:rsidRDefault="00364C14" w:rsidP="00364C14">
      <w:pPr>
        <w:pStyle w:val="Heading2"/>
        <w:spacing w:before="240" w:after="150" w:line="278"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The Capital Base Detector: ROA vs. ROIC</w:t>
      </w:r>
    </w:p>
    <w:p w14:paraId="4CB6561B"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The relationship between ROA and ROIC also tells an important story about a company’s capital base and how it utilizes it for the benefit of shareholders. It’s a more subtle ratio, but once you unpack it, the picture becomes clearer.</w:t>
      </w:r>
    </w:p>
    <w:p w14:paraId="0A1226F3"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The link between the two metrics can be expressed as:</w:t>
      </w:r>
    </w:p>
    <w:p w14:paraId="756CE349"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ROA = ROIC × (1 - tax rate) × (Invested Capital/Total Assets)</w:t>
      </w:r>
    </w:p>
    <w:p w14:paraId="6D584B66"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proofErr w:type="gramStart"/>
      <w:r w:rsidRPr="00364C14">
        <w:rPr>
          <w:rFonts w:ascii="Segoe UI" w:hAnsi="Segoe UI" w:cs="Segoe UI"/>
          <w:color w:val="363737"/>
          <w:sz w:val="22"/>
          <w:szCs w:val="22"/>
        </w:rPr>
        <w:t>So</w:t>
      </w:r>
      <w:proofErr w:type="gramEnd"/>
      <w:r w:rsidRPr="00364C14">
        <w:rPr>
          <w:rFonts w:ascii="Segoe UI" w:hAnsi="Segoe UI" w:cs="Segoe UI"/>
          <w:color w:val="363737"/>
          <w:sz w:val="22"/>
          <w:szCs w:val="22"/>
        </w:rPr>
        <w:t xml:space="preserve"> the relationship between ROA and ROIC tells you about two things simultaneously: the tax burden and the capital structure efficiency.</w:t>
      </w:r>
    </w:p>
    <w:p w14:paraId="6F5166D6"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Here’s where it gets interesting.</w:t>
      </w:r>
    </w:p>
    <w:p w14:paraId="20E31768"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‘Invested capital’ doesn’t include short-term liabilities that do not accrue interest — like accounts payable, accrued expenses and deferred revenue. This is capital on the balance sheet of a company, which is used in operations, but at no associated cost —it has not been supplied by an investor (debt or equity) seeking a return. When suppliers are paid in arrears or customers pay you in advance, you’re using their capital to run your business without paying interest. These are essentially “free” sources of financing that the company gets from its operations. The return generated on this capital boosts shareholder returns (in the same way Warren Buffett utilizes float at Berkshire Hathaway).</w:t>
      </w:r>
    </w:p>
    <w:p w14:paraId="4305A767"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proofErr w:type="gramStart"/>
      <w:r w:rsidRPr="00364C14">
        <w:rPr>
          <w:rFonts w:ascii="Segoe UI" w:hAnsi="Segoe UI" w:cs="Segoe UI"/>
          <w:color w:val="363737"/>
          <w:sz w:val="22"/>
          <w:szCs w:val="22"/>
        </w:rPr>
        <w:t>So</w:t>
      </w:r>
      <w:proofErr w:type="gramEnd"/>
      <w:r w:rsidRPr="00364C14">
        <w:rPr>
          <w:rFonts w:ascii="Segoe UI" w:hAnsi="Segoe UI" w:cs="Segoe UI"/>
          <w:color w:val="363737"/>
          <w:sz w:val="22"/>
          <w:szCs w:val="22"/>
        </w:rPr>
        <w:t xml:space="preserve"> return on total capital (Assets) will always be lower than return on invested capital — the denominator is always larger.</w:t>
      </w:r>
    </w:p>
    <w:p w14:paraId="4AF40437"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If we assume the tax rate stays relatively constant, the ratio of ROA to ROIC is directly proportional to the ratio of Invested Capital to Total Assets:</w:t>
      </w:r>
    </w:p>
    <w:p w14:paraId="0E529E1B"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 xml:space="preserve">ROA / ROIC </w:t>
      </w:r>
      <w:r w:rsidRPr="00364C14">
        <w:rPr>
          <w:rStyle w:val="Strong"/>
          <w:rFonts w:ascii="Cambria Math" w:hAnsi="Cambria Math" w:cs="Cambria Math"/>
          <w:color w:val="363737"/>
          <w:sz w:val="22"/>
          <w:szCs w:val="22"/>
        </w:rPr>
        <w:t>∝</w:t>
      </w:r>
      <w:r w:rsidRPr="00364C14">
        <w:rPr>
          <w:rStyle w:val="Strong"/>
          <w:rFonts w:ascii="Segoe UI" w:hAnsi="Segoe UI" w:cs="Segoe UI"/>
          <w:i/>
          <w:iCs/>
          <w:color w:val="363737"/>
          <w:sz w:val="22"/>
          <w:szCs w:val="22"/>
        </w:rPr>
        <w:t xml:space="preserve"> Invested Capital/Total Assets</w:t>
      </w:r>
    </w:p>
    <w:p w14:paraId="12882969"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proofErr w:type="gramStart"/>
      <w:r w:rsidRPr="00364C14">
        <w:rPr>
          <w:rFonts w:ascii="Segoe UI" w:hAnsi="Segoe UI" w:cs="Segoe UI"/>
          <w:color w:val="363737"/>
          <w:sz w:val="22"/>
          <w:szCs w:val="22"/>
        </w:rPr>
        <w:t>So</w:t>
      </w:r>
      <w:proofErr w:type="gramEnd"/>
      <w:r w:rsidRPr="00364C14">
        <w:rPr>
          <w:rFonts w:ascii="Segoe UI" w:hAnsi="Segoe UI" w:cs="Segoe UI"/>
          <w:color w:val="363737"/>
          <w:sz w:val="22"/>
          <w:szCs w:val="22"/>
        </w:rPr>
        <w:t xml:space="preserve"> when you calculate ROA/ROIC, you’re </w:t>
      </w:r>
      <w:proofErr w:type="gramStart"/>
      <w:r w:rsidRPr="00364C14">
        <w:rPr>
          <w:rFonts w:ascii="Segoe UI" w:hAnsi="Segoe UI" w:cs="Segoe UI"/>
          <w:color w:val="363737"/>
          <w:sz w:val="22"/>
          <w:szCs w:val="22"/>
        </w:rPr>
        <w:t>actually measuring</w:t>
      </w:r>
      <w:proofErr w:type="gramEnd"/>
      <w:r w:rsidRPr="00364C14">
        <w:rPr>
          <w:rFonts w:ascii="Segoe UI" w:hAnsi="Segoe UI" w:cs="Segoe UI"/>
          <w:color w:val="363737"/>
          <w:sz w:val="22"/>
          <w:szCs w:val="22"/>
        </w:rPr>
        <w:t xml:space="preserve"> the ratio of invested capital to total capital being deployed, the inverse of which is the company free financing that the company extracts from its operations.</w:t>
      </w:r>
    </w:p>
    <w:p w14:paraId="0CA94C15"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A </w:t>
      </w:r>
      <w:r w:rsidRPr="00364C14">
        <w:rPr>
          <w:rStyle w:val="Emphasis"/>
          <w:rFonts w:ascii="Segoe UI" w:hAnsi="Segoe UI" w:cs="Segoe UI"/>
          <w:color w:val="363737"/>
          <w:sz w:val="22"/>
          <w:szCs w:val="22"/>
        </w:rPr>
        <w:t>lower</w:t>
      </w:r>
      <w:r w:rsidRPr="00364C14">
        <w:rPr>
          <w:rFonts w:ascii="Segoe UI" w:hAnsi="Segoe UI" w:cs="Segoe UI"/>
          <w:color w:val="363737"/>
          <w:sz w:val="22"/>
          <w:szCs w:val="22"/>
        </w:rPr>
        <w:t xml:space="preserve"> ratio (a lower proportion of invested capital) indicates that the company </w:t>
      </w:r>
      <w:proofErr w:type="gramStart"/>
      <w:r w:rsidRPr="00364C14">
        <w:rPr>
          <w:rFonts w:ascii="Segoe UI" w:hAnsi="Segoe UI" w:cs="Segoe UI"/>
          <w:color w:val="363737"/>
          <w:sz w:val="22"/>
          <w:szCs w:val="22"/>
        </w:rPr>
        <w:t>is able to</w:t>
      </w:r>
      <w:proofErr w:type="gramEnd"/>
      <w:r w:rsidRPr="00364C14">
        <w:rPr>
          <w:rFonts w:ascii="Segoe UI" w:hAnsi="Segoe UI" w:cs="Segoe UI"/>
          <w:color w:val="363737"/>
          <w:sz w:val="22"/>
          <w:szCs w:val="22"/>
        </w:rPr>
        <w:t xml:space="preserve"> support its asset base with significant free capital (non-interest-bearing liabilities).</w:t>
      </w:r>
    </w:p>
    <w:p w14:paraId="55D8782D"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In other words, it relies less on capital from equity holders or lenders. That’s typically a sign of underlying operational quality. Think of companies like Walmart and Dell, which get paid by customers before paying suppliers, or Costco and Amazon, which benefit from large deferred-revenue balances from upfront subscription payments. These companies thrive because they require far less invested capital to generate their returns.</w:t>
      </w:r>
    </w:p>
    <w:p w14:paraId="6C87392D"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There are a couple of important caveats:</w:t>
      </w:r>
    </w:p>
    <w:p w14:paraId="1AA96398" w14:textId="77777777" w:rsidR="00364C14" w:rsidRPr="00364C14" w:rsidRDefault="00364C14" w:rsidP="00364C14">
      <w:pPr>
        <w:numPr>
          <w:ilvl w:val="0"/>
          <w:numId w:val="3"/>
        </w:numPr>
        <w:spacing w:line="390"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 xml:space="preserve">A low ROA/ROIC ratio is appealing, but it only becomes meaningful if the company also generates a strong ROIC. Imagine two businesses, the first has a ROA of 1% and a ROIC of 4%, while the second has a ROA of 10% and a ROIC of 40%. Both have the same low ROA/ROIC ratio of 0.25 and so have a working capital advantage, but one </w:t>
      </w:r>
      <w:proofErr w:type="gramStart"/>
      <w:r w:rsidRPr="00364C14">
        <w:rPr>
          <w:rFonts w:ascii="Segoe UI" w:eastAsia="Times New Roman" w:hAnsi="Segoe UI" w:cs="Segoe UI"/>
          <w:color w:val="363737"/>
          <w:sz w:val="22"/>
          <w:szCs w:val="22"/>
        </w:rPr>
        <w:t>is able to</w:t>
      </w:r>
      <w:proofErr w:type="gramEnd"/>
      <w:r w:rsidRPr="00364C14">
        <w:rPr>
          <w:rFonts w:ascii="Segoe UI" w:eastAsia="Times New Roman" w:hAnsi="Segoe UI" w:cs="Segoe UI"/>
          <w:color w:val="363737"/>
          <w:sz w:val="22"/>
          <w:szCs w:val="22"/>
        </w:rPr>
        <w:t xml:space="preserve"> use that capital to generate 4% while the other generates 40%. A low ratio paired with a high ROIC is a sign of a compounding machine.</w:t>
      </w:r>
    </w:p>
    <w:p w14:paraId="6F5E7597" w14:textId="77777777" w:rsidR="00364C14" w:rsidRPr="00364C14" w:rsidRDefault="00364C14" w:rsidP="00364C14">
      <w:pPr>
        <w:numPr>
          <w:ilvl w:val="0"/>
          <w:numId w:val="3"/>
        </w:numPr>
        <w:spacing w:line="390"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 xml:space="preserve">If the tax rate </w:t>
      </w:r>
      <w:proofErr w:type="gramStart"/>
      <w:r w:rsidRPr="00364C14">
        <w:rPr>
          <w:rFonts w:ascii="Segoe UI" w:eastAsia="Times New Roman" w:hAnsi="Segoe UI" w:cs="Segoe UI"/>
          <w:color w:val="363737"/>
          <w:sz w:val="22"/>
          <w:szCs w:val="22"/>
        </w:rPr>
        <w:t>is changing</w:t>
      </w:r>
      <w:proofErr w:type="gramEnd"/>
      <w:r w:rsidRPr="00364C14">
        <w:rPr>
          <w:rFonts w:ascii="Segoe UI" w:eastAsia="Times New Roman" w:hAnsi="Segoe UI" w:cs="Segoe UI"/>
          <w:color w:val="363737"/>
          <w:sz w:val="22"/>
          <w:szCs w:val="22"/>
        </w:rPr>
        <w:t xml:space="preserve"> significantly over time, it will distort this relationship, so the calculations need to be adjusted accordingly.</w:t>
      </w:r>
    </w:p>
    <w:p w14:paraId="15D2049D" w14:textId="77777777" w:rsidR="00364C14" w:rsidRPr="00364C14" w:rsidRDefault="00364C14" w:rsidP="00364C14">
      <w:pPr>
        <w:pStyle w:val="Heading2"/>
        <w:spacing w:before="240" w:after="150" w:line="278"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The Combined Picture: ROE vs. ROIC</w:t>
      </w:r>
    </w:p>
    <w:p w14:paraId="3507BE19"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When you look at the ratio of ROE to ROIC, you’re seeing the combined effect of taxes and leverage on invested capital.</w:t>
      </w:r>
    </w:p>
    <w:p w14:paraId="05148E5E"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ROE / ROIC = (1 - tax rate) × (Invested Capital/Equity)</w:t>
      </w:r>
    </w:p>
    <w:p w14:paraId="00A651FE"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This relationship leads to an elegant insight. If you rearrange this formula, you can calculate invested capital directly:</w:t>
      </w:r>
    </w:p>
    <w:p w14:paraId="07A42657"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Invested Capital = (Equity × ROE) / [ROIC × (1 - tax rate)]</w:t>
      </w:r>
    </w:p>
    <w:p w14:paraId="3F5F7966"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But, </w:t>
      </w:r>
    </w:p>
    <w:p w14:paraId="4CC12053"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(Equity × ROE) = Equity x (Net Income/Equity) = Net Income</w:t>
      </w:r>
    </w:p>
    <w:p w14:paraId="2801DF47"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proofErr w:type="gramStart"/>
      <w:r w:rsidRPr="00364C14">
        <w:rPr>
          <w:rFonts w:ascii="Segoe UI" w:hAnsi="Segoe UI" w:cs="Segoe UI"/>
          <w:color w:val="363737"/>
          <w:sz w:val="22"/>
          <w:szCs w:val="22"/>
        </w:rPr>
        <w:t>So</w:t>
      </w:r>
      <w:proofErr w:type="gramEnd"/>
      <w:r w:rsidRPr="00364C14">
        <w:rPr>
          <w:rFonts w:ascii="Segoe UI" w:hAnsi="Segoe UI" w:cs="Segoe UI"/>
          <w:color w:val="363737"/>
          <w:sz w:val="22"/>
          <w:szCs w:val="22"/>
        </w:rPr>
        <w:t xml:space="preserve"> this simplifies beautifully to:</w:t>
      </w:r>
    </w:p>
    <w:p w14:paraId="6ADF7970"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Style w:val="Strong"/>
          <w:rFonts w:ascii="Segoe UI" w:hAnsi="Segoe UI" w:cs="Segoe UI"/>
          <w:i/>
          <w:iCs/>
          <w:color w:val="363737"/>
          <w:sz w:val="22"/>
          <w:szCs w:val="22"/>
        </w:rPr>
        <w:t>Invested Capital = Net Income / [ROIC × (1 - tax rate)]</w:t>
      </w:r>
    </w:p>
    <w:tbl>
      <w:tblPr>
        <w:tblW w:w="5000" w:type="pct"/>
        <w:tblCellSpacing w:w="0" w:type="dxa"/>
        <w:tblCellMar>
          <w:top w:w="240" w:type="dxa"/>
          <w:left w:w="0" w:type="dxa"/>
          <w:bottom w:w="384" w:type="dxa"/>
          <w:right w:w="0" w:type="dxa"/>
        </w:tblCellMar>
        <w:tblLook w:val="04A0" w:firstRow="1" w:lastRow="0" w:firstColumn="1" w:lastColumn="0" w:noHBand="0" w:noVBand="1"/>
      </w:tblPr>
      <w:tblGrid>
        <w:gridCol w:w="8544"/>
        <w:gridCol w:w="2250"/>
        <w:gridCol w:w="6"/>
      </w:tblGrid>
      <w:tr w:rsidR="00364C14" w:rsidRPr="00364C14" w14:paraId="61188C5E" w14:textId="77777777">
        <w:trPr>
          <w:tblCellSpacing w:w="0" w:type="dxa"/>
        </w:trPr>
        <w:tc>
          <w:tcPr>
            <w:tcW w:w="0" w:type="auto"/>
            <w:vAlign w:val="center"/>
            <w:hideMark/>
          </w:tcPr>
          <w:p w14:paraId="09BE70B8" w14:textId="4CB0FCB7" w:rsidR="00364C14" w:rsidRPr="00364C14" w:rsidRDefault="00364C14">
            <w:pPr>
              <w:rPr>
                <w:rFonts w:ascii="Segoe UI" w:hAnsi="Segoe UI" w:cs="Segoe UI"/>
                <w:color w:val="363737"/>
                <w:sz w:val="22"/>
                <w:szCs w:val="22"/>
              </w:rPr>
            </w:pPr>
            <w:r w:rsidRPr="00364C14">
              <w:rPr>
                <w:rFonts w:ascii="Segoe UI" w:hAnsi="Segoe UI" w:cs="Segoe UI"/>
                <w:color w:val="363737"/>
                <w:sz w:val="22"/>
                <w:szCs w:val="22"/>
              </w:rPr>
              <w:t>This means you can back into a company’s invested capital base using just income statement figures and the ROIC metric. You’re deriving a balance sheet number from return ratios, which is useful for quick estimations or when balance sheet data is murky.</w:t>
            </w:r>
          </w:p>
        </w:tc>
        <w:tc>
          <w:tcPr>
            <w:tcW w:w="2250" w:type="dxa"/>
            <w:vAlign w:val="center"/>
            <w:hideMark/>
          </w:tcPr>
          <w:p w14:paraId="69F6FB0A" w14:textId="658C2695" w:rsidR="00364C14" w:rsidRPr="00364C14" w:rsidRDefault="00364C14">
            <w:pPr>
              <w:jc w:val="center"/>
              <w:rPr>
                <w:rFonts w:eastAsia="Times New Roman"/>
                <w:sz w:val="22"/>
                <w:szCs w:val="22"/>
              </w:rPr>
            </w:pPr>
          </w:p>
        </w:tc>
        <w:tc>
          <w:tcPr>
            <w:tcW w:w="0" w:type="auto"/>
            <w:vAlign w:val="center"/>
            <w:hideMark/>
          </w:tcPr>
          <w:p w14:paraId="43099150" w14:textId="77777777" w:rsidR="00364C14" w:rsidRPr="00364C14" w:rsidRDefault="00364C14">
            <w:pPr>
              <w:rPr>
                <w:rFonts w:eastAsia="Times New Roman"/>
                <w:sz w:val="22"/>
                <w:szCs w:val="22"/>
              </w:rPr>
            </w:pPr>
          </w:p>
        </w:tc>
      </w:tr>
    </w:tbl>
    <w:p w14:paraId="05CDD7FB" w14:textId="77777777" w:rsidR="00364C14" w:rsidRPr="00364C14" w:rsidRDefault="00364C14" w:rsidP="00364C14">
      <w:pPr>
        <w:pStyle w:val="Heading2"/>
        <w:spacing w:before="240" w:after="150" w:line="278"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The Bigger Picture</w:t>
      </w:r>
    </w:p>
    <w:p w14:paraId="44E365E4"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The elegant thing about these relationships is that they form a complete picture of capital efficiency. ROIC tells you about operational excellence — how well the company converts the capital invested in its business into operating profits. The ROIC-to-ROA transition reveals capital structure efficiency through operational liabilities. And the ROA-to-ROE transition shows financial leverage decisions.</w:t>
      </w:r>
    </w:p>
    <w:p w14:paraId="62C8AE06"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Together, they help you distinguish between companies that generate high returns because they’re genuinely excellent operators with efficient business models versus those that are simply using a lot of debt or benefiting from low tax rates. The former tends to be sustainable and compound wonderfully over time. The latter can be fragile when conditions change.</w:t>
      </w:r>
    </w:p>
    <w:p w14:paraId="47C8FFFC"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 xml:space="preserve">Compare all three metrics. When you see a company with strong ROIC, a healthy gap between ROIC and ROA (indicating operational efficiency) and not too large a ROE/ROA multiple indicating prudent use of leverage, you’re often looking at a robust compounding machine. Any other combination and you may be looking at something more speculative that requires careful analysis and ongoing monitoring. </w:t>
      </w:r>
    </w:p>
    <w:p w14:paraId="018F6B43" w14:textId="77777777" w:rsidR="00364C14" w:rsidRPr="00364C14" w:rsidRDefault="00364C14" w:rsidP="00364C14">
      <w:pPr>
        <w:pStyle w:val="Heading2"/>
        <w:spacing w:before="240" w:after="150" w:line="278" w:lineRule="atLeast"/>
        <w:rPr>
          <w:rFonts w:ascii="Segoe UI" w:eastAsia="Times New Roman" w:hAnsi="Segoe UI" w:cs="Segoe UI"/>
          <w:color w:val="363737"/>
          <w:sz w:val="22"/>
          <w:szCs w:val="22"/>
        </w:rPr>
      </w:pPr>
      <w:r w:rsidRPr="00364C14">
        <w:rPr>
          <w:rFonts w:ascii="Segoe UI" w:eastAsia="Times New Roman" w:hAnsi="Segoe UI" w:cs="Segoe UI"/>
          <w:color w:val="363737"/>
          <w:sz w:val="22"/>
          <w:szCs w:val="22"/>
        </w:rPr>
        <w:t>Summing Up</w:t>
      </w:r>
    </w:p>
    <w:p w14:paraId="76129CAA"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The beauty is that these insights emerge from simple calculations you can do in your head while scanning financial statements. Master these relationships, and you’ll have a powerful mental model for quickly assessing the quality and sustainability of returns across any business you evaluate.</w:t>
      </w:r>
    </w:p>
    <w:p w14:paraId="43110FDC" w14:textId="77777777" w:rsidR="00364C14" w:rsidRPr="00364C14" w:rsidRDefault="00364C14" w:rsidP="00364C14">
      <w:pPr>
        <w:pStyle w:val="NormalWeb"/>
        <w:spacing w:before="0" w:beforeAutospacing="0" w:after="300" w:afterAutospacing="0" w:line="390" w:lineRule="atLeast"/>
        <w:rPr>
          <w:rFonts w:ascii="Segoe UI" w:hAnsi="Segoe UI" w:cs="Segoe UI"/>
          <w:color w:val="363737"/>
          <w:sz w:val="22"/>
          <w:szCs w:val="22"/>
        </w:rPr>
      </w:pPr>
      <w:r w:rsidRPr="00364C14">
        <w:rPr>
          <w:rFonts w:ascii="Segoe UI" w:hAnsi="Segoe UI" w:cs="Segoe UI"/>
          <w:color w:val="363737"/>
          <w:sz w:val="22"/>
          <w:szCs w:val="22"/>
        </w:rPr>
        <w:t>Of course this doesn’t paint the full picture. Just because a company has the right metrics doesn’t imply that it will be a good investment. The key element missing here is price — and we all know that the right company at the wrong price makes for a poor investment. In short, this is just one mental model among many that you ought to deploy.</w:t>
      </w:r>
    </w:p>
    <w:p w14:paraId="4F9E2F18" w14:textId="77777777" w:rsidR="00456887" w:rsidRDefault="00456887"/>
    <w:sectPr w:rsidR="00456887" w:rsidSect="00364C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B88"/>
    <w:multiLevelType w:val="hybridMultilevel"/>
    <w:tmpl w:val="41BC31FE"/>
    <w:lvl w:ilvl="0" w:tplc="3EC6A888">
      <w:start w:val="1"/>
      <w:numFmt w:val="bullet"/>
      <w:lvlText w:val=""/>
      <w:lvlJc w:val="left"/>
      <w:pPr>
        <w:tabs>
          <w:tab w:val="num" w:pos="720"/>
        </w:tabs>
        <w:ind w:left="720" w:hanging="360"/>
      </w:pPr>
      <w:rPr>
        <w:rFonts w:ascii="Symbol" w:hAnsi="Symbol" w:hint="default"/>
      </w:rPr>
    </w:lvl>
    <w:lvl w:ilvl="1" w:tplc="1CC632AC">
      <w:start w:val="1"/>
      <w:numFmt w:val="bullet"/>
      <w:lvlText w:val=""/>
      <w:lvlJc w:val="left"/>
      <w:pPr>
        <w:tabs>
          <w:tab w:val="num" w:pos="1440"/>
        </w:tabs>
        <w:ind w:left="1440" w:hanging="360"/>
      </w:pPr>
      <w:rPr>
        <w:rFonts w:ascii="Symbol" w:hAnsi="Symbol" w:hint="default"/>
      </w:rPr>
    </w:lvl>
    <w:lvl w:ilvl="2" w:tplc="3DF65C9C">
      <w:start w:val="1"/>
      <w:numFmt w:val="bullet"/>
      <w:lvlText w:val=""/>
      <w:lvlJc w:val="left"/>
      <w:pPr>
        <w:tabs>
          <w:tab w:val="num" w:pos="2160"/>
        </w:tabs>
        <w:ind w:left="2160" w:hanging="360"/>
      </w:pPr>
      <w:rPr>
        <w:rFonts w:ascii="Symbol" w:hAnsi="Symbol" w:hint="default"/>
      </w:rPr>
    </w:lvl>
    <w:lvl w:ilvl="3" w:tplc="2FCAD01A">
      <w:start w:val="1"/>
      <w:numFmt w:val="bullet"/>
      <w:lvlText w:val=""/>
      <w:lvlJc w:val="left"/>
      <w:pPr>
        <w:tabs>
          <w:tab w:val="num" w:pos="2880"/>
        </w:tabs>
        <w:ind w:left="2880" w:hanging="360"/>
      </w:pPr>
      <w:rPr>
        <w:rFonts w:ascii="Symbol" w:hAnsi="Symbol" w:hint="default"/>
      </w:rPr>
    </w:lvl>
    <w:lvl w:ilvl="4" w:tplc="2480C5DE">
      <w:start w:val="1"/>
      <w:numFmt w:val="bullet"/>
      <w:lvlText w:val=""/>
      <w:lvlJc w:val="left"/>
      <w:pPr>
        <w:tabs>
          <w:tab w:val="num" w:pos="3600"/>
        </w:tabs>
        <w:ind w:left="3600" w:hanging="360"/>
      </w:pPr>
      <w:rPr>
        <w:rFonts w:ascii="Symbol" w:hAnsi="Symbol" w:hint="default"/>
      </w:rPr>
    </w:lvl>
    <w:lvl w:ilvl="5" w:tplc="76668CB8">
      <w:start w:val="1"/>
      <w:numFmt w:val="bullet"/>
      <w:lvlText w:val=""/>
      <w:lvlJc w:val="left"/>
      <w:pPr>
        <w:tabs>
          <w:tab w:val="num" w:pos="4320"/>
        </w:tabs>
        <w:ind w:left="4320" w:hanging="360"/>
      </w:pPr>
      <w:rPr>
        <w:rFonts w:ascii="Symbol" w:hAnsi="Symbol" w:hint="default"/>
      </w:rPr>
    </w:lvl>
    <w:lvl w:ilvl="6" w:tplc="F9C6AB0A">
      <w:start w:val="1"/>
      <w:numFmt w:val="bullet"/>
      <w:lvlText w:val=""/>
      <w:lvlJc w:val="left"/>
      <w:pPr>
        <w:tabs>
          <w:tab w:val="num" w:pos="5040"/>
        </w:tabs>
        <w:ind w:left="5040" w:hanging="360"/>
      </w:pPr>
      <w:rPr>
        <w:rFonts w:ascii="Symbol" w:hAnsi="Symbol" w:hint="default"/>
      </w:rPr>
    </w:lvl>
    <w:lvl w:ilvl="7" w:tplc="0D920660">
      <w:start w:val="1"/>
      <w:numFmt w:val="bullet"/>
      <w:lvlText w:val=""/>
      <w:lvlJc w:val="left"/>
      <w:pPr>
        <w:tabs>
          <w:tab w:val="num" w:pos="5760"/>
        </w:tabs>
        <w:ind w:left="5760" w:hanging="360"/>
      </w:pPr>
      <w:rPr>
        <w:rFonts w:ascii="Symbol" w:hAnsi="Symbol" w:hint="default"/>
      </w:rPr>
    </w:lvl>
    <w:lvl w:ilvl="8" w:tplc="DC36A52A">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5B7C82"/>
    <w:multiLevelType w:val="hybridMultilevel"/>
    <w:tmpl w:val="CB145B1C"/>
    <w:lvl w:ilvl="0" w:tplc="A8425782">
      <w:start w:val="1"/>
      <w:numFmt w:val="bullet"/>
      <w:lvlText w:val=""/>
      <w:lvlJc w:val="left"/>
      <w:pPr>
        <w:tabs>
          <w:tab w:val="num" w:pos="720"/>
        </w:tabs>
        <w:ind w:left="720" w:hanging="360"/>
      </w:pPr>
      <w:rPr>
        <w:rFonts w:ascii="Symbol" w:hAnsi="Symbol" w:hint="default"/>
      </w:rPr>
    </w:lvl>
    <w:lvl w:ilvl="1" w:tplc="895610DC">
      <w:start w:val="1"/>
      <w:numFmt w:val="bullet"/>
      <w:lvlText w:val=""/>
      <w:lvlJc w:val="left"/>
      <w:pPr>
        <w:tabs>
          <w:tab w:val="num" w:pos="1440"/>
        </w:tabs>
        <w:ind w:left="1440" w:hanging="360"/>
      </w:pPr>
      <w:rPr>
        <w:rFonts w:ascii="Symbol" w:hAnsi="Symbol" w:hint="default"/>
      </w:rPr>
    </w:lvl>
    <w:lvl w:ilvl="2" w:tplc="155857D0">
      <w:start w:val="1"/>
      <w:numFmt w:val="bullet"/>
      <w:lvlText w:val=""/>
      <w:lvlJc w:val="left"/>
      <w:pPr>
        <w:tabs>
          <w:tab w:val="num" w:pos="2160"/>
        </w:tabs>
        <w:ind w:left="2160" w:hanging="360"/>
      </w:pPr>
      <w:rPr>
        <w:rFonts w:ascii="Symbol" w:hAnsi="Symbol" w:hint="default"/>
      </w:rPr>
    </w:lvl>
    <w:lvl w:ilvl="3" w:tplc="28D00CCE">
      <w:start w:val="1"/>
      <w:numFmt w:val="bullet"/>
      <w:lvlText w:val=""/>
      <w:lvlJc w:val="left"/>
      <w:pPr>
        <w:tabs>
          <w:tab w:val="num" w:pos="2880"/>
        </w:tabs>
        <w:ind w:left="2880" w:hanging="360"/>
      </w:pPr>
      <w:rPr>
        <w:rFonts w:ascii="Symbol" w:hAnsi="Symbol" w:hint="default"/>
      </w:rPr>
    </w:lvl>
    <w:lvl w:ilvl="4" w:tplc="B1F81686">
      <w:start w:val="1"/>
      <w:numFmt w:val="bullet"/>
      <w:lvlText w:val=""/>
      <w:lvlJc w:val="left"/>
      <w:pPr>
        <w:tabs>
          <w:tab w:val="num" w:pos="3600"/>
        </w:tabs>
        <w:ind w:left="3600" w:hanging="360"/>
      </w:pPr>
      <w:rPr>
        <w:rFonts w:ascii="Symbol" w:hAnsi="Symbol" w:hint="default"/>
      </w:rPr>
    </w:lvl>
    <w:lvl w:ilvl="5" w:tplc="6A08110E">
      <w:start w:val="1"/>
      <w:numFmt w:val="bullet"/>
      <w:lvlText w:val=""/>
      <w:lvlJc w:val="left"/>
      <w:pPr>
        <w:tabs>
          <w:tab w:val="num" w:pos="4320"/>
        </w:tabs>
        <w:ind w:left="4320" w:hanging="360"/>
      </w:pPr>
      <w:rPr>
        <w:rFonts w:ascii="Symbol" w:hAnsi="Symbol" w:hint="default"/>
      </w:rPr>
    </w:lvl>
    <w:lvl w:ilvl="6" w:tplc="CC6AA4AE">
      <w:start w:val="1"/>
      <w:numFmt w:val="bullet"/>
      <w:lvlText w:val=""/>
      <w:lvlJc w:val="left"/>
      <w:pPr>
        <w:tabs>
          <w:tab w:val="num" w:pos="5040"/>
        </w:tabs>
        <w:ind w:left="5040" w:hanging="360"/>
      </w:pPr>
      <w:rPr>
        <w:rFonts w:ascii="Symbol" w:hAnsi="Symbol" w:hint="default"/>
      </w:rPr>
    </w:lvl>
    <w:lvl w:ilvl="7" w:tplc="149C24E2">
      <w:start w:val="1"/>
      <w:numFmt w:val="bullet"/>
      <w:lvlText w:val=""/>
      <w:lvlJc w:val="left"/>
      <w:pPr>
        <w:tabs>
          <w:tab w:val="num" w:pos="5760"/>
        </w:tabs>
        <w:ind w:left="5760" w:hanging="360"/>
      </w:pPr>
      <w:rPr>
        <w:rFonts w:ascii="Symbol" w:hAnsi="Symbol" w:hint="default"/>
      </w:rPr>
    </w:lvl>
    <w:lvl w:ilvl="8" w:tplc="7310A6FA">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DE075F0"/>
    <w:multiLevelType w:val="hybridMultilevel"/>
    <w:tmpl w:val="87C06020"/>
    <w:lvl w:ilvl="0" w:tplc="40A20BEC">
      <w:start w:val="1"/>
      <w:numFmt w:val="bullet"/>
      <w:lvlText w:val=""/>
      <w:lvlJc w:val="left"/>
      <w:pPr>
        <w:tabs>
          <w:tab w:val="num" w:pos="720"/>
        </w:tabs>
        <w:ind w:left="720" w:hanging="360"/>
      </w:pPr>
      <w:rPr>
        <w:rFonts w:ascii="Symbol" w:hAnsi="Symbol" w:hint="default"/>
      </w:rPr>
    </w:lvl>
    <w:lvl w:ilvl="1" w:tplc="BE94DE54">
      <w:start w:val="1"/>
      <w:numFmt w:val="bullet"/>
      <w:lvlText w:val=""/>
      <w:lvlJc w:val="left"/>
      <w:pPr>
        <w:tabs>
          <w:tab w:val="num" w:pos="1440"/>
        </w:tabs>
        <w:ind w:left="1440" w:hanging="360"/>
      </w:pPr>
      <w:rPr>
        <w:rFonts w:ascii="Symbol" w:hAnsi="Symbol" w:hint="default"/>
      </w:rPr>
    </w:lvl>
    <w:lvl w:ilvl="2" w:tplc="C0E0F5F4">
      <w:start w:val="1"/>
      <w:numFmt w:val="bullet"/>
      <w:lvlText w:val=""/>
      <w:lvlJc w:val="left"/>
      <w:pPr>
        <w:tabs>
          <w:tab w:val="num" w:pos="2160"/>
        </w:tabs>
        <w:ind w:left="2160" w:hanging="360"/>
      </w:pPr>
      <w:rPr>
        <w:rFonts w:ascii="Symbol" w:hAnsi="Symbol" w:hint="default"/>
      </w:rPr>
    </w:lvl>
    <w:lvl w:ilvl="3" w:tplc="379A5BD0">
      <w:start w:val="1"/>
      <w:numFmt w:val="bullet"/>
      <w:lvlText w:val=""/>
      <w:lvlJc w:val="left"/>
      <w:pPr>
        <w:tabs>
          <w:tab w:val="num" w:pos="2880"/>
        </w:tabs>
        <w:ind w:left="2880" w:hanging="360"/>
      </w:pPr>
      <w:rPr>
        <w:rFonts w:ascii="Symbol" w:hAnsi="Symbol" w:hint="default"/>
      </w:rPr>
    </w:lvl>
    <w:lvl w:ilvl="4" w:tplc="914A5FE6">
      <w:start w:val="1"/>
      <w:numFmt w:val="bullet"/>
      <w:lvlText w:val=""/>
      <w:lvlJc w:val="left"/>
      <w:pPr>
        <w:tabs>
          <w:tab w:val="num" w:pos="3600"/>
        </w:tabs>
        <w:ind w:left="3600" w:hanging="360"/>
      </w:pPr>
      <w:rPr>
        <w:rFonts w:ascii="Symbol" w:hAnsi="Symbol" w:hint="default"/>
      </w:rPr>
    </w:lvl>
    <w:lvl w:ilvl="5" w:tplc="8BDA962E">
      <w:start w:val="1"/>
      <w:numFmt w:val="bullet"/>
      <w:lvlText w:val=""/>
      <w:lvlJc w:val="left"/>
      <w:pPr>
        <w:tabs>
          <w:tab w:val="num" w:pos="4320"/>
        </w:tabs>
        <w:ind w:left="4320" w:hanging="360"/>
      </w:pPr>
      <w:rPr>
        <w:rFonts w:ascii="Symbol" w:hAnsi="Symbol" w:hint="default"/>
      </w:rPr>
    </w:lvl>
    <w:lvl w:ilvl="6" w:tplc="F758AAE4">
      <w:start w:val="1"/>
      <w:numFmt w:val="bullet"/>
      <w:lvlText w:val=""/>
      <w:lvlJc w:val="left"/>
      <w:pPr>
        <w:tabs>
          <w:tab w:val="num" w:pos="5040"/>
        </w:tabs>
        <w:ind w:left="5040" w:hanging="360"/>
      </w:pPr>
      <w:rPr>
        <w:rFonts w:ascii="Symbol" w:hAnsi="Symbol" w:hint="default"/>
      </w:rPr>
    </w:lvl>
    <w:lvl w:ilvl="7" w:tplc="76DE8DCC">
      <w:start w:val="1"/>
      <w:numFmt w:val="bullet"/>
      <w:lvlText w:val=""/>
      <w:lvlJc w:val="left"/>
      <w:pPr>
        <w:tabs>
          <w:tab w:val="num" w:pos="5760"/>
        </w:tabs>
        <w:ind w:left="5760" w:hanging="360"/>
      </w:pPr>
      <w:rPr>
        <w:rFonts w:ascii="Symbol" w:hAnsi="Symbol" w:hint="default"/>
      </w:rPr>
    </w:lvl>
    <w:lvl w:ilvl="8" w:tplc="53BE05EC">
      <w:start w:val="1"/>
      <w:numFmt w:val="bullet"/>
      <w:lvlText w:val=""/>
      <w:lvlJc w:val="left"/>
      <w:pPr>
        <w:tabs>
          <w:tab w:val="num" w:pos="6480"/>
        </w:tabs>
        <w:ind w:left="6480" w:hanging="360"/>
      </w:pPr>
      <w:rPr>
        <w:rFonts w:ascii="Symbol" w:hAnsi="Symbol" w:hint="default"/>
      </w:rPr>
    </w:lvl>
  </w:abstractNum>
  <w:num w:numId="1" w16cid:durableId="1108086021">
    <w:abstractNumId w:val="2"/>
    <w:lvlOverride w:ilvl="0"/>
    <w:lvlOverride w:ilvl="1"/>
    <w:lvlOverride w:ilvl="2"/>
    <w:lvlOverride w:ilvl="3"/>
    <w:lvlOverride w:ilvl="4"/>
    <w:lvlOverride w:ilvl="5"/>
    <w:lvlOverride w:ilvl="6"/>
    <w:lvlOverride w:ilvl="7"/>
    <w:lvlOverride w:ilvl="8"/>
  </w:num>
  <w:num w:numId="2" w16cid:durableId="574439231">
    <w:abstractNumId w:val="1"/>
    <w:lvlOverride w:ilvl="0"/>
    <w:lvlOverride w:ilvl="1"/>
    <w:lvlOverride w:ilvl="2"/>
    <w:lvlOverride w:ilvl="3"/>
    <w:lvlOverride w:ilvl="4"/>
    <w:lvlOverride w:ilvl="5"/>
    <w:lvlOverride w:ilvl="6"/>
    <w:lvlOverride w:ilvl="7"/>
    <w:lvlOverride w:ilvl="8"/>
  </w:num>
  <w:num w:numId="3" w16cid:durableId="15890776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364C14"/>
    <w:rsid w:val="00456887"/>
    <w:rsid w:val="006E14C3"/>
    <w:rsid w:val="00AE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D2FD"/>
  <w15:chartTrackingRefBased/>
  <w15:docId w15:val="{695FD32E-2536-43E5-9AF9-D3FE2B67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14"/>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364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C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C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C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C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C14"/>
    <w:rPr>
      <w:rFonts w:eastAsiaTheme="majorEastAsia" w:cstheme="majorBidi"/>
      <w:color w:val="272727" w:themeColor="text1" w:themeTint="D8"/>
    </w:rPr>
  </w:style>
  <w:style w:type="paragraph" w:styleId="Title">
    <w:name w:val="Title"/>
    <w:basedOn w:val="Normal"/>
    <w:next w:val="Normal"/>
    <w:link w:val="TitleChar"/>
    <w:uiPriority w:val="10"/>
    <w:qFormat/>
    <w:rsid w:val="00364C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C14"/>
    <w:pPr>
      <w:spacing w:before="160"/>
      <w:jc w:val="center"/>
    </w:pPr>
    <w:rPr>
      <w:i/>
      <w:iCs/>
      <w:color w:val="404040" w:themeColor="text1" w:themeTint="BF"/>
    </w:rPr>
  </w:style>
  <w:style w:type="character" w:customStyle="1" w:styleId="QuoteChar">
    <w:name w:val="Quote Char"/>
    <w:basedOn w:val="DefaultParagraphFont"/>
    <w:link w:val="Quote"/>
    <w:uiPriority w:val="29"/>
    <w:rsid w:val="00364C14"/>
    <w:rPr>
      <w:i/>
      <w:iCs/>
      <w:color w:val="404040" w:themeColor="text1" w:themeTint="BF"/>
    </w:rPr>
  </w:style>
  <w:style w:type="paragraph" w:styleId="ListParagraph">
    <w:name w:val="List Paragraph"/>
    <w:basedOn w:val="Normal"/>
    <w:uiPriority w:val="34"/>
    <w:qFormat/>
    <w:rsid w:val="00364C14"/>
    <w:pPr>
      <w:ind w:left="720"/>
      <w:contextualSpacing/>
    </w:pPr>
  </w:style>
  <w:style w:type="character" w:styleId="IntenseEmphasis">
    <w:name w:val="Intense Emphasis"/>
    <w:basedOn w:val="DefaultParagraphFont"/>
    <w:uiPriority w:val="21"/>
    <w:qFormat/>
    <w:rsid w:val="00364C14"/>
    <w:rPr>
      <w:i/>
      <w:iCs/>
      <w:color w:val="0F4761" w:themeColor="accent1" w:themeShade="BF"/>
    </w:rPr>
  </w:style>
  <w:style w:type="paragraph" w:styleId="IntenseQuote">
    <w:name w:val="Intense Quote"/>
    <w:basedOn w:val="Normal"/>
    <w:next w:val="Normal"/>
    <w:link w:val="IntenseQuoteChar"/>
    <w:uiPriority w:val="30"/>
    <w:qFormat/>
    <w:rsid w:val="00364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C14"/>
    <w:rPr>
      <w:i/>
      <w:iCs/>
      <w:color w:val="0F4761" w:themeColor="accent1" w:themeShade="BF"/>
    </w:rPr>
  </w:style>
  <w:style w:type="character" w:styleId="IntenseReference">
    <w:name w:val="Intense Reference"/>
    <w:basedOn w:val="DefaultParagraphFont"/>
    <w:uiPriority w:val="32"/>
    <w:qFormat/>
    <w:rsid w:val="00364C14"/>
    <w:rPr>
      <w:b/>
      <w:bCs/>
      <w:smallCaps/>
      <w:color w:val="0F4761" w:themeColor="accent1" w:themeShade="BF"/>
      <w:spacing w:val="5"/>
    </w:rPr>
  </w:style>
  <w:style w:type="character" w:styleId="Hyperlink">
    <w:name w:val="Hyperlink"/>
    <w:basedOn w:val="DefaultParagraphFont"/>
    <w:uiPriority w:val="99"/>
    <w:semiHidden/>
    <w:unhideWhenUsed/>
    <w:rsid w:val="00364C14"/>
    <w:rPr>
      <w:color w:val="0000FF"/>
      <w:u w:val="single"/>
    </w:rPr>
  </w:style>
  <w:style w:type="paragraph" w:styleId="NormalWeb">
    <w:name w:val="Normal (Web)"/>
    <w:basedOn w:val="Normal"/>
    <w:uiPriority w:val="99"/>
    <w:semiHidden/>
    <w:unhideWhenUsed/>
    <w:rsid w:val="00364C14"/>
    <w:pPr>
      <w:spacing w:before="100" w:beforeAutospacing="1" w:after="100" w:afterAutospacing="1"/>
    </w:pPr>
  </w:style>
  <w:style w:type="paragraph" w:customStyle="1" w:styleId="button-wrapper">
    <w:name w:val="button-wrapper"/>
    <w:basedOn w:val="Normal"/>
    <w:uiPriority w:val="99"/>
    <w:semiHidden/>
    <w:rsid w:val="00364C14"/>
    <w:pPr>
      <w:spacing w:before="100" w:beforeAutospacing="1" w:after="100" w:afterAutospacing="1"/>
    </w:pPr>
  </w:style>
  <w:style w:type="character" w:customStyle="1" w:styleId="email-button-text">
    <w:name w:val="email-button-text"/>
    <w:basedOn w:val="DefaultParagraphFont"/>
    <w:rsid w:val="00364C14"/>
  </w:style>
  <w:style w:type="character" w:styleId="Strong">
    <w:name w:val="Strong"/>
    <w:basedOn w:val="DefaultParagraphFont"/>
    <w:uiPriority w:val="22"/>
    <w:qFormat/>
    <w:rsid w:val="00364C14"/>
    <w:rPr>
      <w:b/>
      <w:bCs/>
    </w:rPr>
  </w:style>
  <w:style w:type="character" w:styleId="Emphasis">
    <w:name w:val="Emphasis"/>
    <w:basedOn w:val="DefaultParagraphFont"/>
    <w:uiPriority w:val="20"/>
    <w:qFormat/>
    <w:rsid w:val="00364C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e48ac95f-e2b0-486c-a004-430f610cb547?j=eyJ1IjoiODI2aDAifQ.DJfoJKu0tmK_oBmVVDsBFNlnkKI1M6wQVZ_wUDxBDtk" TargetMode="External"/><Relationship Id="rId13" Type="http://schemas.openxmlformats.org/officeDocument/2006/relationships/hyperlink" Target="https://substack.com/redirect/4c5411d6-3b12-46a1-84db-f0399d5ec1b7?j=eyJ1IjoiODI2aDAifQ.DJfoJKu0tmK_oBmVVDsBFNlnkKI1M6wQVZ_wUDxBDt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ubstack.com/redirect/4dd650be-92ec-408e-bac7-c89e709deb12?j=eyJ1IjoiODI2aDAifQ.DJfoJKu0tmK_oBmVVDsBFNlnkKI1M6wQVZ_wUDxBDt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bstack.com/redirect/1251ce9c-99ed-42f8-91c3-be94dd0b7c55?j=eyJ1IjoiODI2aDAifQ.DJfoJKu0tmK_oBmVVDsBFNlnkKI1M6wQVZ_wUDxBDtk" TargetMode="External"/><Relationship Id="rId11" Type="http://schemas.openxmlformats.org/officeDocument/2006/relationships/hyperlink" Target="https://substack.com/redirect/22024140-3250-4eec-83f2-bc9a2f079e71?j=eyJ1IjoiODI2aDAifQ.DJfoJKu0tmK_oBmVVDsBFNlnkKI1M6wQVZ_wUDxBDtk" TargetMode="External"/><Relationship Id="rId5" Type="http://schemas.openxmlformats.org/officeDocument/2006/relationships/hyperlink" Target="https://substack.com/@rockandturner" TargetMode="External"/><Relationship Id="rId15" Type="http://schemas.openxmlformats.org/officeDocument/2006/relationships/fontTable" Target="fontTable.xml"/><Relationship Id="rId10" Type="http://schemas.openxmlformats.org/officeDocument/2006/relationships/hyperlink" Target="https://substack.com/redirect/6b210f8d-7a7e-4072-8931-5f9783dfd9b3?j=eyJ1IjoiODI2aDAifQ.DJfoJKu0tmK_oBmVVDsBFNlnkKI1M6wQVZ_wUDxBDtk" TargetMode="External"/><Relationship Id="rId4" Type="http://schemas.openxmlformats.org/officeDocument/2006/relationships/webSettings" Target="webSettings.xml"/><Relationship Id="rId9" Type="http://schemas.openxmlformats.org/officeDocument/2006/relationships/hyperlink" Target="https://substack.com/redirect/f6c71116-2082-4e48-b512-218e29e11b43?j=eyJ1IjoiODI2aDAifQ.DJfoJKu0tmK_oBmVVDsBFNlnkKI1M6wQVZ_wUDxBDtk" TargetMode="External"/><Relationship Id="rId14" Type="http://schemas.openxmlformats.org/officeDocument/2006/relationships/hyperlink" Target="https://substack.com/redirect/7ee43932-1a4f-4765-92cd-11b023022dfe?j=eyJ1IjoiODI2aDAifQ.DJfoJKu0tmK_oBmVVDsBFNlnkKI1M6wQVZ_wUDxBD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1780</Words>
  <Characters>9082</Characters>
  <Application>Microsoft Office Word</Application>
  <DocSecurity>0</DocSecurity>
  <Lines>193</Lines>
  <Paragraphs>101</Paragraphs>
  <ScaleCrop>false</ScaleCrop>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Sather</dc:creator>
  <cp:keywords/>
  <dc:description/>
  <cp:lastModifiedBy>Dave Sather</cp:lastModifiedBy>
  <cp:revision>1</cp:revision>
  <dcterms:created xsi:type="dcterms:W3CDTF">2025-11-25T16:45:00Z</dcterms:created>
  <dcterms:modified xsi:type="dcterms:W3CDTF">2025-11-25T16:49:00Z</dcterms:modified>
</cp:coreProperties>
</file>