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33B60" w:rsidRDefault="00000000">
      <w:pPr>
        <w:pStyle w:val="Heading1"/>
        <w:ind w:left="0" w:hanging="2"/>
        <w:jc w:val="center"/>
      </w:pPr>
      <w:r>
        <w:t>Safeguarding Adults Policy Statement</w:t>
      </w:r>
    </w:p>
    <w:p w14:paraId="00000002" w14:textId="77777777" w:rsidR="00333B60" w:rsidRDefault="00333B60">
      <w:pPr>
        <w:ind w:left="0" w:hanging="2"/>
      </w:pPr>
    </w:p>
    <w:p w14:paraId="00000003" w14:textId="77777777" w:rsidR="00333B60" w:rsidRDefault="00333B60">
      <w:pPr>
        <w:ind w:left="0" w:hanging="2"/>
        <w:jc w:val="both"/>
      </w:pPr>
    </w:p>
    <w:p w14:paraId="00000004" w14:textId="77777777" w:rsidR="00333B6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Policy Statement and Procedures have been drawn up in order to enable </w:t>
      </w:r>
      <w:r>
        <w:rPr>
          <w:rFonts w:ascii="Arial" w:eastAsia="Arial" w:hAnsi="Arial" w:cs="Arial"/>
          <w:b/>
          <w:color w:val="000000"/>
        </w:rPr>
        <w:t>Queensbury Community Programme</w:t>
      </w:r>
      <w:r>
        <w:rPr>
          <w:rFonts w:ascii="Arial" w:eastAsia="Arial" w:hAnsi="Arial" w:cs="Arial"/>
          <w:color w:val="000000"/>
        </w:rPr>
        <w:t xml:space="preserve"> to: </w:t>
      </w:r>
    </w:p>
    <w:p w14:paraId="00000005" w14:textId="77777777" w:rsidR="00333B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promote good practice and work in a way that can prevent harm, abuse and coercion occurring. </w:t>
      </w:r>
    </w:p>
    <w:p w14:paraId="00000006" w14:textId="77777777" w:rsidR="00333B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ensure that any allegations, disclosures of abuse or suspiscions are dealt with appropriately and the person experiencing abuse is supported. </w:t>
      </w:r>
    </w:p>
    <w:p w14:paraId="00000007" w14:textId="77777777" w:rsidR="00333B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and to stop that abuse occurring.</w:t>
      </w:r>
    </w:p>
    <w:p w14:paraId="00000008" w14:textId="77777777" w:rsidR="00333B60" w:rsidRDefault="00333B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9" w14:textId="77777777" w:rsidR="00333B6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It is acknowledged that significant numbers of people are abused, and it is important that </w:t>
      </w:r>
      <w:r>
        <w:rPr>
          <w:rFonts w:ascii="Arial" w:eastAsia="Arial" w:hAnsi="Arial" w:cs="Arial"/>
          <w:b/>
          <w:color w:val="000000"/>
        </w:rPr>
        <w:t>Queensbury Community Programme</w:t>
      </w:r>
      <w:r>
        <w:rPr>
          <w:rFonts w:ascii="Arial" w:eastAsia="Arial" w:hAnsi="Arial" w:cs="Arial"/>
          <w:color w:val="000000"/>
        </w:rPr>
        <w:t xml:space="preserve"> has a Safeguarding Adults policy, a set of procedures to follow and puts in place preventative measures to try and reduce that number. </w:t>
      </w:r>
    </w:p>
    <w:p w14:paraId="0000000A" w14:textId="77777777" w:rsidR="00333B6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 order to implement the policy, the </w:t>
      </w:r>
      <w:r>
        <w:rPr>
          <w:rFonts w:ascii="Arial" w:eastAsia="Arial" w:hAnsi="Arial" w:cs="Arial"/>
          <w:b/>
          <w:color w:val="000000"/>
        </w:rPr>
        <w:t>Queensbury Community Programme</w:t>
      </w:r>
      <w:r>
        <w:rPr>
          <w:rFonts w:ascii="Arial" w:eastAsia="Arial" w:hAnsi="Arial" w:cs="Arial"/>
          <w:color w:val="000000"/>
        </w:rPr>
        <w:t xml:space="preserve"> will work:</w:t>
      </w:r>
    </w:p>
    <w:p w14:paraId="0000000B" w14:textId="77777777" w:rsidR="00333B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promote the freedom and dignity of the person who has or is experiencing abuse</w:t>
      </w:r>
      <w:r>
        <w:rPr>
          <w:rFonts w:ascii="Arial" w:eastAsia="Arial" w:hAnsi="Arial" w:cs="Arial"/>
          <w:color w:val="000000"/>
        </w:rPr>
        <w:br/>
      </w:r>
    </w:p>
    <w:p w14:paraId="0000000C" w14:textId="77777777" w:rsidR="00333B60" w:rsidRDefault="00000000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promote the rights of all people to live free from abuse and coercion</w:t>
      </w:r>
      <w:r>
        <w:rPr>
          <w:rFonts w:ascii="Arial" w:eastAsia="Arial" w:hAnsi="Arial" w:cs="Arial"/>
        </w:rPr>
        <w:br/>
      </w:r>
    </w:p>
    <w:p w14:paraId="0000000D" w14:textId="77777777" w:rsidR="00333B60" w:rsidRDefault="00000000">
      <w:pPr>
        <w:numPr>
          <w:ilvl w:val="0"/>
          <w:numId w:val="3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ensure the safety and well being of people who do not have the capacity to decide how they want to respond to abuse that they are experiencing</w:t>
      </w:r>
      <w:r>
        <w:rPr>
          <w:rFonts w:ascii="Arial" w:eastAsia="Arial" w:hAnsi="Arial" w:cs="Arial"/>
        </w:rPr>
        <w:br/>
      </w:r>
    </w:p>
    <w:p w14:paraId="0000000E" w14:textId="77777777" w:rsidR="00333B60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</w:rPr>
        <w:t>To manage services in a way which promotes safety and prevents abuse</w:t>
      </w:r>
    </w:p>
    <w:p w14:paraId="0000000F" w14:textId="77777777" w:rsidR="00333B60" w:rsidRDefault="00333B60">
      <w:pPr>
        <w:ind w:left="0" w:hanging="2"/>
        <w:jc w:val="both"/>
      </w:pPr>
    </w:p>
    <w:p w14:paraId="00000010" w14:textId="77777777" w:rsidR="00333B60" w:rsidRDefault="00000000">
      <w:pPr>
        <w:pStyle w:val="Heading4"/>
        <w:ind w:left="0" w:hanging="2"/>
        <w:jc w:val="both"/>
        <w:rPr>
          <w:sz w:val="24"/>
        </w:rPr>
      </w:pPr>
      <w:r>
        <w:rPr>
          <w:sz w:val="24"/>
        </w:rPr>
        <w:t xml:space="preserve">Queensbury Community Programme </w:t>
      </w:r>
    </w:p>
    <w:p w14:paraId="00000011" w14:textId="77777777" w:rsidR="00333B60" w:rsidRDefault="00333B60">
      <w:pPr>
        <w:ind w:left="0" w:hanging="2"/>
      </w:pPr>
    </w:p>
    <w:p w14:paraId="00000012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ensure that all management committee members, staff, volunteers and service users are familiar with this policy</w:t>
      </w:r>
      <w:r>
        <w:rPr>
          <w:rFonts w:ascii="Arial" w:eastAsia="Arial" w:hAnsi="Arial" w:cs="Arial"/>
        </w:rPr>
        <w:br/>
      </w:r>
    </w:p>
    <w:p w14:paraId="00000013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work with other agencies within the framework of the</w:t>
      </w:r>
      <w:r>
        <w:br/>
      </w:r>
      <w:r>
        <w:rPr>
          <w:rFonts w:ascii="Arial" w:eastAsia="Arial" w:hAnsi="Arial" w:cs="Arial"/>
        </w:rPr>
        <w:t>Bradford Multi-Agency Adult Protection procedures, No Secrets</w:t>
      </w:r>
      <w:r>
        <w:rPr>
          <w:rFonts w:ascii="Arial" w:eastAsia="Arial" w:hAnsi="Arial" w:cs="Arial"/>
        </w:rPr>
        <w:br/>
      </w:r>
    </w:p>
    <w:p w14:paraId="00000014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act within it’s confidentiality policy and will usually gain permission from service users before sharing information about them with another agency</w:t>
      </w:r>
    </w:p>
    <w:p w14:paraId="00000015" w14:textId="77777777" w:rsidR="00333B60" w:rsidRDefault="00333B60">
      <w:pPr>
        <w:ind w:left="0" w:hanging="2"/>
        <w:jc w:val="both"/>
        <w:rPr>
          <w:rFonts w:ascii="Arial" w:eastAsia="Arial" w:hAnsi="Arial" w:cs="Arial"/>
        </w:rPr>
      </w:pPr>
    </w:p>
    <w:p w14:paraId="00000016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pass information to an Adult Protection Risk Assessment Co coordinator when more than one person is at risk. This includes </w:t>
      </w:r>
      <w:r>
        <w:rPr>
          <w:rFonts w:ascii="Arial" w:eastAsia="Arial" w:hAnsi="Arial" w:cs="Arial"/>
          <w:b/>
        </w:rPr>
        <w:t>all</w:t>
      </w:r>
      <w:r>
        <w:rPr>
          <w:rFonts w:ascii="Arial" w:eastAsia="Arial" w:hAnsi="Arial" w:cs="Arial"/>
        </w:rPr>
        <w:t xml:space="preserve"> concerns of abuse taking place in a care setting</w:t>
      </w:r>
      <w:r>
        <w:rPr>
          <w:rFonts w:ascii="Arial" w:eastAsia="Arial" w:hAnsi="Arial" w:cs="Arial"/>
        </w:rPr>
        <w:br/>
      </w:r>
    </w:p>
    <w:p w14:paraId="00000017" w14:textId="77777777" w:rsidR="00333B60" w:rsidRDefault="00000000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inform service users that where a person is in danger, a child is at risk or a serious crime has been committed then a decision may be taken to pass information to another agency without the service user’s consent</w:t>
      </w:r>
      <w:r>
        <w:rPr>
          <w:rFonts w:ascii="Arial" w:eastAsia="Arial" w:hAnsi="Arial" w:cs="Arial"/>
        </w:rPr>
        <w:br/>
      </w:r>
    </w:p>
    <w:p w14:paraId="00000018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will make a referral to the Adult Protection Unit/Care Management Team as appropriate </w:t>
      </w:r>
    </w:p>
    <w:p w14:paraId="00000019" w14:textId="77777777" w:rsidR="00333B60" w:rsidRDefault="00333B60">
      <w:pPr>
        <w:pStyle w:val="Heading6"/>
        <w:ind w:left="0" w:hanging="2"/>
        <w:jc w:val="both"/>
        <w:rPr>
          <w:sz w:val="24"/>
        </w:rPr>
      </w:pPr>
    </w:p>
    <w:p w14:paraId="0000001A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endeavour to keep up to date with national developments relating to preventing abuse and welfare of adults</w:t>
      </w:r>
    </w:p>
    <w:p w14:paraId="0000001B" w14:textId="77777777" w:rsidR="00333B60" w:rsidRDefault="00333B60">
      <w:pPr>
        <w:ind w:left="0" w:hanging="2"/>
        <w:jc w:val="both"/>
        <w:rPr>
          <w:rFonts w:ascii="Arial" w:eastAsia="Arial" w:hAnsi="Arial" w:cs="Arial"/>
        </w:rPr>
      </w:pPr>
    </w:p>
    <w:p w14:paraId="0000001C" w14:textId="77777777" w:rsidR="00333B60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ensure that the named person understands his/her responsibility to refer incidents of adult abuse to the relevant statutory agencies (police/Adult Protection unit)</w:t>
      </w:r>
    </w:p>
    <w:p w14:paraId="0000001D" w14:textId="77777777" w:rsidR="00333B60" w:rsidRDefault="00333B60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1E" w14:textId="77777777" w:rsidR="00333B60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named person for Safeguarding Adults in </w:t>
      </w:r>
      <w:r>
        <w:rPr>
          <w:rFonts w:ascii="Arial" w:eastAsia="Arial" w:hAnsi="Arial" w:cs="Arial"/>
          <w:b/>
        </w:rPr>
        <w:t xml:space="preserve">Queensbury Community Programme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b/>
        </w:rPr>
        <w:t>Kathryn Halford, Development Manger Tel 01274 816748</w:t>
      </w:r>
    </w:p>
    <w:p w14:paraId="0000001F" w14:textId="77777777" w:rsidR="00333B60" w:rsidRDefault="00333B60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20" w14:textId="77777777" w:rsidR="00333B6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She should be contacted for support and advice on implementing this policy and procedures.</w:t>
      </w:r>
    </w:p>
    <w:p w14:paraId="00000021" w14:textId="77777777" w:rsidR="00333B60" w:rsidRDefault="00333B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22" w14:textId="14C3F850" w:rsidR="00333B6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September 202</w:t>
      </w:r>
      <w:r w:rsidR="00CC6BF9">
        <w:rPr>
          <w:rFonts w:ascii="Arial" w:eastAsia="Arial" w:hAnsi="Arial" w:cs="Arial"/>
        </w:rPr>
        <w:t>5</w:t>
      </w:r>
    </w:p>
    <w:p w14:paraId="00000023" w14:textId="77777777" w:rsidR="00333B60" w:rsidRDefault="00333B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333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1478" w14:textId="77777777" w:rsidR="00BF4126" w:rsidRDefault="00BF4126">
      <w:pPr>
        <w:spacing w:line="240" w:lineRule="auto"/>
        <w:ind w:left="0" w:hanging="2"/>
      </w:pPr>
      <w:r>
        <w:separator/>
      </w:r>
    </w:p>
  </w:endnote>
  <w:endnote w:type="continuationSeparator" w:id="0">
    <w:p w14:paraId="2DACBEF0" w14:textId="77777777" w:rsidR="00BF4126" w:rsidRDefault="00BF41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333B60" w:rsidRDefault="00333B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333B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Safeguarding Adults Policy Statement</w:t>
    </w:r>
  </w:p>
  <w:p w14:paraId="00000029" w14:textId="7112B3D6" w:rsidR="00333B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September 202</w:t>
    </w:r>
    <w:r w:rsidR="00CC6BF9">
      <w:rPr>
        <w:rFonts w:ascii="Arial" w:eastAsia="Arial" w:hAnsi="Arial" w:cs="Arial"/>
        <w:color w:val="808080"/>
        <w:sz w:val="20"/>
        <w:szCs w:val="20"/>
      </w:rPr>
      <w:t>5</w:t>
    </w:r>
    <w:r>
      <w:rPr>
        <w:rFonts w:ascii="Arial" w:eastAsia="Arial" w:hAnsi="Arial" w:cs="Arial"/>
        <w:color w:val="808080"/>
        <w:sz w:val="20"/>
        <w:szCs w:val="20"/>
      </w:rPr>
      <w:t xml:space="preserve"> Page </w:t>
    </w:r>
    <w:r>
      <w:rPr>
        <w:rFonts w:ascii="Arial" w:eastAsia="Arial" w:hAnsi="Arial" w:cs="Arial"/>
        <w:color w:val="808080"/>
        <w:sz w:val="20"/>
        <w:szCs w:val="20"/>
      </w:rPr>
      <w:fldChar w:fldCharType="begin"/>
    </w:r>
    <w:r>
      <w:rPr>
        <w:rFonts w:ascii="Arial" w:eastAsia="Arial" w:hAnsi="Arial" w:cs="Arial"/>
        <w:color w:val="808080"/>
        <w:sz w:val="20"/>
        <w:szCs w:val="20"/>
      </w:rPr>
      <w:instrText>PAGE</w:instrText>
    </w:r>
    <w:r>
      <w:rPr>
        <w:rFonts w:ascii="Arial" w:eastAsia="Arial" w:hAnsi="Arial" w:cs="Arial"/>
        <w:color w:val="808080"/>
        <w:sz w:val="20"/>
        <w:szCs w:val="20"/>
      </w:rPr>
      <w:fldChar w:fldCharType="separate"/>
    </w:r>
    <w:r w:rsidR="00502508">
      <w:rPr>
        <w:rFonts w:ascii="Arial" w:eastAsia="Arial" w:hAnsi="Arial" w:cs="Arial"/>
        <w:noProof/>
        <w:color w:val="808080"/>
        <w:sz w:val="20"/>
        <w:szCs w:val="20"/>
      </w:rPr>
      <w:t>1</w:t>
    </w:r>
    <w:r>
      <w:rPr>
        <w:rFonts w:ascii="Arial" w:eastAsia="Arial" w:hAnsi="Arial" w:cs="Arial"/>
        <w:color w:val="808080"/>
        <w:sz w:val="20"/>
        <w:szCs w:val="20"/>
      </w:rPr>
      <w:fldChar w:fldCharType="end"/>
    </w:r>
    <w:r>
      <w:rPr>
        <w:rFonts w:ascii="Arial" w:eastAsia="Arial" w:hAnsi="Arial" w:cs="Arial"/>
        <w:color w:val="808080"/>
        <w:sz w:val="20"/>
        <w:szCs w:val="20"/>
      </w:rPr>
      <w:t xml:space="preserve"> of </w:t>
    </w:r>
    <w:r>
      <w:rPr>
        <w:rFonts w:ascii="Arial" w:eastAsia="Arial" w:hAnsi="Arial" w:cs="Arial"/>
        <w:color w:val="808080"/>
        <w:sz w:val="20"/>
        <w:szCs w:val="20"/>
      </w:rPr>
      <w:fldChar w:fldCharType="begin"/>
    </w:r>
    <w:r>
      <w:rPr>
        <w:rFonts w:ascii="Arial" w:eastAsia="Arial" w:hAnsi="Arial" w:cs="Arial"/>
        <w:color w:val="808080"/>
        <w:sz w:val="20"/>
        <w:szCs w:val="20"/>
      </w:rPr>
      <w:instrText>NUMPAGES</w:instrText>
    </w:r>
    <w:r>
      <w:rPr>
        <w:rFonts w:ascii="Arial" w:eastAsia="Arial" w:hAnsi="Arial" w:cs="Arial"/>
        <w:color w:val="808080"/>
        <w:sz w:val="20"/>
        <w:szCs w:val="20"/>
      </w:rPr>
      <w:fldChar w:fldCharType="separate"/>
    </w:r>
    <w:r w:rsidR="00502508">
      <w:rPr>
        <w:rFonts w:ascii="Arial" w:eastAsia="Arial" w:hAnsi="Arial" w:cs="Arial"/>
        <w:noProof/>
        <w:color w:val="808080"/>
        <w:sz w:val="20"/>
        <w:szCs w:val="20"/>
      </w:rPr>
      <w:t>2</w:t>
    </w:r>
    <w:r>
      <w:rPr>
        <w:rFonts w:ascii="Arial" w:eastAsia="Arial" w:hAnsi="Arial" w:cs="Arial"/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333B60" w:rsidRDefault="00333B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DC34" w14:textId="77777777" w:rsidR="00BF4126" w:rsidRDefault="00BF4126">
      <w:pPr>
        <w:spacing w:line="240" w:lineRule="auto"/>
        <w:ind w:left="0" w:hanging="2"/>
      </w:pPr>
      <w:r>
        <w:separator/>
      </w:r>
    </w:p>
  </w:footnote>
  <w:footnote w:type="continuationSeparator" w:id="0">
    <w:p w14:paraId="7F2D1B04" w14:textId="77777777" w:rsidR="00BF4126" w:rsidRDefault="00BF41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333B60" w:rsidRDefault="00333B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333B60" w:rsidRDefault="00333B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333B60" w:rsidRDefault="00333B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9481B"/>
    <w:multiLevelType w:val="multilevel"/>
    <w:tmpl w:val="DA6A9B24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C310821"/>
    <w:multiLevelType w:val="multilevel"/>
    <w:tmpl w:val="1F902F5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E2D1048"/>
    <w:multiLevelType w:val="multilevel"/>
    <w:tmpl w:val="82D6DA8A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105300666">
    <w:abstractNumId w:val="1"/>
  </w:num>
  <w:num w:numId="2" w16cid:durableId="698893695">
    <w:abstractNumId w:val="0"/>
  </w:num>
  <w:num w:numId="3" w16cid:durableId="154012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60"/>
    <w:rsid w:val="00185839"/>
    <w:rsid w:val="00333B60"/>
    <w:rsid w:val="00502508"/>
    <w:rsid w:val="00536071"/>
    <w:rsid w:val="00B332A1"/>
    <w:rsid w:val="00BF1AFC"/>
    <w:rsid w:val="00BF4126"/>
    <w:rsid w:val="00CC6BF9"/>
    <w:rsid w:val="00D0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A948"/>
  <w15:docId w15:val="{D6BDA715-621A-49D0-86AB-C0A5599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 w:cs="Arial"/>
      <w:i/>
      <w:iCs/>
      <w:sz w:val="28"/>
      <w:shd w:val="clear" w:color="auto" w:fill="00FF0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right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ind w:left="360"/>
      <w:jc w:val="right"/>
      <w:outlineLvl w:val="5"/>
    </w:pPr>
    <w:rPr>
      <w:rFonts w:ascii="Arial" w:hAnsi="Arial" w:cs="Arial"/>
      <w:sz w:val="28"/>
    </w:rPr>
  </w:style>
  <w:style w:type="paragraph" w:styleId="Heading7">
    <w:name w:val="heading 7"/>
    <w:basedOn w:val="Normal"/>
    <w:next w:val="Normal"/>
    <w:pPr>
      <w:keepNext/>
      <w:ind w:left="360"/>
      <w:outlineLvl w:val="6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20"/>
    </w:pPr>
    <w:rPr>
      <w:rFonts w:ascii="Arial" w:hAnsi="Arial"/>
      <w:szCs w:val="20"/>
    </w:rPr>
  </w:style>
  <w:style w:type="paragraph" w:styleId="BodyText2">
    <w:name w:val="Body Text 2"/>
    <w:basedOn w:val="Normal"/>
    <w:rPr>
      <w:rFonts w:ascii="Arial" w:hAnsi="Arial" w:cs="Arial"/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oZ641z6Kvl2TPIGqUsALSQb0w==">CgMxLjA4AHIhMWZMM21HSWZRN0RrUER5U3NlT1hsVmZNUGpNM3VSVTct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Jo Greenwood</cp:lastModifiedBy>
  <cp:revision>2</cp:revision>
  <dcterms:created xsi:type="dcterms:W3CDTF">2025-10-23T14:04:00Z</dcterms:created>
  <dcterms:modified xsi:type="dcterms:W3CDTF">2025-10-23T14:04:00Z</dcterms:modified>
</cp:coreProperties>
</file>