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72B658" w14:textId="06DF3FB9" w:rsidR="00575E78" w:rsidRDefault="00391A6E">
      <w:r>
        <w:rPr>
          <w:noProof/>
        </w:rPr>
        <w:drawing>
          <wp:inline distT="0" distB="0" distL="0" distR="0" wp14:anchorId="3D9C4378" wp14:editId="2C89A729">
            <wp:extent cx="5943600" cy="2015490"/>
            <wp:effectExtent l="0" t="0" r="0" b="3810"/>
            <wp:docPr id="1"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943600" cy="2015490"/>
                    </a:xfrm>
                    <a:prstGeom prst="rect">
                      <a:avLst/>
                    </a:prstGeom>
                  </pic:spPr>
                </pic:pic>
              </a:graphicData>
            </a:graphic>
          </wp:inline>
        </w:drawing>
      </w:r>
    </w:p>
    <w:p w14:paraId="1FCA2FFA" w14:textId="77777777" w:rsidR="00BF50B2" w:rsidRPr="00AC19DC" w:rsidRDefault="00BF50B2" w:rsidP="00AC19DC">
      <w:pPr>
        <w:jc w:val="center"/>
        <w:rPr>
          <w:sz w:val="28"/>
          <w:szCs w:val="28"/>
        </w:rPr>
      </w:pPr>
      <w:r w:rsidRPr="00AC19DC">
        <w:rPr>
          <w:sz w:val="28"/>
          <w:szCs w:val="28"/>
        </w:rPr>
        <w:t xml:space="preserve">“Apportionment” </w:t>
      </w:r>
      <w:r w:rsidR="00AC19DC">
        <w:rPr>
          <w:sz w:val="28"/>
          <w:szCs w:val="28"/>
        </w:rPr>
        <w:t>i</w:t>
      </w:r>
      <w:r w:rsidR="00AC19DC" w:rsidRPr="00AC19DC">
        <w:rPr>
          <w:sz w:val="28"/>
          <w:szCs w:val="28"/>
        </w:rPr>
        <w:t>s</w:t>
      </w:r>
      <w:r w:rsidRPr="00AC19DC">
        <w:rPr>
          <w:sz w:val="28"/>
          <w:szCs w:val="28"/>
        </w:rPr>
        <w:t xml:space="preserve"> one of the main reasons for Deposition</w:t>
      </w:r>
    </w:p>
    <w:p w14:paraId="2A9F53C7" w14:textId="77777777" w:rsidR="00BF50B2" w:rsidRDefault="00BF50B2"/>
    <w:p w14:paraId="3D5DB77C" w14:textId="77777777" w:rsidR="00BF50B2" w:rsidRDefault="00BF50B2">
      <w:r>
        <w:t>Examples:</w:t>
      </w:r>
    </w:p>
    <w:p w14:paraId="4F54E0BE" w14:textId="77777777" w:rsidR="00104791" w:rsidRDefault="00104791" w:rsidP="00BF50B2">
      <w:pPr>
        <w:pStyle w:val="ListParagraph"/>
        <w:numPr>
          <w:ilvl w:val="0"/>
          <w:numId w:val="1"/>
        </w:numPr>
      </w:pPr>
      <w:r>
        <w:t>APPORTIONMENT:</w:t>
      </w:r>
    </w:p>
    <w:p w14:paraId="063ECAEB" w14:textId="77777777" w:rsidR="00104791" w:rsidRDefault="00104791" w:rsidP="00104791">
      <w:pPr>
        <w:pStyle w:val="ListParagraph"/>
        <w:numPr>
          <w:ilvl w:val="1"/>
          <w:numId w:val="1"/>
        </w:numPr>
      </w:pPr>
      <w:r>
        <w:t>Did you or did you NOT provide for Apportionment of the Permanent Impairment</w:t>
      </w:r>
    </w:p>
    <w:p w14:paraId="31FB5072" w14:textId="77777777" w:rsidR="00104791" w:rsidRDefault="00104791" w:rsidP="00104791">
      <w:pPr>
        <w:pStyle w:val="ListParagraph"/>
        <w:numPr>
          <w:ilvl w:val="1"/>
          <w:numId w:val="1"/>
        </w:numPr>
      </w:pPr>
      <w:r>
        <w:t>If so, what are your Apportionment “Approximate Percentages?”</w:t>
      </w:r>
    </w:p>
    <w:p w14:paraId="1149EC4D" w14:textId="77777777" w:rsidR="00104791" w:rsidRDefault="00104791" w:rsidP="00104791">
      <w:pPr>
        <w:pStyle w:val="ListParagraph"/>
        <w:numPr>
          <w:ilvl w:val="1"/>
          <w:numId w:val="1"/>
        </w:numPr>
      </w:pPr>
      <w:r>
        <w:t>How did you determine those percentages?</w:t>
      </w:r>
    </w:p>
    <w:p w14:paraId="5BFAF301" w14:textId="77777777" w:rsidR="00BF50B2" w:rsidRDefault="00BF50B2" w:rsidP="00BF50B2">
      <w:pPr>
        <w:pStyle w:val="ListParagraph"/>
        <w:numPr>
          <w:ilvl w:val="0"/>
          <w:numId w:val="1"/>
        </w:numPr>
      </w:pPr>
      <w:r>
        <w:t>Apportionment to LC 4664 not done correctly</w:t>
      </w:r>
    </w:p>
    <w:p w14:paraId="45494D92" w14:textId="77777777" w:rsidR="001C6F80" w:rsidRDefault="001C6F80" w:rsidP="001C6F80">
      <w:pPr>
        <w:pStyle w:val="ListParagraph"/>
        <w:numPr>
          <w:ilvl w:val="1"/>
          <w:numId w:val="1"/>
        </w:numPr>
      </w:pPr>
      <w:r>
        <w:t>Prior Award of PD exists and persists forever</w:t>
      </w:r>
    </w:p>
    <w:p w14:paraId="2831BC92" w14:textId="77777777" w:rsidR="001C6F80" w:rsidRDefault="001C6F80" w:rsidP="001C6F80">
      <w:pPr>
        <w:pStyle w:val="ListParagraph"/>
        <w:numPr>
          <w:ilvl w:val="1"/>
          <w:numId w:val="1"/>
        </w:numPr>
      </w:pPr>
      <w:r>
        <w:t xml:space="preserve">ALL Components </w:t>
      </w:r>
      <w:r w:rsidR="005F4F06">
        <w:t>of PD exist and persist forever</w:t>
      </w:r>
    </w:p>
    <w:p w14:paraId="171C0169" w14:textId="77777777" w:rsidR="005F4F06" w:rsidRDefault="005F4F06" w:rsidP="005F4F06">
      <w:pPr>
        <w:pStyle w:val="ListParagraph"/>
        <w:numPr>
          <w:ilvl w:val="2"/>
          <w:numId w:val="1"/>
        </w:numPr>
      </w:pPr>
      <w:r>
        <w:t>Numeric Component (i.e. 10% Disability)</w:t>
      </w:r>
    </w:p>
    <w:p w14:paraId="286EE0DA" w14:textId="77777777" w:rsidR="005F4F06" w:rsidRDefault="005F4F06" w:rsidP="005F4F06">
      <w:pPr>
        <w:pStyle w:val="ListParagraph"/>
        <w:numPr>
          <w:ilvl w:val="2"/>
          <w:numId w:val="1"/>
        </w:numPr>
      </w:pPr>
      <w:r>
        <w:t>Pain</w:t>
      </w:r>
    </w:p>
    <w:p w14:paraId="40B4DE84" w14:textId="77777777" w:rsidR="005F4F06" w:rsidRDefault="005F4F06" w:rsidP="005F4F06">
      <w:pPr>
        <w:pStyle w:val="ListParagraph"/>
        <w:numPr>
          <w:ilvl w:val="2"/>
          <w:numId w:val="1"/>
        </w:numPr>
      </w:pPr>
      <w:r>
        <w:t>+ Objective Examination Findings</w:t>
      </w:r>
    </w:p>
    <w:p w14:paraId="75C94731" w14:textId="77777777" w:rsidR="005F4F06" w:rsidRDefault="005F4F06" w:rsidP="005F4F06">
      <w:pPr>
        <w:pStyle w:val="ListParagraph"/>
        <w:numPr>
          <w:ilvl w:val="2"/>
          <w:numId w:val="1"/>
        </w:numPr>
      </w:pPr>
      <w:r>
        <w:t xml:space="preserve">Limitations to ADL’s </w:t>
      </w:r>
    </w:p>
    <w:p w14:paraId="45BD0974" w14:textId="77777777" w:rsidR="005F4F06" w:rsidRDefault="005F4F06" w:rsidP="005F4F06">
      <w:pPr>
        <w:pStyle w:val="ListParagraph"/>
        <w:numPr>
          <w:ilvl w:val="2"/>
          <w:numId w:val="1"/>
        </w:numPr>
      </w:pPr>
      <w:r>
        <w:t>Work Restrictions</w:t>
      </w:r>
    </w:p>
    <w:p w14:paraId="00207B4A" w14:textId="77777777" w:rsidR="005F4F06" w:rsidRDefault="005F4F06" w:rsidP="001C6F80">
      <w:pPr>
        <w:pStyle w:val="ListParagraph"/>
        <w:numPr>
          <w:ilvl w:val="1"/>
          <w:numId w:val="1"/>
        </w:numPr>
      </w:pPr>
      <w:r>
        <w:t>Burden on defendant to prove overlap</w:t>
      </w:r>
    </w:p>
    <w:p w14:paraId="792678AE" w14:textId="77777777" w:rsidR="00BF50B2" w:rsidRDefault="00BF50B2" w:rsidP="00BF50B2">
      <w:pPr>
        <w:pStyle w:val="ListParagraph"/>
        <w:numPr>
          <w:ilvl w:val="0"/>
          <w:numId w:val="1"/>
        </w:numPr>
      </w:pPr>
      <w:r>
        <w:t>Apportionment to LC 4663 not done correctly</w:t>
      </w:r>
    </w:p>
    <w:p w14:paraId="53F0B142" w14:textId="77777777" w:rsidR="00BF50B2" w:rsidRDefault="00BF50B2" w:rsidP="00BF50B2">
      <w:pPr>
        <w:pStyle w:val="ListParagraph"/>
        <w:numPr>
          <w:ilvl w:val="1"/>
          <w:numId w:val="1"/>
        </w:numPr>
      </w:pPr>
      <w:r>
        <w:t>Example with Apportionment to “degenerative changes.”</w:t>
      </w:r>
    </w:p>
    <w:p w14:paraId="53CD178D" w14:textId="77777777" w:rsidR="00BF50B2" w:rsidRDefault="00BF50B2" w:rsidP="00BF50B2">
      <w:pPr>
        <w:pStyle w:val="ListParagraph"/>
        <w:numPr>
          <w:ilvl w:val="2"/>
          <w:numId w:val="1"/>
        </w:numPr>
      </w:pPr>
      <w:r>
        <w:t>Actual deposition questions</w:t>
      </w:r>
      <w:r w:rsidR="005F4F06">
        <w:t xml:space="preserve"> from PowerPoint Notes</w:t>
      </w:r>
    </w:p>
    <w:p w14:paraId="7E0D6F9C" w14:textId="77777777" w:rsidR="00BF50B2" w:rsidRDefault="00BF50B2" w:rsidP="00BF50B2">
      <w:pPr>
        <w:pStyle w:val="ListParagraph"/>
        <w:numPr>
          <w:ilvl w:val="0"/>
          <w:numId w:val="1"/>
        </w:numPr>
      </w:pPr>
      <w:r>
        <w:t>Apportionment Argument does not rise to level of “Substantial Medical Evidence”</w:t>
      </w:r>
    </w:p>
    <w:p w14:paraId="647FA962" w14:textId="77777777" w:rsidR="00104791" w:rsidRDefault="00104791" w:rsidP="00BF50B2">
      <w:pPr>
        <w:pStyle w:val="ListParagraph"/>
        <w:numPr>
          <w:ilvl w:val="1"/>
          <w:numId w:val="1"/>
        </w:numPr>
      </w:pPr>
      <w:r>
        <w:t>Send out 3 Cases – Escobedo/Almarez Guzman/Moten</w:t>
      </w:r>
    </w:p>
    <w:p w14:paraId="1091FC3B" w14:textId="77777777" w:rsidR="00BF50B2" w:rsidRDefault="00BF50B2" w:rsidP="00BF50B2">
      <w:pPr>
        <w:pStyle w:val="ListParagraph"/>
        <w:numPr>
          <w:ilvl w:val="1"/>
          <w:numId w:val="1"/>
        </w:numPr>
      </w:pPr>
      <w:r>
        <w:t>Describe “Substantial Medical Evidence” for Apportionment</w:t>
      </w:r>
    </w:p>
    <w:p w14:paraId="4B861EED" w14:textId="77777777" w:rsidR="00BF50B2" w:rsidRDefault="00BF50B2" w:rsidP="00BF50B2">
      <w:pPr>
        <w:pStyle w:val="ListParagraph"/>
        <w:numPr>
          <w:ilvl w:val="2"/>
          <w:numId w:val="1"/>
        </w:numPr>
      </w:pPr>
      <w:r>
        <w:t>Read from Escobedo case</w:t>
      </w:r>
    </w:p>
    <w:p w14:paraId="735D4C7A" w14:textId="77777777" w:rsidR="00BF50B2" w:rsidRDefault="00BF50B2" w:rsidP="00BF50B2">
      <w:pPr>
        <w:pStyle w:val="ListParagraph"/>
        <w:numPr>
          <w:ilvl w:val="1"/>
          <w:numId w:val="1"/>
        </w:numPr>
      </w:pPr>
      <w:r>
        <w:t>Describe “Substantial Medical Evidence” for Permanent Impairment</w:t>
      </w:r>
    </w:p>
    <w:p w14:paraId="5D4BD11D" w14:textId="77777777" w:rsidR="00BF50B2" w:rsidRDefault="00BF50B2" w:rsidP="00BF50B2">
      <w:pPr>
        <w:pStyle w:val="ListParagraph"/>
        <w:numPr>
          <w:ilvl w:val="2"/>
          <w:numId w:val="1"/>
        </w:numPr>
      </w:pPr>
      <w:r>
        <w:t>Read from Guzman II</w:t>
      </w:r>
    </w:p>
    <w:p w14:paraId="40A23BD9" w14:textId="77777777" w:rsidR="005F4F06" w:rsidRDefault="005F4F06" w:rsidP="005F4F06">
      <w:pPr>
        <w:pStyle w:val="ListParagraph"/>
        <w:numPr>
          <w:ilvl w:val="1"/>
          <w:numId w:val="1"/>
        </w:numPr>
      </w:pPr>
      <w:r>
        <w:t>Case Review – Moten vs. City of Los Angeles</w:t>
      </w:r>
    </w:p>
    <w:p w14:paraId="2ADEC668" w14:textId="77777777" w:rsidR="005F4F06" w:rsidRDefault="005F4F06" w:rsidP="005F4F06">
      <w:pPr>
        <w:pStyle w:val="ListParagraph"/>
        <w:numPr>
          <w:ilvl w:val="2"/>
          <w:numId w:val="1"/>
        </w:numPr>
      </w:pPr>
      <w:r>
        <w:t>AME’s Impairment Ratings (under both the strict and A/G methods) found to be not substantial under A/G, and also due to “inadequate exam.”</w:t>
      </w:r>
    </w:p>
    <w:p w14:paraId="3F6E3DB4" w14:textId="77777777" w:rsidR="004E02B4" w:rsidRDefault="004E02B4" w:rsidP="004E02B4">
      <w:pPr>
        <w:pStyle w:val="ListParagraph"/>
        <w:numPr>
          <w:ilvl w:val="0"/>
          <w:numId w:val="1"/>
        </w:numPr>
      </w:pPr>
      <w:r>
        <w:t>3 Cases Reviewed</w:t>
      </w:r>
    </w:p>
    <w:p w14:paraId="0341E588" w14:textId="77777777" w:rsidR="00104791" w:rsidRDefault="00104791" w:rsidP="004E02B4">
      <w:pPr>
        <w:pStyle w:val="ListParagraph"/>
        <w:numPr>
          <w:ilvl w:val="1"/>
          <w:numId w:val="1"/>
        </w:numPr>
      </w:pPr>
      <w:r>
        <w:t>Send out 3 Cases – Constantino/</w:t>
      </w:r>
      <w:proofErr w:type="spellStart"/>
      <w:r>
        <w:t>Alred</w:t>
      </w:r>
      <w:proofErr w:type="spellEnd"/>
      <w:r>
        <w:t>/Perez</w:t>
      </w:r>
    </w:p>
    <w:p w14:paraId="120F3C4B" w14:textId="77777777" w:rsidR="004E02B4" w:rsidRDefault="004E02B4" w:rsidP="004E02B4">
      <w:pPr>
        <w:pStyle w:val="ListParagraph"/>
        <w:numPr>
          <w:ilvl w:val="1"/>
          <w:numId w:val="1"/>
        </w:numPr>
      </w:pPr>
      <w:r>
        <w:lastRenderedPageBreak/>
        <w:t xml:space="preserve">Constantino – Almarez/Guzman denied d/t/ improper use of </w:t>
      </w:r>
      <w:r w:rsidR="00E16609">
        <w:t>Figure 15-9</w:t>
      </w:r>
      <w:r>
        <w:t>, strict rating applies, apportionment to prior 1993 injury WAS “substantial.”  Big win for the Defense!</w:t>
      </w:r>
    </w:p>
    <w:p w14:paraId="6D88D154" w14:textId="77777777" w:rsidR="004E02B4" w:rsidRDefault="004E02B4" w:rsidP="004E02B4">
      <w:pPr>
        <w:pStyle w:val="ListParagraph"/>
        <w:numPr>
          <w:ilvl w:val="1"/>
          <w:numId w:val="1"/>
        </w:numPr>
      </w:pPr>
      <w:proofErr w:type="spellStart"/>
      <w:r w:rsidRPr="004E02B4">
        <w:t>Alred</w:t>
      </w:r>
      <w:proofErr w:type="spellEnd"/>
      <w:r w:rsidRPr="004E02B4">
        <w:t xml:space="preserve"> - QME first opined for 4% Whole Person Impairment and then changed it to 19% Whole Person Impairment with an alternative rating under Almarez/Guzman.  This was accepted by the Work Comp Judge but later changed back to 4% when the Appeals Board found the alternative rating to be "not substantial medical evidence."  Another win for the Defense</w:t>
      </w:r>
      <w:r>
        <w:rPr>
          <w:sz w:val="28"/>
          <w:szCs w:val="28"/>
        </w:rPr>
        <w:t>!</w:t>
      </w:r>
    </w:p>
    <w:p w14:paraId="34D36A51" w14:textId="77777777" w:rsidR="004E02B4" w:rsidRDefault="004E02B4" w:rsidP="004E02B4">
      <w:pPr>
        <w:pStyle w:val="ListParagraph"/>
        <w:numPr>
          <w:ilvl w:val="1"/>
          <w:numId w:val="1"/>
        </w:numPr>
      </w:pPr>
      <w:r w:rsidRPr="004E02B4">
        <w:t>Perez - QME opines for 40% WPI under the strict application of The Guides, and 60% under Almarez/Guzman.  Work Comp Judge denies the alternative rating and selects the strict rating.  The Appeals Board reverses this decision - finding the alternative rating to be "substantial medical evidence."  Here, the Applicant Attorney gets the win!</w:t>
      </w:r>
    </w:p>
    <w:p w14:paraId="2DA2875C" w14:textId="77777777" w:rsidR="00BA3739" w:rsidRDefault="00BA3739" w:rsidP="00BA3739">
      <w:pPr>
        <w:pStyle w:val="ListParagraph"/>
        <w:numPr>
          <w:ilvl w:val="0"/>
          <w:numId w:val="1"/>
        </w:numPr>
      </w:pPr>
      <w:r>
        <w:t>The Mechanism of Injury Continuum</w:t>
      </w:r>
    </w:p>
    <w:p w14:paraId="4F2F9768" w14:textId="77777777" w:rsidR="00BA3739" w:rsidRDefault="00BA3739" w:rsidP="00BA3739">
      <w:pPr>
        <w:pStyle w:val="ListParagraph"/>
        <w:numPr>
          <w:ilvl w:val="1"/>
          <w:numId w:val="1"/>
        </w:numPr>
      </w:pPr>
      <w:r>
        <w:t>Part 1 – Introduce “Mechanism of Injury” with Escobedo references of “trivial injury” and “immediate onset of pain”</w:t>
      </w:r>
    </w:p>
    <w:p w14:paraId="6FD05974" w14:textId="77777777" w:rsidR="00BA3739" w:rsidRDefault="00BA3739" w:rsidP="00BA3739">
      <w:pPr>
        <w:pStyle w:val="ListParagraph"/>
        <w:numPr>
          <w:ilvl w:val="2"/>
          <w:numId w:val="1"/>
        </w:numPr>
      </w:pPr>
      <w:r>
        <w:t>Defend your Apportionment Percentages</w:t>
      </w:r>
    </w:p>
    <w:p w14:paraId="2704ADD4" w14:textId="77777777" w:rsidR="00BA3739" w:rsidRDefault="00BA3739" w:rsidP="00BA3739">
      <w:pPr>
        <w:pStyle w:val="ListParagraph"/>
        <w:numPr>
          <w:ilvl w:val="2"/>
          <w:numId w:val="1"/>
        </w:numPr>
      </w:pPr>
      <w:r>
        <w:t>The Importance of the Mechanism of Injury</w:t>
      </w:r>
    </w:p>
    <w:p w14:paraId="798D6D10" w14:textId="77777777" w:rsidR="00BA3739" w:rsidRDefault="00BA3739" w:rsidP="00BA3739">
      <w:pPr>
        <w:pStyle w:val="ListParagraph"/>
        <w:numPr>
          <w:ilvl w:val="2"/>
          <w:numId w:val="1"/>
        </w:numPr>
      </w:pPr>
      <w:r>
        <w:t>Escobedo case link</w:t>
      </w:r>
      <w:r w:rsidR="00104791">
        <w:t xml:space="preserve"> – “trivial injury” with almost “immediate onset of pain.”</w:t>
      </w:r>
    </w:p>
    <w:p w14:paraId="419DF0DB" w14:textId="77777777" w:rsidR="00BA3739" w:rsidRDefault="00BA3739" w:rsidP="00BA3739">
      <w:pPr>
        <w:pStyle w:val="ListParagraph"/>
        <w:numPr>
          <w:ilvl w:val="2"/>
          <w:numId w:val="1"/>
        </w:numPr>
      </w:pPr>
      <w:r>
        <w:t>Apportionment – determining the “approximate percentages”</w:t>
      </w:r>
    </w:p>
    <w:p w14:paraId="632DC6B7" w14:textId="77777777" w:rsidR="00BA3739" w:rsidRDefault="00BA3739" w:rsidP="00BA3739">
      <w:pPr>
        <w:pStyle w:val="ListParagraph"/>
        <w:numPr>
          <w:ilvl w:val="1"/>
          <w:numId w:val="1"/>
        </w:numPr>
      </w:pPr>
      <w:r>
        <w:t xml:space="preserve">Part 2 – </w:t>
      </w:r>
      <w:r w:rsidR="00104791">
        <w:t>“</w:t>
      </w:r>
      <w:r>
        <w:t>The Mechanism of Injury Continuum</w:t>
      </w:r>
      <w:r w:rsidR="00104791">
        <w:t>”</w:t>
      </w:r>
      <w:r>
        <w:t xml:space="preserve"> and Apportionment “approximate” percentages</w:t>
      </w:r>
    </w:p>
    <w:p w14:paraId="6E2D4D6B" w14:textId="77777777" w:rsidR="00BA3739" w:rsidRDefault="00BA3739" w:rsidP="00BA3739">
      <w:pPr>
        <w:pStyle w:val="ListParagraph"/>
        <w:numPr>
          <w:ilvl w:val="1"/>
          <w:numId w:val="1"/>
        </w:numPr>
      </w:pPr>
      <w:r>
        <w:t>Part 3 – Failed Treatments &amp; Apportionment to Prior Award of Permanent Disability under LC 4664</w:t>
      </w:r>
    </w:p>
    <w:p w14:paraId="5AFFF423" w14:textId="77777777" w:rsidR="00F15816" w:rsidRDefault="00F15816" w:rsidP="00F15816">
      <w:pPr>
        <w:pStyle w:val="ListParagraph"/>
        <w:numPr>
          <w:ilvl w:val="0"/>
          <w:numId w:val="1"/>
        </w:numPr>
      </w:pPr>
      <w:r>
        <w:t xml:space="preserve">The Court Reporter’s Perspective – The goal of the effective QME deponent is to ensure that what the Court Reporter transcribes on to the written page is exactly what the QME was trying to communicate.  This takes time, study, and practice and is well worth the effort!  Here are the Top Communication Tips at Deposition from the perspective of the Court Reporter.  </w:t>
      </w:r>
    </w:p>
    <w:p w14:paraId="2845BCB5" w14:textId="77777777" w:rsidR="00F15816" w:rsidRDefault="00F15816" w:rsidP="00F15816">
      <w:pPr>
        <w:pStyle w:val="ListParagraph"/>
        <w:numPr>
          <w:ilvl w:val="1"/>
          <w:numId w:val="1"/>
        </w:numPr>
      </w:pPr>
      <w:r>
        <w:t>Always request and read your Deposition Transcripts</w:t>
      </w:r>
    </w:p>
    <w:p w14:paraId="16652501" w14:textId="77777777" w:rsidR="00F15816" w:rsidRDefault="00F15816" w:rsidP="00F15816">
      <w:pPr>
        <w:pStyle w:val="ListParagraph"/>
        <w:numPr>
          <w:ilvl w:val="1"/>
          <w:numId w:val="1"/>
        </w:numPr>
      </w:pPr>
      <w:r>
        <w:t>Get to know the Court Reporter:</w:t>
      </w:r>
    </w:p>
    <w:p w14:paraId="41494226" w14:textId="77777777" w:rsidR="00F15816" w:rsidRDefault="00F15816" w:rsidP="00F15816">
      <w:pPr>
        <w:pStyle w:val="ListParagraph"/>
        <w:numPr>
          <w:ilvl w:val="2"/>
          <w:numId w:val="1"/>
        </w:numPr>
      </w:pPr>
      <w:r>
        <w:t>“How do you handle punctuation?”</w:t>
      </w:r>
    </w:p>
    <w:p w14:paraId="327B7AC8" w14:textId="77777777" w:rsidR="00F15816" w:rsidRDefault="00F15816" w:rsidP="00F15816">
      <w:pPr>
        <w:pStyle w:val="ListParagraph"/>
        <w:numPr>
          <w:ilvl w:val="2"/>
          <w:numId w:val="1"/>
        </w:numPr>
      </w:pPr>
      <w:r>
        <w:t>“How do you handle emphasis?”</w:t>
      </w:r>
    </w:p>
    <w:p w14:paraId="46220F5E" w14:textId="77777777" w:rsidR="00F15816" w:rsidRDefault="00F15816" w:rsidP="00F15816">
      <w:pPr>
        <w:pStyle w:val="ListParagraph"/>
        <w:numPr>
          <w:ilvl w:val="3"/>
          <w:numId w:val="1"/>
        </w:numPr>
      </w:pPr>
      <w:r>
        <w:t>Example – “I didn’t say she shot him.”</w:t>
      </w:r>
    </w:p>
    <w:p w14:paraId="23B45248" w14:textId="77777777" w:rsidR="00F15816" w:rsidRDefault="00F15816" w:rsidP="00F15816">
      <w:pPr>
        <w:pStyle w:val="ListParagraph"/>
        <w:numPr>
          <w:ilvl w:val="2"/>
          <w:numId w:val="1"/>
        </w:numPr>
      </w:pPr>
      <w:r>
        <w:t>“How do you handle body language?”</w:t>
      </w:r>
    </w:p>
    <w:p w14:paraId="57C5526C" w14:textId="77777777" w:rsidR="00F15816" w:rsidRDefault="00F15816" w:rsidP="00F15816">
      <w:pPr>
        <w:pStyle w:val="ListParagraph"/>
        <w:numPr>
          <w:ilvl w:val="1"/>
          <w:numId w:val="1"/>
        </w:numPr>
      </w:pPr>
      <w:r>
        <w:t>Communicate directly to the Court Reporter.</w:t>
      </w:r>
    </w:p>
    <w:p w14:paraId="47F7D0E6" w14:textId="77777777" w:rsidR="00F15816" w:rsidRDefault="00F15816" w:rsidP="00F15816">
      <w:pPr>
        <w:pStyle w:val="ListParagraph"/>
        <w:numPr>
          <w:ilvl w:val="0"/>
          <w:numId w:val="1"/>
        </w:numPr>
      </w:pPr>
      <w:r>
        <w:t>Overlap of Permanent Impairment</w:t>
      </w:r>
      <w:r w:rsidR="00104791">
        <w:t xml:space="preserve"> – Apportionment Percentages and the Prior Award for Permanent Disability</w:t>
      </w:r>
    </w:p>
    <w:p w14:paraId="0915F554" w14:textId="77777777" w:rsidR="006C125B" w:rsidRDefault="00057776" w:rsidP="00057776">
      <w:pPr>
        <w:pStyle w:val="ListParagraph"/>
        <w:numPr>
          <w:ilvl w:val="1"/>
          <w:numId w:val="1"/>
        </w:numPr>
      </w:pPr>
      <w:r>
        <w:t>Definition</w:t>
      </w:r>
      <w:r w:rsidR="006C125B">
        <w:t>:</w:t>
      </w:r>
    </w:p>
    <w:p w14:paraId="2A714EF7" w14:textId="77777777" w:rsidR="00057776" w:rsidRDefault="006C125B" w:rsidP="006C125B">
      <w:pPr>
        <w:pStyle w:val="ListParagraph"/>
        <w:numPr>
          <w:ilvl w:val="2"/>
          <w:numId w:val="1"/>
        </w:numPr>
      </w:pPr>
      <w:r>
        <w:t>Mercier</w:t>
      </w:r>
      <w:r w:rsidR="00057776">
        <w:t xml:space="preserve"> </w:t>
      </w:r>
      <w:r>
        <w:t>–</w:t>
      </w:r>
      <w:r w:rsidR="00057776">
        <w:t xml:space="preserve"> </w:t>
      </w:r>
      <w:r>
        <w:t>Overlap of Permanent Disability occurs when factors of disability resulting from the current injury, duplicate factors resulting from a different injury or condition, regardless of whether the injuries affect different body parts.</w:t>
      </w:r>
    </w:p>
    <w:p w14:paraId="57EF1D17" w14:textId="77777777" w:rsidR="006C125B" w:rsidRDefault="006C125B" w:rsidP="006C125B">
      <w:pPr>
        <w:pStyle w:val="ListParagraph"/>
        <w:numPr>
          <w:ilvl w:val="2"/>
          <w:numId w:val="1"/>
        </w:numPr>
      </w:pPr>
      <w:r>
        <w:t>To the extent that permanent disabilities overlap, the injured worker is not entitled to recover twice for the same affected or diminished abilities.</w:t>
      </w:r>
    </w:p>
    <w:p w14:paraId="0B3BE083" w14:textId="77777777" w:rsidR="006C125B" w:rsidRDefault="006C125B" w:rsidP="006C125B">
      <w:pPr>
        <w:pStyle w:val="ListParagraph"/>
        <w:numPr>
          <w:ilvl w:val="2"/>
          <w:numId w:val="1"/>
        </w:numPr>
      </w:pPr>
      <w:r>
        <w:t>Permanent disabilities do not overlap if they affect different abilities to compete in the open labor market and ear.</w:t>
      </w:r>
    </w:p>
    <w:p w14:paraId="1320BD50" w14:textId="77777777" w:rsidR="00F15816" w:rsidRDefault="00F15816" w:rsidP="00057776">
      <w:pPr>
        <w:pStyle w:val="ListParagraph"/>
        <w:numPr>
          <w:ilvl w:val="1"/>
          <w:numId w:val="1"/>
        </w:numPr>
      </w:pPr>
      <w:r>
        <w:lastRenderedPageBreak/>
        <w:t>Applicant’s Burden vs. Defense’s Burden</w:t>
      </w:r>
    </w:p>
    <w:p w14:paraId="6A0B509F" w14:textId="77777777" w:rsidR="00F15816" w:rsidRDefault="00F15816" w:rsidP="00F15816">
      <w:pPr>
        <w:pStyle w:val="ListParagraph"/>
        <w:numPr>
          <w:ilvl w:val="1"/>
          <w:numId w:val="1"/>
        </w:numPr>
      </w:pPr>
      <w:r>
        <w:t>LC 4663 – define and explain similarities/differences with LC 4664</w:t>
      </w:r>
    </w:p>
    <w:p w14:paraId="4F20C432" w14:textId="77777777" w:rsidR="00F15816" w:rsidRDefault="00F15816" w:rsidP="00F15816">
      <w:pPr>
        <w:pStyle w:val="ListParagraph"/>
        <w:numPr>
          <w:ilvl w:val="1"/>
          <w:numId w:val="1"/>
        </w:numPr>
      </w:pPr>
      <w:r>
        <w:t>LC 4664 - define and explain similarities/differences with LC 4663</w:t>
      </w:r>
    </w:p>
    <w:p w14:paraId="3713833D" w14:textId="77777777" w:rsidR="00F15816" w:rsidRDefault="00F15816" w:rsidP="00F15816">
      <w:pPr>
        <w:pStyle w:val="ListParagraph"/>
        <w:numPr>
          <w:ilvl w:val="1"/>
          <w:numId w:val="1"/>
        </w:numPr>
      </w:pPr>
      <w:r>
        <w:t xml:space="preserve">The Defense’s </w:t>
      </w:r>
      <w:r w:rsidRPr="00F15816">
        <w:rPr>
          <w:b/>
        </w:rPr>
        <w:t xml:space="preserve">dual </w:t>
      </w:r>
      <w:r>
        <w:t>burden (</w:t>
      </w:r>
      <w:proofErr w:type="spellStart"/>
      <w:r w:rsidRPr="00F15816">
        <w:rPr>
          <w:i/>
        </w:rPr>
        <w:t>Kopping</w:t>
      </w:r>
      <w:proofErr w:type="spellEnd"/>
      <w:r>
        <w:t xml:space="preserve"> case)</w:t>
      </w:r>
    </w:p>
    <w:p w14:paraId="029E832C" w14:textId="77777777" w:rsidR="001D7953" w:rsidRDefault="00027F2F" w:rsidP="00F15816">
      <w:pPr>
        <w:pStyle w:val="ListParagraph"/>
        <w:numPr>
          <w:ilvl w:val="1"/>
          <w:numId w:val="1"/>
        </w:numPr>
      </w:pPr>
      <w:r>
        <w:t xml:space="preserve">Martinez Case: Defense able to produce evidence of a prior 1990 but no medical records or file available with which to determine </w:t>
      </w:r>
      <w:r>
        <w:rPr>
          <w:i/>
        </w:rPr>
        <w:t xml:space="preserve">factors of disability.  </w:t>
      </w:r>
      <w:r>
        <w:t xml:space="preserve">Because defense failed in its burden, Applicant was permitted to argue for a “medical rehabilitation.”  Defense failed to pursue Apportionment under LC 4663 – which does allow applicant to prove medical rehabilitation.  </w:t>
      </w:r>
    </w:p>
    <w:p w14:paraId="161AD174" w14:textId="77777777" w:rsidR="00027F2F" w:rsidRDefault="00027F2F" w:rsidP="00F15816">
      <w:pPr>
        <w:pStyle w:val="ListParagraph"/>
        <w:numPr>
          <w:ilvl w:val="1"/>
          <w:numId w:val="1"/>
        </w:numPr>
      </w:pPr>
      <w:r>
        <w:t>Van Allen: Defense was able to produce medical records of a prior disability award based on Work Restrictions, and also a Deposition Transcript of application taken in relation to the prior industrial injury….</w:t>
      </w:r>
    </w:p>
    <w:p w14:paraId="1DE217E7" w14:textId="77777777" w:rsidR="00F15816" w:rsidRDefault="00F15816" w:rsidP="00F15816">
      <w:pPr>
        <w:pStyle w:val="ListParagraph"/>
        <w:numPr>
          <w:ilvl w:val="1"/>
          <w:numId w:val="1"/>
        </w:numPr>
      </w:pPr>
      <w:r>
        <w:t>Defense can fail in its burden (easy to do)</w:t>
      </w:r>
    </w:p>
    <w:p w14:paraId="05BBAB59" w14:textId="77777777" w:rsidR="00F15816" w:rsidRDefault="00F15816" w:rsidP="00F15816">
      <w:pPr>
        <w:pStyle w:val="ListParagraph"/>
        <w:numPr>
          <w:ilvl w:val="2"/>
          <w:numId w:val="1"/>
        </w:numPr>
      </w:pPr>
      <w:r>
        <w:t>Best Way – Create an apples to oranges scenario</w:t>
      </w:r>
    </w:p>
    <w:p w14:paraId="0BA9322D" w14:textId="77777777" w:rsidR="00F15816" w:rsidRDefault="00F15816" w:rsidP="00F15816">
      <w:pPr>
        <w:pStyle w:val="ListParagraph"/>
        <w:numPr>
          <w:ilvl w:val="3"/>
          <w:numId w:val="1"/>
        </w:numPr>
      </w:pPr>
      <w:r>
        <w:t xml:space="preserve">i.e. </w:t>
      </w:r>
      <w:r w:rsidR="00AC19DC">
        <w:t>–</w:t>
      </w:r>
      <w:r>
        <w:t xml:space="preserve"> </w:t>
      </w:r>
      <w:r w:rsidR="00AC19DC">
        <w:t>1997 PDRS vs. 2005 AMA GUIDES</w:t>
      </w:r>
    </w:p>
    <w:p w14:paraId="74F6AEB4" w14:textId="77777777" w:rsidR="00AC19DC" w:rsidRDefault="00AC19DC" w:rsidP="00AC19DC">
      <w:pPr>
        <w:pStyle w:val="ListParagraph"/>
        <w:numPr>
          <w:ilvl w:val="4"/>
          <w:numId w:val="1"/>
        </w:numPr>
      </w:pPr>
      <w:r>
        <w:t>Compete in open labor market vs. Loss of Future Earning Capacity</w:t>
      </w:r>
    </w:p>
    <w:p w14:paraId="36991EBC" w14:textId="77777777" w:rsidR="00AC19DC" w:rsidRDefault="00AC19DC" w:rsidP="00AC19DC">
      <w:pPr>
        <w:pStyle w:val="ListParagraph"/>
        <w:numPr>
          <w:ilvl w:val="4"/>
          <w:numId w:val="1"/>
        </w:numPr>
      </w:pPr>
      <w:r>
        <w:t>Packard Thurber vs. AMA Guides</w:t>
      </w:r>
    </w:p>
    <w:p w14:paraId="2B3CE924" w14:textId="77777777" w:rsidR="00AC19DC" w:rsidRDefault="00AC19DC" w:rsidP="00AC19DC">
      <w:pPr>
        <w:pStyle w:val="ListParagraph"/>
        <w:numPr>
          <w:ilvl w:val="4"/>
          <w:numId w:val="1"/>
        </w:numPr>
      </w:pPr>
      <w:r>
        <w:t>Work Restrictions vs. “Abnormal Motion”</w:t>
      </w:r>
    </w:p>
    <w:p w14:paraId="5AC8D18F" w14:textId="77777777" w:rsidR="00FC6DEA" w:rsidRDefault="00FC6DEA" w:rsidP="00FC6DEA">
      <w:pPr>
        <w:pStyle w:val="ListParagraph"/>
        <w:numPr>
          <w:ilvl w:val="0"/>
          <w:numId w:val="1"/>
        </w:numPr>
      </w:pPr>
      <w:bookmarkStart w:id="0" w:name="_Hlk479077279"/>
      <w:r>
        <w:t>Secrets for Deposition Success:</w:t>
      </w:r>
    </w:p>
    <w:p w14:paraId="651C3FBA" w14:textId="77777777" w:rsidR="009D769A" w:rsidRDefault="009D769A" w:rsidP="00FC6DEA">
      <w:pPr>
        <w:pStyle w:val="ListParagraph"/>
        <w:numPr>
          <w:ilvl w:val="1"/>
          <w:numId w:val="1"/>
        </w:numPr>
      </w:pPr>
      <w:r>
        <w:t>Secret #1 – Qualify ALL opinions and conclusions as “substantial medical evidence”</w:t>
      </w:r>
      <w:r w:rsidR="00925D4F">
        <w:t>:</w:t>
      </w:r>
    </w:p>
    <w:p w14:paraId="07C5A82D" w14:textId="77777777" w:rsidR="00925D4F" w:rsidRDefault="00925D4F" w:rsidP="00925D4F">
      <w:pPr>
        <w:pStyle w:val="ListParagraph"/>
        <w:numPr>
          <w:ilvl w:val="2"/>
          <w:numId w:val="1"/>
        </w:numPr>
      </w:pPr>
      <w:r>
        <w:t>AOE/COE</w:t>
      </w:r>
    </w:p>
    <w:p w14:paraId="44D18583" w14:textId="77777777" w:rsidR="00925D4F" w:rsidRDefault="00925D4F" w:rsidP="00925D4F">
      <w:pPr>
        <w:pStyle w:val="ListParagraph"/>
        <w:numPr>
          <w:ilvl w:val="2"/>
          <w:numId w:val="1"/>
        </w:numPr>
      </w:pPr>
      <w:r>
        <w:t>Permanent Impairment</w:t>
      </w:r>
    </w:p>
    <w:p w14:paraId="34FBD126" w14:textId="77777777" w:rsidR="00925D4F" w:rsidRDefault="00925D4F" w:rsidP="00925D4F">
      <w:pPr>
        <w:pStyle w:val="ListParagraph"/>
        <w:numPr>
          <w:ilvl w:val="2"/>
          <w:numId w:val="1"/>
        </w:numPr>
      </w:pPr>
      <w:r>
        <w:t>Apportionment</w:t>
      </w:r>
      <w:r w:rsidR="009060F2">
        <w:t xml:space="preserve"> – see Deposition Transcript for AA/DA use of “substantial medical evidence”</w:t>
      </w:r>
    </w:p>
    <w:p w14:paraId="3B93817C" w14:textId="77777777" w:rsidR="00FC6DEA" w:rsidRDefault="00FC6DEA" w:rsidP="00FC6DEA">
      <w:pPr>
        <w:pStyle w:val="ListParagraph"/>
        <w:numPr>
          <w:ilvl w:val="1"/>
          <w:numId w:val="1"/>
        </w:numPr>
      </w:pPr>
      <w:r>
        <w:t>Secret #</w:t>
      </w:r>
      <w:r w:rsidR="00925D4F">
        <w:t>2</w:t>
      </w:r>
      <w:r>
        <w:t xml:space="preserve"> – Do not be invested in the Outcome – Advocacy is the role of the Applicant Attorney.  QME </w:t>
      </w:r>
      <w:r w:rsidR="009060F2">
        <w:t xml:space="preserve">Evaluators and </w:t>
      </w:r>
      <w:r>
        <w:t xml:space="preserve">Deponents should be objective and neutral.  </w:t>
      </w:r>
    </w:p>
    <w:p w14:paraId="24DB545B" w14:textId="77777777" w:rsidR="00FC6DEA" w:rsidRDefault="00FC6DEA" w:rsidP="00FC6DEA">
      <w:pPr>
        <w:pStyle w:val="ListParagraph"/>
        <w:numPr>
          <w:ilvl w:val="1"/>
          <w:numId w:val="1"/>
        </w:numPr>
      </w:pPr>
      <w:r>
        <w:t>Secret #</w:t>
      </w:r>
      <w:r w:rsidR="00925D4F">
        <w:t>3</w:t>
      </w:r>
      <w:r>
        <w:t xml:space="preserve"> – Do not guess – reasons 1) Review Admonitions and differentiate between “estimate” and “guess”, 2) Escobedo references to a) guess, b) speculation, c) conjecture, 3) recent Deposition transcript referencing “guessing.”  You can then turn the tables on the Attorney when pressed to offer an alternative opinion/conclusion that would be a </w:t>
      </w:r>
      <w:r w:rsidR="00925D4F">
        <w:t>“</w:t>
      </w:r>
      <w:r>
        <w:t>guess.</w:t>
      </w:r>
      <w:r w:rsidR="00925D4F">
        <w:t>”</w:t>
      </w:r>
      <w:r>
        <w:t xml:space="preserve">   </w:t>
      </w:r>
    </w:p>
    <w:p w14:paraId="0D3FE687" w14:textId="77777777" w:rsidR="00FC6DEA" w:rsidRDefault="00FC6DEA" w:rsidP="00FC6DEA">
      <w:pPr>
        <w:pStyle w:val="ListParagraph"/>
        <w:numPr>
          <w:ilvl w:val="1"/>
          <w:numId w:val="1"/>
        </w:numPr>
      </w:pPr>
      <w:r>
        <w:t>Secret #</w:t>
      </w:r>
      <w:r w:rsidR="009060F2">
        <w:t>4</w:t>
      </w:r>
      <w:r>
        <w:t xml:space="preserve"> – Perform examination exactly in compliance with AMA Guides.  AMA Guides have exacting protocols, and no shortcuts are allowed:</w:t>
      </w:r>
    </w:p>
    <w:p w14:paraId="677B76BF" w14:textId="77777777" w:rsidR="00FC6DEA" w:rsidRDefault="00FC6DEA" w:rsidP="00FC6DEA">
      <w:pPr>
        <w:pStyle w:val="ListParagraph"/>
        <w:numPr>
          <w:ilvl w:val="2"/>
          <w:numId w:val="1"/>
        </w:numPr>
      </w:pPr>
      <w:r>
        <w:t>ROM Measurements</w:t>
      </w:r>
    </w:p>
    <w:p w14:paraId="068775F3" w14:textId="77777777" w:rsidR="00FC6DEA" w:rsidRDefault="00FC6DEA" w:rsidP="00FC6DEA">
      <w:pPr>
        <w:pStyle w:val="ListParagraph"/>
        <w:numPr>
          <w:ilvl w:val="2"/>
          <w:numId w:val="1"/>
        </w:numPr>
      </w:pPr>
      <w:r>
        <w:t>Use of Proper Instruments</w:t>
      </w:r>
    </w:p>
    <w:p w14:paraId="15C4A8B9" w14:textId="77777777" w:rsidR="00FC6DEA" w:rsidRDefault="00FC6DEA" w:rsidP="00FC6DEA">
      <w:pPr>
        <w:pStyle w:val="ListParagraph"/>
        <w:numPr>
          <w:ilvl w:val="2"/>
          <w:numId w:val="1"/>
        </w:numPr>
      </w:pPr>
      <w:r>
        <w:t>Shortcuts stand out like a sore thumb – recent examination form (Newton D.C./Blaut D.C.)</w:t>
      </w:r>
    </w:p>
    <w:p w14:paraId="34897296" w14:textId="77777777" w:rsidR="00FC6DEA" w:rsidRDefault="00FC6DEA" w:rsidP="00FC6DEA">
      <w:pPr>
        <w:pStyle w:val="ListParagraph"/>
        <w:numPr>
          <w:ilvl w:val="2"/>
          <w:numId w:val="1"/>
        </w:numPr>
      </w:pPr>
      <w:r>
        <w:t xml:space="preserve">Testing and measurements that were incompletely or not carefully done give rise to inferences of slovenliness, lack of professionalism, and possibly bias.   Reference “rebuttal report” wherein consulting evaluator failed to follow proper protocol.  </w:t>
      </w:r>
    </w:p>
    <w:p w14:paraId="17FDB2DF" w14:textId="77777777" w:rsidR="00FC6DEA" w:rsidRDefault="00FC6DEA" w:rsidP="00FC6DEA">
      <w:pPr>
        <w:pStyle w:val="ListParagraph"/>
        <w:numPr>
          <w:ilvl w:val="1"/>
          <w:numId w:val="1"/>
        </w:numPr>
      </w:pPr>
      <w:r>
        <w:lastRenderedPageBreak/>
        <w:t>Secret #</w:t>
      </w:r>
      <w:r w:rsidR="009060F2">
        <w:t>5</w:t>
      </w:r>
      <w:r>
        <w:t xml:space="preserve"> – Carefully review all of examinee’s responses on written documents/questionnaires.  Investigate each, especially as relates to accepted body parts.  </w:t>
      </w:r>
    </w:p>
    <w:p w14:paraId="7AC3C856" w14:textId="77777777" w:rsidR="00FC6DEA" w:rsidRDefault="00FC6DEA" w:rsidP="00FC6DEA">
      <w:pPr>
        <w:pStyle w:val="ListParagraph"/>
        <w:numPr>
          <w:ilvl w:val="1"/>
          <w:numId w:val="1"/>
        </w:numPr>
      </w:pPr>
      <w:r>
        <w:t>Secret #</w:t>
      </w:r>
      <w:r w:rsidR="009060F2">
        <w:t>6</w:t>
      </w:r>
      <w:r>
        <w:t xml:space="preserve"> – Take responsibility for all Diagnostic Study Findings – x-ray/MRI/CT/Electrodiagnostic Studies – etc.  Consult with the specialist and “correlate clinically” together.   </w:t>
      </w:r>
    </w:p>
    <w:p w14:paraId="43E97557" w14:textId="77777777" w:rsidR="00FC6DEA" w:rsidRDefault="00FC6DEA" w:rsidP="00FC6DEA">
      <w:pPr>
        <w:pStyle w:val="ListParagraph"/>
        <w:numPr>
          <w:ilvl w:val="1"/>
          <w:numId w:val="1"/>
        </w:numPr>
      </w:pPr>
      <w:r>
        <w:t>Secret #</w:t>
      </w:r>
      <w:r w:rsidR="009060F2">
        <w:t>7</w:t>
      </w:r>
      <w:r>
        <w:t xml:space="preserve"> – Answer only the question asked.</w:t>
      </w:r>
    </w:p>
    <w:p w14:paraId="6E476C3C" w14:textId="77777777" w:rsidR="00FC6DEA" w:rsidRDefault="00FC6DEA" w:rsidP="00FC6DEA">
      <w:pPr>
        <w:pStyle w:val="ListParagraph"/>
        <w:numPr>
          <w:ilvl w:val="1"/>
          <w:numId w:val="1"/>
        </w:numPr>
      </w:pPr>
      <w:r>
        <w:t>Secret #</w:t>
      </w:r>
      <w:r w:rsidR="009060F2">
        <w:t>8 – Don’t take any crap</w:t>
      </w:r>
    </w:p>
    <w:p w14:paraId="45102DA3" w14:textId="77777777" w:rsidR="009060F2" w:rsidRDefault="009060F2" w:rsidP="009060F2">
      <w:pPr>
        <w:pStyle w:val="ListParagraph"/>
        <w:numPr>
          <w:ilvl w:val="2"/>
          <w:numId w:val="1"/>
        </w:numPr>
      </w:pPr>
      <w:r>
        <w:t>Background qualifications</w:t>
      </w:r>
    </w:p>
    <w:p w14:paraId="18B3992A" w14:textId="77777777" w:rsidR="009060F2" w:rsidRDefault="009060F2" w:rsidP="009060F2">
      <w:pPr>
        <w:pStyle w:val="ListParagraph"/>
        <w:numPr>
          <w:ilvl w:val="3"/>
          <w:numId w:val="1"/>
        </w:numPr>
      </w:pPr>
      <w:r>
        <w:t>Active, unrestricted professional license</w:t>
      </w:r>
    </w:p>
    <w:p w14:paraId="3D0796A8" w14:textId="77777777" w:rsidR="009060F2" w:rsidRDefault="009060F2" w:rsidP="009060F2">
      <w:pPr>
        <w:pStyle w:val="ListParagraph"/>
        <w:numPr>
          <w:ilvl w:val="3"/>
          <w:numId w:val="1"/>
        </w:numPr>
      </w:pPr>
      <w:r>
        <w:t>Active, unrestricted QME license</w:t>
      </w:r>
    </w:p>
    <w:bookmarkEnd w:id="0"/>
    <w:p w14:paraId="672B7FEC" w14:textId="77777777" w:rsidR="00FC6DEA" w:rsidRDefault="00FC6DEA" w:rsidP="0075350E">
      <w:pPr>
        <w:pStyle w:val="ListParagraph"/>
      </w:pPr>
    </w:p>
    <w:p w14:paraId="0AD77939" w14:textId="77777777" w:rsidR="00F15816" w:rsidRDefault="00F15816" w:rsidP="00F15816">
      <w:pPr>
        <w:pStyle w:val="ListParagraph"/>
        <w:ind w:left="1440"/>
      </w:pPr>
    </w:p>
    <w:p w14:paraId="0752362F" w14:textId="77777777" w:rsidR="00581820" w:rsidRDefault="00581820" w:rsidP="00581820"/>
    <w:p w14:paraId="77F55E92" w14:textId="77777777" w:rsidR="00581820" w:rsidRPr="004E02B4" w:rsidRDefault="00581820" w:rsidP="00581820">
      <w:r w:rsidRPr="00581820">
        <w:t>When it comes to Deposition and the parties ask you to defend your Apportionment "approximate percentages - what will you say.  What "relevant facts" will you rely on to substantiate your opinion?  The MECHANISM OF INJURY is perhaps the MOST important information upon which your percentages will be based.  In this video we explain WHY.....</w:t>
      </w:r>
    </w:p>
    <w:sectPr w:rsidR="00581820" w:rsidRPr="004E02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C62C15"/>
    <w:multiLevelType w:val="hybridMultilevel"/>
    <w:tmpl w:val="796E03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9">
      <w:start w:val="1"/>
      <w:numFmt w:val="lowerLetter"/>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6"/>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0B2"/>
    <w:rsid w:val="00027F2F"/>
    <w:rsid w:val="00057776"/>
    <w:rsid w:val="00104791"/>
    <w:rsid w:val="00111502"/>
    <w:rsid w:val="001805D3"/>
    <w:rsid w:val="001C6F80"/>
    <w:rsid w:val="001D7953"/>
    <w:rsid w:val="0025282F"/>
    <w:rsid w:val="002A6464"/>
    <w:rsid w:val="00391A6E"/>
    <w:rsid w:val="00400B64"/>
    <w:rsid w:val="00472DFD"/>
    <w:rsid w:val="004E02B4"/>
    <w:rsid w:val="005176EF"/>
    <w:rsid w:val="00581820"/>
    <w:rsid w:val="005F4F06"/>
    <w:rsid w:val="006B0AC1"/>
    <w:rsid w:val="006C125B"/>
    <w:rsid w:val="0075350E"/>
    <w:rsid w:val="009060F2"/>
    <w:rsid w:val="00925D4F"/>
    <w:rsid w:val="009D769A"/>
    <w:rsid w:val="00A872A9"/>
    <w:rsid w:val="00AC19DC"/>
    <w:rsid w:val="00B238CE"/>
    <w:rsid w:val="00BA3739"/>
    <w:rsid w:val="00BF50B2"/>
    <w:rsid w:val="00C400BF"/>
    <w:rsid w:val="00E16609"/>
    <w:rsid w:val="00EA608D"/>
    <w:rsid w:val="00F15296"/>
    <w:rsid w:val="00F15816"/>
    <w:rsid w:val="00F24E52"/>
    <w:rsid w:val="00FC6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A0A8B"/>
  <w15:chartTrackingRefBased/>
  <w15:docId w15:val="{ABF329B0-64F0-4C4B-9069-E013D6406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50B2"/>
    <w:pPr>
      <w:ind w:left="720"/>
      <w:contextualSpacing/>
    </w:pPr>
  </w:style>
  <w:style w:type="paragraph" w:styleId="BalloonText">
    <w:name w:val="Balloon Text"/>
    <w:basedOn w:val="Normal"/>
    <w:link w:val="BalloonTextChar"/>
    <w:uiPriority w:val="99"/>
    <w:semiHidden/>
    <w:unhideWhenUsed/>
    <w:rsid w:val="00EA60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60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2554</TotalTime>
  <Pages>4</Pages>
  <Words>1063</Words>
  <Characters>6060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Perry Carpenter D.C.</dc:creator>
  <cp:keywords/>
  <dc:description/>
  <cp:lastModifiedBy>Perry Carpenter D.C.</cp:lastModifiedBy>
  <cp:revision>14</cp:revision>
  <cp:lastPrinted>2017-04-04T21:12:00Z</cp:lastPrinted>
  <dcterms:created xsi:type="dcterms:W3CDTF">2017-02-09T17:30:00Z</dcterms:created>
  <dcterms:modified xsi:type="dcterms:W3CDTF">2021-02-10T05:20:00Z</dcterms:modified>
</cp:coreProperties>
</file>