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5375"/>
        <w:gridCol w:w="221"/>
        <w:gridCol w:w="786"/>
        <w:gridCol w:w="785"/>
        <w:gridCol w:w="221"/>
        <w:gridCol w:w="697"/>
        <w:gridCol w:w="1053"/>
        <w:gridCol w:w="221"/>
      </w:tblGrid>
      <w:tr>
        <w:tblPrEx>
          <w:shd w:val="clear" w:color="auto" w:fill="cad1d7"/>
        </w:tblPrEx>
        <w:trPr>
          <w:trHeight w:val="283" w:hRule="atLeast"/>
        </w:trPr>
        <w:tc>
          <w:tcPr>
            <w:tcW w:type="dxa" w:w="9138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ptos Narrow" w:cs="Aptos Narrow" w:hAnsi="Aptos Narrow" w:eastAsia="Aptos Narrow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Porter Mountain Domestic Water Improvement District </w:t>
            </w:r>
            <w:r>
              <w:rPr>
                <w:rFonts w:ascii="Aptos Narrow" w:cs="Aptos Narrow" w:hAnsi="Aptos Narrow" w:eastAsia="Aptos Narrow"/>
                <w:kern w:val="0"/>
                <w:sz w:val="28"/>
                <w:szCs w:val="28"/>
                <w:shd w:val="nil" w:color="auto" w:fill="auto"/>
                <w:lang w:val="en-US"/>
              </w:rPr>
              <w:br w:type="textWrapping"/>
            </w:r>
            <w:r>
              <w:rPr>
                <w:rFonts w:ascii="Aptos Narrow" w:cs="Aptos Narrow" w:hAnsi="Aptos Narrow" w:eastAsia="Aptos Narrow"/>
                <w:kern w:val="0"/>
                <w:sz w:val="28"/>
                <w:szCs w:val="28"/>
                <w:shd w:val="nil" w:color="auto" w:fill="auto"/>
                <w:rtl w:val="0"/>
                <w:lang w:val="en-US"/>
              </w:rPr>
              <w:t>Budget Worksheet for 2025-26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50" w:hRule="atLeast"/>
        </w:trPr>
        <w:tc>
          <w:tcPr>
            <w:tcW w:type="dxa" w:w="9138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ad1d7"/>
        </w:tblPrEx>
        <w:trPr>
          <w:trHeight w:val="232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Actual Expenses 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Proposed Exp.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51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7/1/24-6/30/25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7/1/25-6/30/26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51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Income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Water Sales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$70,840.95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$80,000.00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51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51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Expenses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Accounting Fees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$11,500.00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$11,800.00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Bank Fees/Credit Card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$244.88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Computer/Internet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$964.25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$500.00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Insurance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$2,726.00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$2,800.00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Mgt. Services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$25,469.00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$27,000.00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Miscell. Expenses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$75.00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Navopache Elect.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$8,911.59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$9,500.00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Office Supplies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$160.88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$150.00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Postage/P.O. Box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$216.00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$300.00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Travel Mileage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$700.00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$750.00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Water Sales Tax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$3,818.67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$4,000.00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Water Testing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$1,434.38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$1,500.00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Well Equip. Labor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$4,895.93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$6,000.00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Well Equip. Parts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$16,029.33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$15,500.00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ptos Narrow" w:cs="Aptos Narrow" w:hAnsi="Aptos Narrow" w:eastAsia="Aptos Narrow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Total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ptos Narrow" w:cs="Aptos Narrow" w:hAnsi="Aptos Narrow" w:eastAsia="Aptos Narrow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$77,145.91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0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ptos Narrow" w:cs="Aptos Narrow" w:hAnsi="Aptos Narrow" w:eastAsia="Aptos Narrow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$80,000.00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Yearly Loss (Overbudget)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ptos Narrow" w:cs="Aptos Narrow" w:hAnsi="Aptos Narrow" w:eastAsia="Aptos Narrow"/>
                <w:outline w:val="0"/>
                <w:color w:val="ff0000"/>
                <w:kern w:val="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$6,304.96 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32" w:hRule="atLeast"/>
        </w:trPr>
        <w:tc>
          <w:tcPr>
            <w:tcW w:type="dxa" w:w="53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22" w:hRule="atLeast"/>
        </w:trPr>
        <w:tc>
          <w:tcPr>
            <w:tcW w:type="dxa" w:w="9138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ptos Narrow" w:cs="Aptos Narrow" w:hAnsi="Aptos Narrow" w:eastAsia="Aptos Narrow"/>
                <w:kern w:val="0"/>
                <w:shd w:val="nil" w:color="auto" w:fill="auto"/>
                <w:rtl w:val="0"/>
                <w:lang w:val="en-US"/>
              </w:rPr>
              <w:t xml:space="preserve">Pressure Pump-$12,086; August 2025 Rate Increase-Base Price $30 to $40; </w:t>
            </w:r>
            <w:r>
              <w:rPr>
                <w:rFonts w:ascii="Aptos Narrow" w:cs="Aptos Narrow" w:hAnsi="Aptos Narrow" w:eastAsia="Aptos Narrow"/>
                <w:kern w:val="0"/>
                <w:shd w:val="nil" w:color="auto" w:fill="auto"/>
                <w:lang w:val="en-US"/>
              </w:rPr>
              <w:br w:type="textWrapping"/>
            </w:r>
            <w:r>
              <w:rPr>
                <w:rFonts w:ascii="Aptos Narrow" w:cs="Aptos Narrow" w:hAnsi="Aptos Narrow" w:eastAsia="Aptos Narrow"/>
                <w:kern w:val="0"/>
                <w:shd w:val="nil" w:color="auto" w:fill="auto"/>
                <w:rtl w:val="0"/>
                <w:lang w:val="en-US"/>
              </w:rPr>
              <w:t>$5.00 per 1000 gallons over 3000 gallons</w:t>
            </w:r>
          </w:p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9138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