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72F5" w14:textId="77777777" w:rsidR="003D2916" w:rsidRPr="00EE6851" w:rsidRDefault="003D2916" w:rsidP="003D2916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  <w:proofErr w:type="spellStart"/>
      <w:r w:rsidRPr="00EE6851">
        <w:rPr>
          <w:rFonts w:asciiTheme="majorHAnsi" w:hAnsiTheme="majorHAnsi" w:cstheme="majorHAnsi"/>
          <w:lang w:val="en-GB"/>
        </w:rPr>
        <w:t>Nadège</w:t>
      </w:r>
      <w:proofErr w:type="spellEnd"/>
      <w:r w:rsidRPr="00EE6851">
        <w:rPr>
          <w:rFonts w:asciiTheme="majorHAnsi" w:hAnsiTheme="majorHAnsi" w:cstheme="majorHAnsi"/>
          <w:lang w:val="en-GB"/>
        </w:rPr>
        <w:t xml:space="preserve"> Buttigieg </w:t>
      </w:r>
    </w:p>
    <w:p w14:paraId="188FFB72" w14:textId="77777777" w:rsidR="003D2916" w:rsidRPr="00EE6851" w:rsidRDefault="003D2916" w:rsidP="003D2916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  <w:r w:rsidRPr="00EE6851">
        <w:rPr>
          <w:rFonts w:asciiTheme="majorHAnsi" w:hAnsiTheme="majorHAnsi" w:cstheme="majorHAnsi"/>
          <w:lang w:val="en-GB"/>
        </w:rPr>
        <w:t xml:space="preserve">Midwife </w:t>
      </w:r>
    </w:p>
    <w:p w14:paraId="66AE011B" w14:textId="77777777" w:rsidR="003D2916" w:rsidRPr="00EE6851" w:rsidRDefault="003D2916" w:rsidP="003D2916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  <w:proofErr w:type="spellStart"/>
      <w:proofErr w:type="gramStart"/>
      <w:r w:rsidRPr="00EE6851">
        <w:rPr>
          <w:rFonts w:asciiTheme="majorHAnsi" w:hAnsiTheme="majorHAnsi" w:cstheme="majorHAnsi"/>
          <w:lang w:val="en-GB"/>
        </w:rPr>
        <w:t>B.Sc</w:t>
      </w:r>
      <w:proofErr w:type="spellEnd"/>
      <w:proofErr w:type="gramEnd"/>
      <w:r w:rsidRPr="00EE6851">
        <w:rPr>
          <w:rFonts w:asciiTheme="majorHAnsi" w:hAnsiTheme="majorHAnsi" w:cstheme="majorHAnsi"/>
          <w:lang w:val="en-GB"/>
        </w:rPr>
        <w:t xml:space="preserve"> (Hons) Midwifery </w:t>
      </w:r>
    </w:p>
    <w:p w14:paraId="3C6D4798" w14:textId="77777777" w:rsidR="003D2916" w:rsidRPr="00EE6851" w:rsidRDefault="003D2916" w:rsidP="003D2916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  <w:r w:rsidRPr="00EE6851">
        <w:rPr>
          <w:rFonts w:asciiTheme="majorHAnsi" w:hAnsiTheme="majorHAnsi" w:cstheme="majorHAnsi"/>
          <w:lang w:val="en-GB"/>
        </w:rPr>
        <w:t xml:space="preserve">Mater Dei Hospital, Malta </w:t>
      </w:r>
    </w:p>
    <w:p w14:paraId="47606371" w14:textId="77777777" w:rsidR="003D2916" w:rsidRPr="00EE6851" w:rsidRDefault="003D2916" w:rsidP="003D2916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</w:p>
    <w:p w14:paraId="57D3BBFE" w14:textId="77777777" w:rsidR="003D2916" w:rsidRPr="00EE6851" w:rsidRDefault="003D2916" w:rsidP="003D2916">
      <w:pPr>
        <w:spacing w:line="360" w:lineRule="auto"/>
        <w:jc w:val="both"/>
        <w:rPr>
          <w:rFonts w:asciiTheme="majorHAnsi" w:hAnsiTheme="majorHAnsi" w:cstheme="majorHAnsi"/>
          <w:b/>
          <w:bCs/>
          <w:lang w:val="en-GB"/>
        </w:rPr>
      </w:pPr>
      <w:r w:rsidRPr="00EE6851">
        <w:rPr>
          <w:rFonts w:asciiTheme="majorHAnsi" w:hAnsiTheme="majorHAnsi" w:cstheme="majorHAnsi"/>
          <w:b/>
          <w:bCs/>
          <w:lang w:val="en-GB"/>
        </w:rPr>
        <w:t>The Golden Hour After Birth – What is it and Why is it so important?</w:t>
      </w:r>
    </w:p>
    <w:p w14:paraId="07175107" w14:textId="2F4607B7" w:rsidR="009C7F25" w:rsidRPr="00EE6851" w:rsidRDefault="009C7F25" w:rsidP="003D2916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</w:p>
    <w:p w14:paraId="71023C1B" w14:textId="7DC8D4B6" w:rsidR="009C7F25" w:rsidRPr="00EE6851" w:rsidRDefault="009C7F25" w:rsidP="003D2916">
      <w:pPr>
        <w:spacing w:line="360" w:lineRule="auto"/>
        <w:jc w:val="both"/>
        <w:rPr>
          <w:rFonts w:asciiTheme="majorHAnsi" w:hAnsiTheme="majorHAnsi" w:cstheme="majorHAnsi"/>
          <w:i/>
          <w:iCs/>
          <w:lang w:val="en-GB"/>
        </w:rPr>
      </w:pPr>
      <w:r w:rsidRPr="00EE6851">
        <w:rPr>
          <w:rFonts w:asciiTheme="majorHAnsi" w:hAnsiTheme="majorHAnsi" w:cstheme="majorHAnsi"/>
          <w:i/>
          <w:iCs/>
          <w:lang w:val="en-GB"/>
        </w:rPr>
        <w:t>Introducing the ‘Golden Hour’</w:t>
      </w:r>
    </w:p>
    <w:p w14:paraId="3303F927" w14:textId="25260AFD" w:rsidR="003D2916" w:rsidRPr="00EE6851" w:rsidRDefault="003D2916" w:rsidP="003D2916">
      <w:pPr>
        <w:spacing w:line="360" w:lineRule="auto"/>
        <w:jc w:val="both"/>
        <w:rPr>
          <w:rFonts w:cstheme="minorHAnsi"/>
          <w:lang w:val="en-GB"/>
        </w:rPr>
      </w:pPr>
      <w:r w:rsidRPr="00EE6851">
        <w:rPr>
          <w:rFonts w:cstheme="minorHAnsi"/>
          <w:lang w:val="en-GB"/>
        </w:rPr>
        <w:t>Soon after birth, babies find themselves in a completely different environment, which is devoid of the cosiness, security and warmth that the womb usually provides</w:t>
      </w:r>
      <w:r w:rsidRPr="00EE6851">
        <w:rPr>
          <w:rFonts w:cstheme="minorHAnsi"/>
          <w:vertAlign w:val="superscript"/>
          <w:lang w:val="en-GB"/>
        </w:rPr>
        <w:t>1</w:t>
      </w:r>
      <w:r w:rsidRPr="00EE6851">
        <w:rPr>
          <w:rFonts w:cstheme="minorHAnsi"/>
          <w:lang w:val="en-GB"/>
        </w:rPr>
        <w:t>. Babies slowly start to realize that there are things which will now have to be dealt with by themselves in order to thrive, including breathing, nutrition and thirst</w:t>
      </w:r>
      <w:r w:rsidRPr="00EE6851">
        <w:rPr>
          <w:rFonts w:cstheme="minorHAnsi"/>
          <w:vertAlign w:val="superscript"/>
          <w:lang w:val="en-GB"/>
        </w:rPr>
        <w:t>1</w:t>
      </w:r>
      <w:r w:rsidRPr="00EE6851">
        <w:rPr>
          <w:rFonts w:cstheme="minorHAnsi"/>
          <w:lang w:val="en-GB"/>
        </w:rPr>
        <w:t>. Thus, the transition from the womb to the outside world can be quite a challenging period for the newborn</w:t>
      </w:r>
      <w:r w:rsidRPr="00EE6851">
        <w:rPr>
          <w:rFonts w:cstheme="minorHAnsi"/>
          <w:vertAlign w:val="superscript"/>
          <w:lang w:val="en-GB"/>
        </w:rPr>
        <w:t>2</w:t>
      </w:r>
      <w:r w:rsidRPr="00EE6851">
        <w:rPr>
          <w:rFonts w:cstheme="minorHAnsi"/>
          <w:lang w:val="en-GB"/>
        </w:rPr>
        <w:t>.</w:t>
      </w:r>
      <w:r w:rsidRPr="00EE6851">
        <w:rPr>
          <w:rFonts w:cstheme="minorHAnsi"/>
          <w:lang w:val="en-GB"/>
        </w:rPr>
        <w:t xml:space="preserve"> </w:t>
      </w:r>
      <w:r w:rsidRPr="00EE6851">
        <w:rPr>
          <w:rFonts w:cstheme="minorHAnsi"/>
          <w:lang w:val="en-GB"/>
        </w:rPr>
        <w:t>Here, we will be discussing how ensuring an undisturbed ‘golden hour’ after birth can facilitate this transition.</w:t>
      </w:r>
    </w:p>
    <w:p w14:paraId="3F804C80" w14:textId="38039401" w:rsidR="009C7F25" w:rsidRPr="00EE6851" w:rsidRDefault="009C7F25" w:rsidP="003D2916">
      <w:pPr>
        <w:spacing w:line="360" w:lineRule="auto"/>
        <w:jc w:val="both"/>
        <w:rPr>
          <w:rFonts w:asciiTheme="majorHAnsi" w:hAnsiTheme="majorHAnsi" w:cstheme="majorHAnsi"/>
          <w:lang w:val="en-GB"/>
        </w:rPr>
      </w:pPr>
    </w:p>
    <w:p w14:paraId="7C51CB78" w14:textId="5101B27C" w:rsidR="009C7F25" w:rsidRPr="00EE6851" w:rsidRDefault="009C7F25" w:rsidP="003D2916">
      <w:pPr>
        <w:spacing w:line="360" w:lineRule="auto"/>
        <w:jc w:val="both"/>
        <w:rPr>
          <w:rFonts w:asciiTheme="majorHAnsi" w:hAnsiTheme="majorHAnsi" w:cstheme="majorHAnsi"/>
          <w:i/>
          <w:iCs/>
          <w:lang w:val="en-GB"/>
        </w:rPr>
      </w:pPr>
      <w:r w:rsidRPr="00EE6851">
        <w:rPr>
          <w:rFonts w:asciiTheme="majorHAnsi" w:hAnsiTheme="majorHAnsi" w:cstheme="majorHAnsi"/>
          <w:i/>
          <w:iCs/>
          <w:lang w:val="en-GB"/>
        </w:rPr>
        <w:t>Understanding the ‘Golden Hour’</w:t>
      </w:r>
    </w:p>
    <w:p w14:paraId="2E60415B" w14:textId="49292EFD" w:rsidR="003D2916" w:rsidRPr="00EE6851" w:rsidRDefault="003D2916" w:rsidP="003D2916">
      <w:pPr>
        <w:spacing w:line="360" w:lineRule="auto"/>
        <w:jc w:val="both"/>
        <w:rPr>
          <w:rFonts w:cstheme="minorHAnsi"/>
          <w:lang w:val="en-GB"/>
        </w:rPr>
      </w:pPr>
      <w:r w:rsidRPr="00EE6851">
        <w:rPr>
          <w:rFonts w:cstheme="minorHAnsi"/>
          <w:lang w:val="en-GB"/>
        </w:rPr>
        <w:t>Unless medically indicated, the umbilical cord is now being left untouched for the first few minutes. This encourages babies to be put skin-to-skin on the mother’s chest immediately after birth. Thankfully, the initial newborn checks and weighing are also being routinely delayed - leaving mummies more focused on their new bundle of joy for at least an hour! This period, often known as the ‘golden hour’,</w:t>
      </w:r>
      <w:r w:rsidRPr="00EE6851">
        <w:rPr>
          <w:rFonts w:cstheme="minorHAnsi"/>
          <w:lang w:val="en-GB"/>
        </w:rPr>
        <w:t xml:space="preserve"> </w:t>
      </w:r>
      <w:r w:rsidRPr="00EE6851">
        <w:rPr>
          <w:rFonts w:cstheme="minorHAnsi"/>
          <w:lang w:val="en-GB"/>
        </w:rPr>
        <w:t>is one of the most critical phases in the first few moments of life</w:t>
      </w:r>
      <w:r w:rsidRPr="00EE6851">
        <w:rPr>
          <w:rFonts w:cstheme="minorHAnsi"/>
          <w:vertAlign w:val="superscript"/>
          <w:lang w:val="en-GB"/>
        </w:rPr>
        <w:t>4</w:t>
      </w:r>
      <w:r w:rsidRPr="00EE6851">
        <w:rPr>
          <w:rFonts w:cstheme="minorHAnsi"/>
          <w:lang w:val="en-GB"/>
        </w:rPr>
        <w:t>.</w:t>
      </w:r>
      <w:r w:rsidRPr="00EE6851">
        <w:rPr>
          <w:rFonts w:cstheme="minorHAnsi"/>
          <w:lang w:val="en-GB"/>
        </w:rPr>
        <w:t xml:space="preserve"> </w:t>
      </w:r>
      <w:r w:rsidRPr="00EE6851">
        <w:rPr>
          <w:rFonts w:cstheme="minorHAnsi"/>
          <w:lang w:val="en-GB"/>
        </w:rPr>
        <w:t>The early initiation of breastfeeding is also an integral part of the ‘golden hour’</w:t>
      </w:r>
      <w:r w:rsidRPr="00EE6851">
        <w:rPr>
          <w:rFonts w:cstheme="minorHAnsi"/>
          <w:vertAlign w:val="superscript"/>
          <w:lang w:val="en-GB"/>
        </w:rPr>
        <w:t>6</w:t>
      </w:r>
      <w:r w:rsidRPr="00EE6851">
        <w:rPr>
          <w:rFonts w:cstheme="minorHAnsi"/>
          <w:lang w:val="en-GB"/>
        </w:rPr>
        <w:t>. If left skin-to-skin, babies are able to crawl to the mother’s breast and attach to the nipple by themselves</w:t>
      </w:r>
      <w:r w:rsidRPr="00EE6851">
        <w:rPr>
          <w:rFonts w:cstheme="minorHAnsi"/>
          <w:vertAlign w:val="superscript"/>
          <w:lang w:val="en-GB"/>
        </w:rPr>
        <w:t>8</w:t>
      </w:r>
      <w:r w:rsidRPr="00EE6851">
        <w:rPr>
          <w:rFonts w:cstheme="minorHAnsi"/>
          <w:lang w:val="en-GB"/>
        </w:rPr>
        <w:t>. This phenomenon is known as the ‘breast crawl’</w:t>
      </w:r>
      <w:r w:rsidRPr="00EE6851">
        <w:rPr>
          <w:rFonts w:cstheme="minorHAnsi"/>
          <w:vertAlign w:val="superscript"/>
          <w:lang w:val="en-GB"/>
        </w:rPr>
        <w:t>8</w:t>
      </w:r>
      <w:r w:rsidRPr="00EE6851">
        <w:rPr>
          <w:rFonts w:cstheme="minorHAnsi"/>
          <w:lang w:val="en-GB"/>
        </w:rPr>
        <w:t xml:space="preserve">. </w:t>
      </w:r>
    </w:p>
    <w:p w14:paraId="4BFC87FC" w14:textId="77777777" w:rsidR="009C7F25" w:rsidRPr="00EE6851" w:rsidRDefault="009C7F25" w:rsidP="003D2916">
      <w:pPr>
        <w:spacing w:line="360" w:lineRule="auto"/>
        <w:jc w:val="both"/>
        <w:rPr>
          <w:rFonts w:cstheme="minorHAnsi"/>
          <w:lang w:val="en-GB"/>
        </w:rPr>
      </w:pPr>
    </w:p>
    <w:p w14:paraId="369986E0" w14:textId="558E8D83" w:rsidR="003D2916" w:rsidRPr="00EE6851" w:rsidRDefault="009C7F25" w:rsidP="003D2916">
      <w:pPr>
        <w:spacing w:line="360" w:lineRule="auto"/>
        <w:jc w:val="both"/>
        <w:rPr>
          <w:rFonts w:asciiTheme="majorHAnsi" w:hAnsiTheme="majorHAnsi" w:cstheme="majorHAnsi"/>
          <w:i/>
          <w:iCs/>
          <w:lang w:val="en-GB"/>
        </w:rPr>
      </w:pPr>
      <w:r w:rsidRPr="00EE6851">
        <w:rPr>
          <w:rFonts w:asciiTheme="majorHAnsi" w:hAnsiTheme="majorHAnsi" w:cstheme="majorHAnsi"/>
          <w:i/>
          <w:iCs/>
          <w:lang w:val="en-GB"/>
        </w:rPr>
        <w:t>Benefits of the ‘Golden Hour’</w:t>
      </w:r>
    </w:p>
    <w:p w14:paraId="2815AE5B" w14:textId="5C1369C4" w:rsidR="009C7F25" w:rsidRPr="00EE6851" w:rsidRDefault="003D2916" w:rsidP="003D2916">
      <w:pPr>
        <w:spacing w:line="360" w:lineRule="auto"/>
        <w:jc w:val="both"/>
        <w:rPr>
          <w:rFonts w:cstheme="minorHAnsi"/>
          <w:lang w:val="en-GB"/>
        </w:rPr>
      </w:pPr>
      <w:r w:rsidRPr="00EE6851">
        <w:rPr>
          <w:rFonts w:cstheme="minorHAnsi"/>
          <w:lang w:val="en-GB"/>
        </w:rPr>
        <w:t xml:space="preserve">The ‘golden hour’ is an opportunity to give </w:t>
      </w:r>
      <w:r w:rsidRPr="00EE6851">
        <w:rPr>
          <w:rFonts w:cstheme="minorHAnsi"/>
          <w:lang w:val="en-GB"/>
        </w:rPr>
        <w:t>babies</w:t>
      </w:r>
      <w:r w:rsidRPr="00EE6851">
        <w:rPr>
          <w:rFonts w:cstheme="minorHAnsi"/>
          <w:lang w:val="en-GB"/>
        </w:rPr>
        <w:t xml:space="preserve"> the best start in </w:t>
      </w:r>
      <w:r w:rsidRPr="00EE6851">
        <w:rPr>
          <w:rFonts w:cstheme="minorHAnsi"/>
          <w:lang w:val="en-GB"/>
        </w:rPr>
        <w:t xml:space="preserve">their </w:t>
      </w:r>
      <w:r w:rsidRPr="00EE6851">
        <w:rPr>
          <w:rFonts w:cstheme="minorHAnsi"/>
          <w:lang w:val="en-GB"/>
        </w:rPr>
        <w:t>life</w:t>
      </w:r>
      <w:r w:rsidRPr="00EE6851">
        <w:rPr>
          <w:rFonts w:cstheme="minorHAnsi"/>
          <w:vertAlign w:val="superscript"/>
          <w:lang w:val="en-GB"/>
        </w:rPr>
        <w:t>7</w:t>
      </w:r>
      <w:r w:rsidRPr="00EE6851">
        <w:rPr>
          <w:rFonts w:cstheme="minorHAnsi"/>
          <w:lang w:val="en-GB"/>
        </w:rPr>
        <w:t>. As a matter of fact, midwives are lately doing their utmost to cater for this “new” trend. Following birth, bab</w:t>
      </w:r>
      <w:r w:rsidRPr="00EE6851">
        <w:rPr>
          <w:rFonts w:cstheme="minorHAnsi"/>
          <w:lang w:val="en-GB"/>
        </w:rPr>
        <w:t>ies</w:t>
      </w:r>
      <w:r w:rsidRPr="00EE6851">
        <w:rPr>
          <w:rFonts w:cstheme="minorHAnsi"/>
          <w:lang w:val="en-GB"/>
        </w:rPr>
        <w:t xml:space="preserve"> will need a lot of comfort and skin-to-skin is </w:t>
      </w:r>
      <w:r w:rsidR="009C7F25" w:rsidRPr="00EE6851">
        <w:rPr>
          <w:rFonts w:cstheme="minorHAnsi"/>
          <w:lang w:val="en-GB"/>
        </w:rPr>
        <w:t>the</w:t>
      </w:r>
      <w:r w:rsidRPr="00EE6851">
        <w:rPr>
          <w:rFonts w:cstheme="minorHAnsi"/>
          <w:lang w:val="en-GB"/>
        </w:rPr>
        <w:t xml:space="preserve"> best option to keep </w:t>
      </w:r>
      <w:r w:rsidRPr="00EE6851">
        <w:rPr>
          <w:rFonts w:cstheme="minorHAnsi"/>
          <w:lang w:val="en-GB"/>
        </w:rPr>
        <w:t>the newborn</w:t>
      </w:r>
      <w:r w:rsidRPr="00EE6851">
        <w:rPr>
          <w:rFonts w:cstheme="minorHAnsi"/>
          <w:lang w:val="en-GB"/>
        </w:rPr>
        <w:t xml:space="preserve"> calm, settled and secure</w:t>
      </w:r>
      <w:r w:rsidRPr="00EE6851">
        <w:rPr>
          <w:rFonts w:cstheme="minorHAnsi"/>
          <w:vertAlign w:val="superscript"/>
          <w:lang w:val="en-GB"/>
        </w:rPr>
        <w:t>1</w:t>
      </w:r>
      <w:r w:rsidRPr="00EE6851">
        <w:rPr>
          <w:rFonts w:cstheme="minorHAnsi"/>
          <w:lang w:val="en-GB"/>
        </w:rPr>
        <w:t xml:space="preserve">. Skin-to-skin positioning also allows the baby to hear </w:t>
      </w:r>
      <w:r w:rsidRPr="00EE6851">
        <w:rPr>
          <w:rFonts w:cstheme="minorHAnsi"/>
          <w:lang w:val="en-GB"/>
        </w:rPr>
        <w:t>the mother’s</w:t>
      </w:r>
      <w:r w:rsidRPr="00EE6851">
        <w:rPr>
          <w:rFonts w:cstheme="minorHAnsi"/>
          <w:lang w:val="en-GB"/>
        </w:rPr>
        <w:t xml:space="preserve"> heartbeat and feel </w:t>
      </w:r>
      <w:r w:rsidRPr="00EE6851">
        <w:rPr>
          <w:rFonts w:cstheme="minorHAnsi"/>
          <w:lang w:val="en-GB"/>
        </w:rPr>
        <w:t>her</w:t>
      </w:r>
      <w:r w:rsidRPr="00EE6851">
        <w:rPr>
          <w:rFonts w:cstheme="minorHAnsi"/>
          <w:lang w:val="en-GB"/>
        </w:rPr>
        <w:t xml:space="preserve"> warmth, resembling the womb environment</w:t>
      </w:r>
      <w:r w:rsidRPr="00EE6851">
        <w:rPr>
          <w:rFonts w:cstheme="minorHAnsi"/>
          <w:vertAlign w:val="superscript"/>
          <w:lang w:val="en-GB"/>
        </w:rPr>
        <w:t>6</w:t>
      </w:r>
      <w:r w:rsidRPr="00EE6851">
        <w:rPr>
          <w:rFonts w:cstheme="minorHAnsi"/>
          <w:lang w:val="en-GB"/>
        </w:rPr>
        <w:t xml:space="preserve">. During this precious time, babies are better able to maintain their body temperature and breathing pattern, which </w:t>
      </w:r>
      <w:r w:rsidRPr="00EE6851">
        <w:rPr>
          <w:rFonts w:cstheme="minorHAnsi"/>
          <w:lang w:val="en-GB"/>
        </w:rPr>
        <w:lastRenderedPageBreak/>
        <w:t>in turn helps to stimulate their digestive and nervous systems</w:t>
      </w:r>
      <w:r w:rsidRPr="00EE6851">
        <w:rPr>
          <w:rFonts w:cstheme="minorHAnsi"/>
          <w:vertAlign w:val="superscript"/>
          <w:lang w:val="en-GB"/>
        </w:rPr>
        <w:t>1</w:t>
      </w:r>
      <w:r w:rsidRPr="00EE6851">
        <w:rPr>
          <w:rFonts w:cstheme="minorHAnsi"/>
          <w:lang w:val="en-GB"/>
        </w:rPr>
        <w:t xml:space="preserve">. On the other hand, keeping this time quiet will also help </w:t>
      </w:r>
      <w:r w:rsidRPr="00EE6851">
        <w:rPr>
          <w:rFonts w:cstheme="minorHAnsi"/>
          <w:lang w:val="en-GB"/>
        </w:rPr>
        <w:t>the mother</w:t>
      </w:r>
      <w:r w:rsidRPr="00EE6851">
        <w:rPr>
          <w:rFonts w:cstheme="minorHAnsi"/>
          <w:lang w:val="en-GB"/>
        </w:rPr>
        <w:t xml:space="preserve"> to go through the important physiological and hormonal changes smoothly</w:t>
      </w:r>
      <w:r w:rsidRPr="00EE6851">
        <w:rPr>
          <w:rFonts w:cstheme="minorHAnsi"/>
          <w:vertAlign w:val="superscript"/>
          <w:lang w:val="en-GB"/>
        </w:rPr>
        <w:t>9</w:t>
      </w:r>
      <w:r w:rsidRPr="00EE6851">
        <w:rPr>
          <w:rFonts w:cstheme="minorHAnsi"/>
          <w:lang w:val="en-GB"/>
        </w:rPr>
        <w:t xml:space="preserve">. While </w:t>
      </w:r>
      <w:r w:rsidR="009C7F25" w:rsidRPr="00EE6851">
        <w:rPr>
          <w:rFonts w:cstheme="minorHAnsi"/>
          <w:lang w:val="en-GB"/>
        </w:rPr>
        <w:t xml:space="preserve">the mother is left to </w:t>
      </w:r>
      <w:r w:rsidRPr="00EE6851">
        <w:rPr>
          <w:rFonts w:cstheme="minorHAnsi"/>
          <w:lang w:val="en-GB"/>
        </w:rPr>
        <w:t xml:space="preserve">enjoy the first moments with </w:t>
      </w:r>
      <w:r w:rsidR="009C7F25" w:rsidRPr="00EE6851">
        <w:rPr>
          <w:rFonts w:cstheme="minorHAnsi"/>
          <w:lang w:val="en-GB"/>
        </w:rPr>
        <w:t>her</w:t>
      </w:r>
      <w:r w:rsidRPr="00EE6851">
        <w:rPr>
          <w:rFonts w:cstheme="minorHAnsi"/>
          <w:lang w:val="en-GB"/>
        </w:rPr>
        <w:t xml:space="preserve"> baby, all the important components remaining in the placenta are transferred to the little one. Delaying cord clamping by at least five minutes will allow more blood to be transferred to </w:t>
      </w:r>
      <w:r w:rsidR="009C7F25" w:rsidRPr="00EE6851">
        <w:rPr>
          <w:rFonts w:cstheme="minorHAnsi"/>
          <w:lang w:val="en-GB"/>
        </w:rPr>
        <w:t>the</w:t>
      </w:r>
      <w:r w:rsidRPr="00EE6851">
        <w:rPr>
          <w:rFonts w:cstheme="minorHAnsi"/>
          <w:lang w:val="en-GB"/>
        </w:rPr>
        <w:t xml:space="preserve"> baby, increasing his or her iron storage</w:t>
      </w:r>
      <w:r w:rsidRPr="00EE6851">
        <w:rPr>
          <w:rFonts w:cstheme="minorHAnsi"/>
          <w:vertAlign w:val="superscript"/>
          <w:lang w:val="en-GB"/>
        </w:rPr>
        <w:t>1</w:t>
      </w:r>
      <w:r w:rsidRPr="00EE6851">
        <w:rPr>
          <w:rFonts w:cstheme="minorHAnsi"/>
          <w:lang w:val="en-GB"/>
        </w:rPr>
        <w:t>.</w:t>
      </w:r>
      <w:r w:rsidR="009C7F25" w:rsidRPr="00EE6851">
        <w:rPr>
          <w:rFonts w:cstheme="minorHAnsi"/>
          <w:lang w:val="en-GB"/>
        </w:rPr>
        <w:t xml:space="preserve"> </w:t>
      </w:r>
      <w:r w:rsidR="009C7F25" w:rsidRPr="00EE6851">
        <w:rPr>
          <w:rFonts w:cstheme="minorHAnsi"/>
          <w:lang w:val="en-GB"/>
        </w:rPr>
        <w:t>As previously mentioned, breastfeeding is another fundamental element of the ‘golden hour’</w:t>
      </w:r>
      <w:r w:rsidR="009C7F25" w:rsidRPr="00EE6851">
        <w:rPr>
          <w:rFonts w:cstheme="minorHAnsi"/>
          <w:vertAlign w:val="superscript"/>
          <w:lang w:val="en-GB"/>
        </w:rPr>
        <w:t>6</w:t>
      </w:r>
      <w:r w:rsidR="009C7F25" w:rsidRPr="00EE6851">
        <w:rPr>
          <w:rFonts w:cstheme="minorHAnsi"/>
          <w:lang w:val="en-GB"/>
        </w:rPr>
        <w:t xml:space="preserve">. Apart from helping with the expulsion of the placenta and reducing the risk of excessive bleeding after delivery, breastfeeding </w:t>
      </w:r>
      <w:r w:rsidR="009C7F25" w:rsidRPr="00EE6851">
        <w:rPr>
          <w:rFonts w:cstheme="minorHAnsi"/>
          <w:lang w:val="en-GB"/>
        </w:rPr>
        <w:t xml:space="preserve">is also considered </w:t>
      </w:r>
      <w:r w:rsidR="009C7F25" w:rsidRPr="00EE6851">
        <w:rPr>
          <w:rFonts w:cstheme="minorHAnsi"/>
          <w:lang w:val="en-GB"/>
        </w:rPr>
        <w:t>as another opportunity for bonding</w:t>
      </w:r>
      <w:r w:rsidR="009C7F25" w:rsidRPr="00EE6851">
        <w:rPr>
          <w:rFonts w:cstheme="minorHAnsi"/>
          <w:vertAlign w:val="superscript"/>
          <w:lang w:val="en-GB"/>
        </w:rPr>
        <w:t>8</w:t>
      </w:r>
      <w:r w:rsidR="009C7F25" w:rsidRPr="00EE6851">
        <w:rPr>
          <w:rFonts w:cstheme="minorHAnsi"/>
          <w:lang w:val="en-GB"/>
        </w:rPr>
        <w:t>. Research also shows that women who start breastfeeding soon after birth are more likely to continue breastfeeding for a longer period</w:t>
      </w:r>
      <w:r w:rsidR="009C7F25" w:rsidRPr="00EE6851">
        <w:rPr>
          <w:rFonts w:cstheme="minorHAnsi"/>
          <w:vertAlign w:val="superscript"/>
          <w:lang w:val="en-GB"/>
        </w:rPr>
        <w:t>6</w:t>
      </w:r>
      <w:r w:rsidR="009C7F25" w:rsidRPr="00EE6851">
        <w:rPr>
          <w:rFonts w:cstheme="minorHAnsi"/>
          <w:lang w:val="en-GB"/>
        </w:rPr>
        <w:t xml:space="preserve">. Without doubt, the ‘golden hour’ will serve as a beautiful memory </w:t>
      </w:r>
      <w:r w:rsidR="00EE6851" w:rsidRPr="00EE6851">
        <w:rPr>
          <w:rFonts w:cstheme="minorHAnsi"/>
          <w:lang w:val="en-GB"/>
        </w:rPr>
        <w:t xml:space="preserve">for the whole family. </w:t>
      </w:r>
    </w:p>
    <w:p w14:paraId="1A724F7D" w14:textId="257B0530" w:rsidR="003D2916" w:rsidRPr="00551C58" w:rsidRDefault="003D2916" w:rsidP="003D2916">
      <w:pPr>
        <w:spacing w:line="360" w:lineRule="auto"/>
        <w:jc w:val="both"/>
        <w:rPr>
          <w:rFonts w:cstheme="minorHAnsi"/>
        </w:rPr>
      </w:pPr>
    </w:p>
    <w:p w14:paraId="7B82B6F5" w14:textId="5E1E6164" w:rsidR="00551C58" w:rsidRPr="00551C58" w:rsidRDefault="00551C58" w:rsidP="003D2916">
      <w:pPr>
        <w:spacing w:line="360" w:lineRule="auto"/>
        <w:jc w:val="both"/>
        <w:rPr>
          <w:rFonts w:asciiTheme="majorHAnsi" w:hAnsiTheme="majorHAnsi" w:cstheme="majorHAnsi"/>
          <w:u w:val="single"/>
          <w:lang w:val="en-GB"/>
        </w:rPr>
      </w:pPr>
      <w:r w:rsidRPr="00551C58">
        <w:rPr>
          <w:rFonts w:asciiTheme="majorHAnsi" w:hAnsiTheme="majorHAnsi" w:cstheme="majorHAnsi"/>
          <w:u w:val="single"/>
          <w:lang w:val="en-GB"/>
        </w:rPr>
        <w:t>References</w:t>
      </w:r>
    </w:p>
    <w:p w14:paraId="08C63086" w14:textId="77777777" w:rsidR="00551C58" w:rsidRPr="00551C58" w:rsidRDefault="00551C58" w:rsidP="00551C5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r w:rsidRPr="00551C58">
        <w:rPr>
          <w:rFonts w:cstheme="minorHAnsi"/>
          <w:lang w:val="en-GB"/>
        </w:rPr>
        <w:t xml:space="preserve">Davies L, McDonald S. Examination of the Newborn and Neonatal Health E-Book: A Multidimensional Approach. Poland: Elsevier Health Sciences; 2020: 16-352. </w:t>
      </w:r>
      <w:hyperlink r:id="rId7" w:anchor="v=onepage&amp;q&amp;f=false" w:history="1">
        <w:r w:rsidRPr="00551C58">
          <w:rPr>
            <w:rStyle w:val="Hyperlink"/>
            <w:rFonts w:cstheme="minorHAnsi"/>
            <w:lang w:val="en-GB"/>
          </w:rPr>
          <w:t>https://books.google.com.mt/books?id=tGP9DwAAQBAJ&amp;printsec=frontcover&amp;source=gbs_ge_summary_r&amp;cad=0#v=onepage&amp;q&amp;f=false</w:t>
        </w:r>
      </w:hyperlink>
      <w:r w:rsidRPr="00551C58">
        <w:rPr>
          <w:rFonts w:cstheme="minorHAnsi"/>
          <w:lang w:val="en-GB"/>
        </w:rPr>
        <w:t xml:space="preserve"> Accessed March 15, 2021. </w:t>
      </w:r>
    </w:p>
    <w:p w14:paraId="364046C4" w14:textId="77777777" w:rsidR="00551C58" w:rsidRPr="00551C58" w:rsidRDefault="00551C58" w:rsidP="00551C5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r w:rsidRPr="00551C58">
        <w:rPr>
          <w:rFonts w:cstheme="minorHAnsi"/>
          <w:lang w:val="en-GB"/>
        </w:rPr>
        <w:t xml:space="preserve">Swanson JR, </w:t>
      </w:r>
      <w:proofErr w:type="spellStart"/>
      <w:r w:rsidRPr="00551C58">
        <w:rPr>
          <w:rFonts w:cstheme="minorHAnsi"/>
          <w:lang w:val="en-GB"/>
        </w:rPr>
        <w:t>Sinkin</w:t>
      </w:r>
      <w:proofErr w:type="spellEnd"/>
      <w:r w:rsidRPr="00551C58">
        <w:rPr>
          <w:rFonts w:cstheme="minorHAnsi"/>
          <w:lang w:val="en-GB"/>
        </w:rPr>
        <w:t xml:space="preserve"> RA. Transition from </w:t>
      </w:r>
      <w:proofErr w:type="spellStart"/>
      <w:r w:rsidRPr="00551C58">
        <w:rPr>
          <w:rFonts w:cstheme="minorHAnsi"/>
          <w:lang w:val="en-GB"/>
        </w:rPr>
        <w:t>Fetus</w:t>
      </w:r>
      <w:proofErr w:type="spellEnd"/>
      <w:r w:rsidRPr="00551C58">
        <w:rPr>
          <w:rFonts w:cstheme="minorHAnsi"/>
          <w:lang w:val="en-GB"/>
        </w:rPr>
        <w:t xml:space="preserve"> to Newborn. </w:t>
      </w:r>
      <w:proofErr w:type="spellStart"/>
      <w:r w:rsidRPr="00551C58">
        <w:rPr>
          <w:rFonts w:cstheme="minorHAnsi"/>
          <w:i/>
          <w:iCs/>
          <w:lang w:val="en-GB"/>
        </w:rPr>
        <w:t>Pediatric</w:t>
      </w:r>
      <w:proofErr w:type="spellEnd"/>
      <w:r w:rsidRPr="00551C58">
        <w:rPr>
          <w:rFonts w:cstheme="minorHAnsi"/>
          <w:i/>
          <w:iCs/>
          <w:lang w:val="en-GB"/>
        </w:rPr>
        <w:t xml:space="preserve"> Clinics</w:t>
      </w:r>
      <w:r w:rsidRPr="00551C58">
        <w:rPr>
          <w:rFonts w:cstheme="minorHAnsi"/>
          <w:lang w:val="en-GB"/>
        </w:rPr>
        <w:t>. 2015; 62(2): 329-343.</w:t>
      </w:r>
    </w:p>
    <w:p w14:paraId="5AE7AEFC" w14:textId="77777777" w:rsidR="00551C58" w:rsidRPr="00551C58" w:rsidRDefault="00551C58" w:rsidP="00551C5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r w:rsidRPr="00551C58">
        <w:rPr>
          <w:rFonts w:cstheme="minorHAnsi"/>
          <w:lang w:val="en-GB"/>
        </w:rPr>
        <w:t xml:space="preserve">Mercer JS, Erickson-Owens DA, Graves B, Mumford Haley M. Evidence-Based Practices for the </w:t>
      </w:r>
      <w:proofErr w:type="spellStart"/>
      <w:r w:rsidRPr="00551C58">
        <w:rPr>
          <w:rFonts w:cstheme="minorHAnsi"/>
          <w:lang w:val="en-GB"/>
        </w:rPr>
        <w:t>Fetal</w:t>
      </w:r>
      <w:proofErr w:type="spellEnd"/>
      <w:r w:rsidRPr="00551C58">
        <w:rPr>
          <w:rFonts w:cstheme="minorHAnsi"/>
          <w:lang w:val="en-GB"/>
        </w:rPr>
        <w:t xml:space="preserve"> to Newborn Transition. </w:t>
      </w:r>
      <w:r w:rsidRPr="00551C58">
        <w:rPr>
          <w:rFonts w:cstheme="minorHAnsi"/>
          <w:i/>
          <w:iCs/>
          <w:lang w:val="en-GB"/>
        </w:rPr>
        <w:t>Journal of Midwifery and Women’s Health</w:t>
      </w:r>
      <w:r w:rsidRPr="00551C58">
        <w:rPr>
          <w:rFonts w:cstheme="minorHAnsi"/>
          <w:lang w:val="en-GB"/>
        </w:rPr>
        <w:t>. 2007; 52(3): 262-272.</w:t>
      </w:r>
    </w:p>
    <w:p w14:paraId="0530D4F7" w14:textId="77777777" w:rsidR="00551C58" w:rsidRPr="00551C58" w:rsidRDefault="00551C58" w:rsidP="00551C5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r w:rsidRPr="00551C58">
        <w:rPr>
          <w:rFonts w:cstheme="minorHAnsi"/>
          <w:lang w:val="en-GB"/>
        </w:rPr>
        <w:t xml:space="preserve">Sharma D. Golden hour of neonatal life: Need of the hour. </w:t>
      </w:r>
      <w:r w:rsidRPr="00551C58">
        <w:rPr>
          <w:rFonts w:cstheme="minorHAnsi"/>
          <w:i/>
          <w:iCs/>
          <w:lang w:val="en-GB"/>
        </w:rPr>
        <w:t>Maternal health, Neonatology and Perinatology</w:t>
      </w:r>
      <w:r w:rsidRPr="00551C58">
        <w:rPr>
          <w:rFonts w:cstheme="minorHAnsi"/>
          <w:lang w:val="en-GB"/>
        </w:rPr>
        <w:t>. 2017; 3(16): 1-21.</w:t>
      </w:r>
    </w:p>
    <w:p w14:paraId="3D66ABEC" w14:textId="77777777" w:rsidR="00551C58" w:rsidRPr="00551C58" w:rsidRDefault="00551C58" w:rsidP="00551C5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proofErr w:type="spellStart"/>
      <w:r w:rsidRPr="00551C58">
        <w:rPr>
          <w:rFonts w:cstheme="minorHAnsi"/>
          <w:lang w:val="en-GB"/>
        </w:rPr>
        <w:t>Nakić</w:t>
      </w:r>
      <w:proofErr w:type="spellEnd"/>
      <w:r w:rsidRPr="00551C58">
        <w:rPr>
          <w:rFonts w:cstheme="minorHAnsi"/>
          <w:lang w:val="en-GB"/>
        </w:rPr>
        <w:t xml:space="preserve"> </w:t>
      </w:r>
      <w:proofErr w:type="spellStart"/>
      <w:r w:rsidRPr="00551C58">
        <w:rPr>
          <w:rFonts w:cstheme="minorHAnsi"/>
          <w:lang w:val="en-GB"/>
        </w:rPr>
        <w:t>Radoš</w:t>
      </w:r>
      <w:proofErr w:type="spellEnd"/>
      <w:r w:rsidRPr="00551C58">
        <w:rPr>
          <w:rFonts w:cstheme="minorHAnsi"/>
          <w:lang w:val="en-GB"/>
        </w:rPr>
        <w:t xml:space="preserve"> S, </w:t>
      </w:r>
      <w:proofErr w:type="spellStart"/>
      <w:r w:rsidRPr="00551C58">
        <w:rPr>
          <w:rFonts w:cstheme="minorHAnsi"/>
          <w:lang w:val="en-GB"/>
        </w:rPr>
        <w:t>Matijaš</w:t>
      </w:r>
      <w:proofErr w:type="spellEnd"/>
      <w:r w:rsidRPr="00551C58">
        <w:rPr>
          <w:rFonts w:cstheme="minorHAnsi"/>
          <w:lang w:val="en-GB"/>
        </w:rPr>
        <w:t xml:space="preserve"> M, </w:t>
      </w:r>
      <w:proofErr w:type="spellStart"/>
      <w:r w:rsidRPr="00551C58">
        <w:rPr>
          <w:rFonts w:cstheme="minorHAnsi"/>
          <w:lang w:val="en-GB"/>
        </w:rPr>
        <w:t>Anđelinović</w:t>
      </w:r>
      <w:proofErr w:type="spellEnd"/>
      <w:r w:rsidRPr="00551C58">
        <w:rPr>
          <w:rFonts w:cstheme="minorHAnsi"/>
          <w:lang w:val="en-GB"/>
        </w:rPr>
        <w:t xml:space="preserve"> M, </w:t>
      </w:r>
      <w:proofErr w:type="spellStart"/>
      <w:r w:rsidRPr="00551C58">
        <w:rPr>
          <w:rFonts w:cstheme="minorHAnsi"/>
          <w:lang w:val="en-GB"/>
        </w:rPr>
        <w:t>Čartolovni</w:t>
      </w:r>
      <w:proofErr w:type="spellEnd"/>
      <w:r w:rsidRPr="00551C58">
        <w:rPr>
          <w:rFonts w:cstheme="minorHAnsi"/>
          <w:lang w:val="en-GB"/>
        </w:rPr>
        <w:t xml:space="preserve"> A, Ayers S. The role of posttraumatic stress and depression symptoms in mother-infant bonding. </w:t>
      </w:r>
      <w:r w:rsidRPr="00551C58">
        <w:rPr>
          <w:rFonts w:cstheme="minorHAnsi"/>
          <w:i/>
          <w:iCs/>
          <w:lang w:val="en-GB"/>
        </w:rPr>
        <w:t xml:space="preserve">Journal of Affective Disorders. </w:t>
      </w:r>
      <w:r w:rsidRPr="00551C58">
        <w:rPr>
          <w:rFonts w:cstheme="minorHAnsi"/>
          <w:lang w:val="en-GB"/>
        </w:rPr>
        <w:t xml:space="preserve">2020; 268: 134-140. </w:t>
      </w:r>
    </w:p>
    <w:p w14:paraId="26DE4C4F" w14:textId="77777777" w:rsidR="00551C58" w:rsidRPr="00551C58" w:rsidRDefault="00551C58" w:rsidP="00551C5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proofErr w:type="spellStart"/>
      <w:r w:rsidRPr="00551C58">
        <w:rPr>
          <w:rFonts w:cstheme="minorHAnsi"/>
          <w:lang w:val="en-GB"/>
        </w:rPr>
        <w:t>Neczypor</w:t>
      </w:r>
      <w:proofErr w:type="spellEnd"/>
      <w:r w:rsidRPr="00551C58">
        <w:rPr>
          <w:rFonts w:cstheme="minorHAnsi"/>
          <w:lang w:val="en-GB"/>
        </w:rPr>
        <w:t xml:space="preserve"> JL, Holley, SL. Providing Evidence-Based Care During the Golden Hour. </w:t>
      </w:r>
      <w:r w:rsidRPr="00551C58">
        <w:rPr>
          <w:rFonts w:cstheme="minorHAnsi"/>
          <w:i/>
          <w:iCs/>
          <w:lang w:val="en-GB"/>
        </w:rPr>
        <w:t xml:space="preserve">Nursing for Women’s Health. </w:t>
      </w:r>
      <w:r w:rsidRPr="00551C58">
        <w:rPr>
          <w:rFonts w:cstheme="minorHAnsi"/>
          <w:lang w:val="en-GB"/>
        </w:rPr>
        <w:t xml:space="preserve">2017; 21(6): 462-472. </w:t>
      </w:r>
    </w:p>
    <w:p w14:paraId="392248CB" w14:textId="77777777" w:rsidR="00551C58" w:rsidRPr="00551C58" w:rsidRDefault="00551C58" w:rsidP="00551C5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r w:rsidRPr="00551C58">
        <w:rPr>
          <w:rFonts w:cstheme="minorHAnsi"/>
          <w:lang w:val="en-GB"/>
        </w:rPr>
        <w:t xml:space="preserve">Sharma D, Sharma P, Shastri S. Golden 60 minutes of </w:t>
      </w:r>
      <w:proofErr w:type="spellStart"/>
      <w:r w:rsidRPr="00551C58">
        <w:rPr>
          <w:rFonts w:cstheme="minorHAnsi"/>
          <w:lang w:val="en-GB"/>
        </w:rPr>
        <w:t>newborn’s</w:t>
      </w:r>
      <w:proofErr w:type="spellEnd"/>
      <w:r w:rsidRPr="00551C58">
        <w:rPr>
          <w:rFonts w:cstheme="minorHAnsi"/>
          <w:lang w:val="en-GB"/>
        </w:rPr>
        <w:t xml:space="preserve"> life: Part 2: Term neonate. </w:t>
      </w:r>
      <w:r w:rsidRPr="00551C58">
        <w:rPr>
          <w:rFonts w:cstheme="minorHAnsi"/>
          <w:i/>
          <w:iCs/>
          <w:lang w:val="en-GB"/>
        </w:rPr>
        <w:t>The Journal of Maternal-</w:t>
      </w:r>
      <w:proofErr w:type="spellStart"/>
      <w:r w:rsidRPr="00551C58">
        <w:rPr>
          <w:rFonts w:cstheme="minorHAnsi"/>
          <w:i/>
          <w:iCs/>
          <w:lang w:val="en-GB"/>
        </w:rPr>
        <w:t>Fetal</w:t>
      </w:r>
      <w:proofErr w:type="spellEnd"/>
      <w:r w:rsidRPr="00551C58">
        <w:rPr>
          <w:rFonts w:cstheme="minorHAnsi"/>
          <w:i/>
          <w:iCs/>
          <w:lang w:val="en-GB"/>
        </w:rPr>
        <w:t xml:space="preserve"> and Neonatal Medicine. </w:t>
      </w:r>
      <w:r w:rsidRPr="00551C58">
        <w:rPr>
          <w:rFonts w:cstheme="minorHAnsi"/>
          <w:lang w:val="en-GB"/>
        </w:rPr>
        <w:t xml:space="preserve">2017; 30(22): 2728- 2733. </w:t>
      </w:r>
    </w:p>
    <w:p w14:paraId="734F6245" w14:textId="77777777" w:rsidR="00551C58" w:rsidRPr="00551C58" w:rsidRDefault="00551C58" w:rsidP="00551C5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proofErr w:type="spellStart"/>
      <w:r w:rsidRPr="00551C58">
        <w:rPr>
          <w:rFonts w:cstheme="minorHAnsi"/>
          <w:lang w:val="en-GB"/>
        </w:rPr>
        <w:lastRenderedPageBreak/>
        <w:t>Widström</w:t>
      </w:r>
      <w:proofErr w:type="spellEnd"/>
      <w:r w:rsidRPr="00551C58">
        <w:rPr>
          <w:rFonts w:cstheme="minorHAnsi"/>
          <w:lang w:val="en-GB"/>
        </w:rPr>
        <w:t xml:space="preserve"> AM, </w:t>
      </w:r>
      <w:proofErr w:type="spellStart"/>
      <w:r w:rsidRPr="00551C58">
        <w:rPr>
          <w:rFonts w:cstheme="minorHAnsi"/>
          <w:lang w:val="en-GB"/>
        </w:rPr>
        <w:t>Brimdyr</w:t>
      </w:r>
      <w:proofErr w:type="spellEnd"/>
      <w:r w:rsidRPr="00551C58">
        <w:rPr>
          <w:rFonts w:cstheme="minorHAnsi"/>
          <w:lang w:val="en-GB"/>
        </w:rPr>
        <w:t xml:space="preserve"> K, </w:t>
      </w:r>
      <w:proofErr w:type="spellStart"/>
      <w:r w:rsidRPr="00551C58">
        <w:rPr>
          <w:rFonts w:cstheme="minorHAnsi"/>
          <w:lang w:val="en-GB"/>
        </w:rPr>
        <w:t>Svensson</w:t>
      </w:r>
      <w:proofErr w:type="spellEnd"/>
      <w:r w:rsidRPr="00551C58">
        <w:rPr>
          <w:rFonts w:cstheme="minorHAnsi"/>
          <w:lang w:val="en-GB"/>
        </w:rPr>
        <w:t xml:space="preserve"> K, </w:t>
      </w:r>
      <w:proofErr w:type="spellStart"/>
      <w:r w:rsidRPr="00551C58">
        <w:rPr>
          <w:rFonts w:cstheme="minorHAnsi"/>
          <w:lang w:val="en-GB"/>
        </w:rPr>
        <w:t>Cadwell</w:t>
      </w:r>
      <w:proofErr w:type="spellEnd"/>
      <w:r w:rsidRPr="00551C58">
        <w:rPr>
          <w:rFonts w:cstheme="minorHAnsi"/>
          <w:lang w:val="en-GB"/>
        </w:rPr>
        <w:t xml:space="preserve"> K, Nissen E. Skin-to-skin contact the first hour after birth, underlying implications and clinical practice. </w:t>
      </w:r>
      <w:r w:rsidRPr="00551C58">
        <w:rPr>
          <w:rFonts w:cstheme="minorHAnsi"/>
          <w:i/>
          <w:iCs/>
          <w:lang w:val="en-GB"/>
        </w:rPr>
        <w:t xml:space="preserve">Acta </w:t>
      </w:r>
      <w:proofErr w:type="spellStart"/>
      <w:r w:rsidRPr="00551C58">
        <w:rPr>
          <w:rFonts w:cstheme="minorHAnsi"/>
          <w:i/>
          <w:iCs/>
          <w:lang w:val="en-GB"/>
        </w:rPr>
        <w:t>Paediatrica</w:t>
      </w:r>
      <w:proofErr w:type="spellEnd"/>
      <w:r w:rsidRPr="00551C58">
        <w:rPr>
          <w:rFonts w:cstheme="minorHAnsi"/>
          <w:lang w:val="en-GB"/>
        </w:rPr>
        <w:t>. 2019; 108(7): 1192-1204.</w:t>
      </w:r>
    </w:p>
    <w:p w14:paraId="4779D8B1" w14:textId="77777777" w:rsidR="00551C58" w:rsidRPr="00551C58" w:rsidRDefault="00551C58" w:rsidP="00551C58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lang w:val="en-GB"/>
        </w:rPr>
      </w:pPr>
      <w:proofErr w:type="spellStart"/>
      <w:r w:rsidRPr="00551C58">
        <w:rPr>
          <w:rFonts w:cstheme="minorHAnsi"/>
          <w:lang w:val="en-GB"/>
        </w:rPr>
        <w:t>Barría</w:t>
      </w:r>
      <w:proofErr w:type="spellEnd"/>
      <w:r w:rsidRPr="00551C58">
        <w:rPr>
          <w:rFonts w:cstheme="minorHAnsi"/>
          <w:lang w:val="en-GB"/>
        </w:rPr>
        <w:t xml:space="preserve"> RM, </w:t>
      </w:r>
      <w:r w:rsidRPr="00551C58">
        <w:rPr>
          <w:rFonts w:cstheme="minorHAnsi"/>
          <w:i/>
          <w:iCs/>
          <w:lang w:val="en-GB"/>
        </w:rPr>
        <w:t>ed</w:t>
      </w:r>
      <w:r w:rsidRPr="00551C58">
        <w:rPr>
          <w:rFonts w:cstheme="minorHAnsi"/>
          <w:lang w:val="en-GB"/>
        </w:rPr>
        <w:t xml:space="preserve">. </w:t>
      </w:r>
      <w:r w:rsidRPr="00551C58">
        <w:rPr>
          <w:rFonts w:cstheme="minorHAnsi"/>
          <w:i/>
          <w:iCs/>
          <w:lang w:val="en-GB"/>
        </w:rPr>
        <w:t>Selected topics in neonatal care</w:t>
      </w:r>
      <w:r w:rsidRPr="00551C58">
        <w:rPr>
          <w:rFonts w:cstheme="minorHAnsi"/>
          <w:lang w:val="en-GB"/>
        </w:rPr>
        <w:t xml:space="preserve">. London: </w:t>
      </w:r>
      <w:proofErr w:type="spellStart"/>
      <w:r w:rsidRPr="00551C58">
        <w:rPr>
          <w:rFonts w:cstheme="minorHAnsi"/>
          <w:lang w:val="en-GB"/>
        </w:rPr>
        <w:t>IntechOpen</w:t>
      </w:r>
      <w:proofErr w:type="spellEnd"/>
      <w:r w:rsidRPr="00551C58">
        <w:rPr>
          <w:rFonts w:cstheme="minorHAnsi"/>
          <w:lang w:val="en-GB"/>
        </w:rPr>
        <w:t xml:space="preserve">; 2018: 4-238. </w:t>
      </w:r>
    </w:p>
    <w:p w14:paraId="4E8B127E" w14:textId="77777777" w:rsidR="00551C58" w:rsidRPr="00551C58" w:rsidRDefault="00551C58" w:rsidP="003D2916">
      <w:pPr>
        <w:spacing w:line="360" w:lineRule="auto"/>
        <w:jc w:val="both"/>
        <w:rPr>
          <w:u w:val="single"/>
          <w:lang w:val="en-GB"/>
        </w:rPr>
      </w:pPr>
    </w:p>
    <w:sectPr w:rsidR="00551C58" w:rsidRPr="00551C58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63AFB" w14:textId="77777777" w:rsidR="00324D0A" w:rsidRDefault="00324D0A" w:rsidP="00551C58">
      <w:r>
        <w:separator/>
      </w:r>
    </w:p>
  </w:endnote>
  <w:endnote w:type="continuationSeparator" w:id="0">
    <w:p w14:paraId="03CA7ABB" w14:textId="77777777" w:rsidR="00324D0A" w:rsidRDefault="00324D0A" w:rsidP="0055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54888216"/>
      <w:docPartObj>
        <w:docPartGallery w:val="Page Numbers (Bottom of Page)"/>
        <w:docPartUnique/>
      </w:docPartObj>
    </w:sdtPr>
    <w:sdtContent>
      <w:p w14:paraId="2F48D8B4" w14:textId="6FC2BC89" w:rsidR="00551C58" w:rsidRDefault="00551C58" w:rsidP="007A0C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7BA3D3" w14:textId="77777777" w:rsidR="00551C58" w:rsidRDefault="00551C58" w:rsidP="00551C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13891807"/>
      <w:docPartObj>
        <w:docPartGallery w:val="Page Numbers (Bottom of Page)"/>
        <w:docPartUnique/>
      </w:docPartObj>
    </w:sdtPr>
    <w:sdtContent>
      <w:p w14:paraId="02CFC60A" w14:textId="7857B678" w:rsidR="00551C58" w:rsidRDefault="00551C58" w:rsidP="007A0CF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12EB0B" w14:textId="77777777" w:rsidR="00551C58" w:rsidRDefault="00551C58" w:rsidP="00551C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1B57D" w14:textId="77777777" w:rsidR="00324D0A" w:rsidRDefault="00324D0A" w:rsidP="00551C58">
      <w:r>
        <w:separator/>
      </w:r>
    </w:p>
  </w:footnote>
  <w:footnote w:type="continuationSeparator" w:id="0">
    <w:p w14:paraId="12CC2FAA" w14:textId="77777777" w:rsidR="00324D0A" w:rsidRDefault="00324D0A" w:rsidP="0055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43FC2"/>
    <w:multiLevelType w:val="hybridMultilevel"/>
    <w:tmpl w:val="6F022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16"/>
    <w:rsid w:val="00324D0A"/>
    <w:rsid w:val="003B6EA8"/>
    <w:rsid w:val="003D2916"/>
    <w:rsid w:val="00551C58"/>
    <w:rsid w:val="009C7F25"/>
    <w:rsid w:val="00E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A2D36"/>
  <w15:chartTrackingRefBased/>
  <w15:docId w15:val="{CD0B4073-1147-8443-969D-11C0235E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C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C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51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58"/>
  </w:style>
  <w:style w:type="character" w:styleId="PageNumber">
    <w:name w:val="page number"/>
    <w:basedOn w:val="DefaultParagraphFont"/>
    <w:uiPriority w:val="99"/>
    <w:semiHidden/>
    <w:unhideWhenUsed/>
    <w:rsid w:val="0055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oks.google.com.mt/books?id=tGP9DwAAQBAJ&amp;printsec=frontcover&amp;source=gbs_ge_summary_r&amp;ca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Buhagiar</dc:creator>
  <cp:keywords/>
  <dc:description/>
  <cp:lastModifiedBy>Karl Buhagiar</cp:lastModifiedBy>
  <cp:revision>2</cp:revision>
  <dcterms:created xsi:type="dcterms:W3CDTF">2021-04-12T12:09:00Z</dcterms:created>
  <dcterms:modified xsi:type="dcterms:W3CDTF">2021-04-12T12:38:00Z</dcterms:modified>
</cp:coreProperties>
</file>