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Roboto Medium" w:cs="Roboto Medium" w:eastAsia="Roboto Medium" w:hAnsi="Roboto Medium"/>
          <w:color w:val="58b7a2"/>
          <w:sz w:val="46"/>
          <w:szCs w:val="46"/>
        </w:rPr>
      </w:pPr>
      <w:r w:rsidDel="00000000" w:rsidR="00000000" w:rsidRPr="00000000">
        <w:rPr>
          <w:rFonts w:ascii="Roboto Medium" w:cs="Roboto Medium" w:eastAsia="Roboto Medium" w:hAnsi="Roboto Medium"/>
          <w:color w:val="58b7a2"/>
          <w:sz w:val="46"/>
          <w:szCs w:val="46"/>
          <w:rtl w:val="0"/>
        </w:rPr>
        <w:t xml:space="preserve">SORR – DEED OF INTELLECTUAL PROPERTY LICENSE, OWNERSHIP &amp; OPPORTUNITY ADVANCEMENT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Roboto Medium" w:cs="Roboto Medium" w:eastAsia="Roboto Medium" w:hAnsi="Roboto Medium"/>
          <w:b w:val="1"/>
          <w:bCs w:val="1"/>
          <w:sz w:val="28"/>
          <w:szCs w:val="28"/>
        </w:rPr>
      </w:pPr>
      <w:bookmarkStart w:colFirst="0" w:colLast="0" w:name="_heading=h.lvhgcbudupg5" w:id="0"/>
      <w:bookmarkEnd w:id="0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DEED OF INTELLECTUAL PROPERTY LICENCE,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rFonts w:ascii="Roboto Medium" w:cs="Roboto Medium" w:eastAsia="Roboto Medium" w:hAnsi="Roboto Medium"/>
          <w:b w:val="1"/>
          <w:bCs w:val="1"/>
          <w:sz w:val="28"/>
          <w:szCs w:val="28"/>
        </w:rPr>
      </w:pPr>
      <w:bookmarkStart w:colFirst="0" w:colLast="0" w:name="_heading=h.lnr4ywdjb75h" w:id="1"/>
      <w:bookmarkEnd w:id="1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OWNERSHIP &amp; OPPORTUNITY ADVANCEMENT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Roboto Medium" w:cs="Roboto Medium" w:eastAsia="Roboto Medium" w:hAnsi="Roboto Medium"/>
          <w:i w:val="1"/>
          <w:iCs w:val="1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i w:val="1"/>
          <w:iCs w:val="1"/>
          <w:sz w:val="28"/>
          <w:szCs w:val="28"/>
          <w:rtl w:val="0"/>
        </w:rPr>
        <w:t xml:space="preserve">(Global, Living Deed – Investment-Safe Version)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1. Parties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SORR Assets Pty Ltd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br w:type="textWrapping"/>
        <w:t xml:space="preserve">(</w:t>
      </w:r>
      <w:r w:rsidDel="00000000" w:rsidR="00000000" w:rsidRPr="00000000">
        <w:rPr>
          <w:rFonts w:ascii="Roboto Medium" w:cs="Roboto Medium" w:eastAsia="Roboto Medium" w:hAnsi="Roboto Medium"/>
          <w:i w:val="1"/>
          <w:iCs w:val="1"/>
          <w:rtl w:val="0"/>
        </w:rPr>
        <w:t xml:space="preserve">Licensor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and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SA Water Innovations Pty Ltd Pty Ltd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</w:t>
        <w:br w:type="textWrapping"/>
        <w:t xml:space="preserve">(</w:t>
      </w:r>
      <w:r w:rsidDel="00000000" w:rsidR="00000000" w:rsidRPr="00000000">
        <w:rPr>
          <w:rFonts w:ascii="Roboto Medium" w:cs="Roboto Medium" w:eastAsia="Roboto Medium" w:hAnsi="Roboto Medium"/>
          <w:i w:val="1"/>
          <w:iCs w:val="1"/>
          <w:rtl w:val="0"/>
        </w:rPr>
        <w:t xml:space="preserve">Licensee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Together, the </w:t>
      </w:r>
      <w:r w:rsidDel="00000000" w:rsidR="00000000" w:rsidRPr="00000000">
        <w:rPr>
          <w:rFonts w:ascii="Roboto Medium" w:cs="Roboto Medium" w:eastAsia="Roboto Medium" w:hAnsi="Roboto Medium"/>
          <w:i w:val="1"/>
          <w:iCs w:val="1"/>
          <w:rtl w:val="0"/>
        </w:rPr>
        <w:t xml:space="preserve">Parties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2. Effective Date and Status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is effective from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1 October 2025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(</w:t>
      </w:r>
      <w:r w:rsidDel="00000000" w:rsidR="00000000" w:rsidRPr="00000000">
        <w:rPr>
          <w:rFonts w:ascii="Roboto Medium" w:cs="Roboto Medium" w:eastAsia="Roboto Medium" w:hAnsi="Roboto Medium"/>
          <w:i w:val="1"/>
          <w:iCs w:val="1"/>
          <w:rtl w:val="0"/>
        </w:rPr>
        <w:t xml:space="preserve">Effective Date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), regardless of: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execution date; or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incorporation date of SA Water Innovations Pty Ltd Pty Ltd.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At execution, SA Water Innovations Pty Ltd Pty Ltd may not yet be incorporated.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Upon incorporation, SA Water Innovations Pty Ltd Pty Ltd: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automatically assumes all rights and obligations under this Deed; and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deemed to have been a party from the Effective Date.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applies retrospectively and prospectively from the Effective Date.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bookmarkStart w:colFirst="0" w:colLast="0" w:name="_heading=h.sj1nizhrw4wt" w:id="2"/>
      <w:bookmarkEnd w:id="2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3. Purpose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exists to: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enable SA Water Innovations Pty Ltd to pursue, develop and commercialise all opportunities identified by SORR Assets;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ensure permanent freedom to operate;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allow joint ventures (including Meliora) without fragmenting IP; and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vest all advancement and future value of IP in SA Water Innovations Pty Ltd in perpetuity.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is intended to be living, durable and execution-focused.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4. Definitions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Foundational IP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 intellectual property, concepts, designs, systems, know-how and materials originating from SORR Assets before or as at the Effective Date.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Advanced IP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 improvements, refinements, data, derivatives, configurations, systems, processes and know-how developed on or after the Effective Date.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IP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 intellectual property and associated rights recognised under Australian or international law.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Gross Turnover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Gross revenue recognised in accordance with IFRS, GAAP or equivalent international accounting standards arising from products or services incorporating the IP, excluding: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VAT, GST or equivalent sales taxes;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refunds, rebates, credits and chargebacks;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intercompany transfers not constituting third-party revenue.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5. Scope of Opportunities (10 + 10 Framework)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SA Water Innovations Pty Ltd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may pursue: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ten (10) identified core opportunity classes; and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ten (10) further emerging or adjacent opportunity classes,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including but not limited to stormwater, marine and ports, industrial water, PFAS, plastics, desalination, mining water, environmental crime response, emergency response and international deployments.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scope is illustrative, not limiting.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6. Grant of Perpetual and Irrevocable Licence (Global)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SORR Assets irrevocably and perpetually grants SA Water Innovations Pty Ltd an: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exclusive, perpetual, irrevocable, royalty-bearing, worldwide licence,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enforceable across all global jurisdictions,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with full rights to sublicence,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for all fields of use,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to the Foundational IP.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licence includes the right to: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use, modify, develop and commercialise the Foundational IP;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create derivative works;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embed the IP in products, platforms and systems;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grant rights to joint ventures, customers, governments, insurers and financiers.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licence: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cannot be revoked, terminated or restricted;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unconditional and survives insolvency, restructuring, capital raising and exits;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intended to provide permanent freedom to operate globally.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6A. Royalty Arrangement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 consideration for the licence granted under Section 6, SA Water Innovations Pty Ltd shall pay SORR Assets a royalty equal to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one percent (1%) of Gross Turnover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royalty: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payable quarterly in arrears;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payable only while SORR Assets exists as a legal entity.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Failure to pay the royalty does not: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terminate or suspend any licence;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affect IP ownership; or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create control, veto or consent rights.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6B. Royalty Cap and Buy-Out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royalty payable under Section 6A is capped at the earlier of: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(a) ten (10) times the cumulative royalties paid in the first three (3) full financial years of commercial operation; or</w:t>
        <w:br w:type="textWrapping"/>
        <w:t xml:space="preserve">(b)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AUD $10,000,000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in aggregate payments.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At the election of the board of SA Water Innovations Pty Ltd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, the royalty may be bought out in whole or in part, at any time, for a fair market value determined by an independent expert jointly appointed by the Parties.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Upon: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(i) an IPO of SA Water Innovations Pty Ltd or any holding entity; or</w:t>
        <w:br w:type="textWrapping"/>
        <w:t xml:space="preserve">(ii) a board-approved change of control,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royalty shall either: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(A) continue until the cap is reached; or</w:t>
        <w:br w:type="textWrapping"/>
        <w:t xml:space="preserve">(B) be bought out at the election of the board of SA Water Innovations Pty Ltd 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No acceleration, security interest, consent right or control right arises from this Section.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6C. Investor and Accounting Treatment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For the avoidance of doubt, the Parties acknowledge and agree that the licence granted under Section 6 is intended to be treated, for financing, valuation and accounting purposes, as conferring rights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economically equivalent to ownership of the Foundational IP by SA Water Innovations Pty Ltd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7. Ownership of Advanced and Derivative IP (Global)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 Advanced IP vests automatically, absolutely and permanently in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SA Water Innovations Pty Ltd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applies to IP developed: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from the Effective Date;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before or after execution or incorporation;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 any jurisdiction worldwide;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independently, jointly, or via pilots, joint ventures or partnerships.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No Advanced IP reverts to SORR Assets or is subject to restriction.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bookmarkStart w:colFirst="0" w:colLast="0" w:name="_heading=h.atsbol35ixzj" w:id="3"/>
      <w:bookmarkEnd w:id="3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8. Coverage of Pre-Execution IP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All IP developed between 1 October 2025 and execution is deemed Advanced IP and subject to this Deed as if developed post-execution.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There is no IP gap.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9. Joint Ventures and Partners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SA Water Innovations Pty Ltd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may form joint ventures and partnerships (including Meliora).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Rights of use may be granted, but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no IP ownership transfers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unless expressly agreed in writing.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10. Insolvency, Non-Reversion and Non-Interference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No IP or licence under this Deed: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expires;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reverts; or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is capable of termination.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Insolvency, administration or restructuring of either Party does not affect SA Water Innovations’ rights.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royalty: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creates no security interest;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confers no control, veto or consent rights.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4"/>
          <w:szCs w:val="34"/>
          <w:rtl w:val="0"/>
        </w:rPr>
        <w:t xml:space="preserve">10A. Non-Interference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SORR Assets must not take any action, directly or indirectly, that would reasonably be expected to frustrate, impair or impede: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(a) the financing, capital raising or valuation of SA Water Innovations Pty Ltd ;</w:t>
        <w:br w:type="textWrapping"/>
        <w:t xml:space="preserve">(b) any listing, merger, acquisition or sale involving SA Water Innovations Pty Ltd ; or</w:t>
        <w:br w:type="textWrapping"/>
        <w:t xml:space="preserve">(c) the commercial operations or freedom to operate of SA Water Innovations Pty Ltd 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obligation survives restructuring, insolvency events, changes of control and exits.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rFonts w:ascii="Roboto Medium" w:cs="Roboto Medium" w:eastAsia="Roboto Medium" w:hAnsi="Roboto Medium"/>
          <w:b w:val="1"/>
          <w:bCs w:val="1"/>
          <w:sz w:val="34"/>
          <w:szCs w:val="34"/>
        </w:rPr>
      </w:pPr>
      <w:bookmarkStart w:colFirst="0" w:colLast="0" w:name="_heading=h.p3iai38v4yab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rFonts w:ascii="Roboto Medium" w:cs="Roboto Medium" w:eastAsia="Roboto Medium" w:hAnsi="Roboto Medium"/>
          <w:b w:val="1"/>
          <w:bCs w:val="1"/>
          <w:sz w:val="30"/>
          <w:szCs w:val="30"/>
        </w:rPr>
      </w:pPr>
      <w:bookmarkStart w:colFirst="0" w:colLast="0" w:name="_heading=h.72p09uw6k7a6" w:id="5"/>
      <w:bookmarkEnd w:id="5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0"/>
          <w:szCs w:val="30"/>
          <w:rtl w:val="0"/>
        </w:rPr>
        <w:t xml:space="preserve">11. Living Nature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may be updated only by: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written agreement of the Parties; or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board approval of SA Water Innovations Pty Ltd 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No amendment may: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(a) dilute or revoke the perpetual licence granted under Section 6;</w:t>
        <w:br w:type="textWrapping"/>
        <w:t xml:space="preserve">(b) alter ownership of Advanced IP under Section 7; or</w:t>
        <w:br w:type="textWrapping"/>
        <w:t xml:space="preserve">(c) adversely affect the royalty rate, calculation methodology or cap under Sections 6A or 6B,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without the written consent of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both Parties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12. Good Faith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Parties act in good faith to: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advance the platform;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avoid artificial constraints; and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protect long-term integrity over short-term leverage.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13. Governing Law and Global Application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is governed by the laws of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New South Wales, Australia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Governing law does not limit global application, ownership or enforceability.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The Deed may be relied upon in any jurisdiction worldwide.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14. Entire Understanding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This Deed records the complete understanding between the Parties and overrides any inconsistent arrangement.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Roboto Medium" w:cs="Roboto Medium" w:eastAsia="Roboto Medium" w:hAnsi="Roboto Medium"/>
          <w:sz w:val="28"/>
          <w:szCs w:val="28"/>
        </w:rPr>
        <w:sectPr>
          <w:headerReference r:id="rId7" w:type="default"/>
          <w:footerReference r:id="rId8" w:type="default"/>
          <w:pgSz w:h="16838" w:w="11906" w:orient="portrait"/>
          <w:pgMar w:bottom="948.3070866141725" w:top="1440.0000000000002" w:left="1275.5905511811022" w:right="1440.0000000000002" w:header="720" w:footer="720"/>
          <w:pgNumType w:start="1"/>
        </w:sect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8"/>
          <w:szCs w:val="28"/>
          <w:rtl w:val="0"/>
        </w:rPr>
        <w:t xml:space="preserve">15.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Executed as a deed.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SORR ASSETS PTY LTD</w:t>
        <w:br w:type="textWrapping"/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Name: Marc Muhl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Signature:</w:t>
        <w:br w:type="textWrapping"/>
        <w:t xml:space="preserve">Date:                     October 2025 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Roboto Medium" w:cs="Roboto Medium" w:eastAsia="Roboto Medium" w:hAnsi="Roboto Medium"/>
        </w:rPr>
        <w:sectPr>
          <w:type w:val="continuous"/>
          <w:pgSz w:h="16838" w:w="11906" w:orient="portrait"/>
          <w:pgMar w:bottom="948.3070866141725" w:top="1440.0000000000002" w:left="1275.5905511811022" w:right="1440.0000000000002" w:header="720" w:footer="720"/>
          <w:cols w:equalWidth="0" w:num="2">
            <w:col w:space="720" w:w="4234.96"/>
            <w:col w:space="0" w:w="4234.96"/>
          </w:cols>
        </w:sect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SA Water Innovations Pty Ltd PTY LTD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             (upon incorporation)</w:t>
        <w:br w:type="textWrapping"/>
        <w:t xml:space="preserve">Name: Robert Manning</w:t>
        <w:br w:type="textWrapping"/>
        <w:t xml:space="preserve">Signature:</w:t>
      </w:r>
      <w:r w:rsidDel="00000000" w:rsidR="00000000" w:rsidRPr="00000000">
        <w:rPr>
          <w:rFonts w:ascii="Roboto Medium" w:cs="Roboto Medium" w:eastAsia="Roboto Medium" w:hAnsi="Roboto Medium"/>
        </w:rPr>
        <w:drawing>
          <wp:inline distB="114300" distT="114300" distL="114300" distR="114300">
            <wp:extent cx="1444407" cy="558923"/>
            <wp:effectExtent b="0" l="0" r="0" t="0"/>
            <wp:docPr id="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4407" cy="558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 Medium" w:cs="Roboto Medium" w:eastAsia="Roboto Medium" w:hAnsi="Roboto Medium"/>
          <w:rtl w:val="0"/>
        </w:rPr>
        <w:br w:type="textWrapping"/>
        <w:t xml:space="preserve">Date: 1 October 2025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Roboto Medium" w:cs="Roboto Medium" w:eastAsia="Roboto Medium" w:hAnsi="Roboto Medium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948.3070866141725" w:top="1440.0000000000002" w:left="1275.590551181102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center"/>
      <w:rPr>
        <w:rFonts w:ascii="Roboto Light" w:cs="Roboto Light" w:eastAsia="Roboto Light" w:hAnsi="Roboto Light"/>
        <w:color w:val="27346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right"/>
      <w:rPr>
        <w:color w:val="58b7a2"/>
        <w:sz w:val="48"/>
        <w:szCs w:val="48"/>
      </w:rPr>
    </w:pPr>
    <w:r w:rsidDel="00000000" w:rsidR="00000000" w:rsidRPr="00000000">
      <w:rPr>
        <w:color w:val="58b7a2"/>
        <w:sz w:val="48"/>
        <w:szCs w:val="48"/>
      </w:rPr>
      <w:drawing>
        <wp:inline distB="19050" distT="19050" distL="19050" distR="19050">
          <wp:extent cx="1557970" cy="481650"/>
          <wp:effectExtent b="0" l="0" r="0" t="0"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970" cy="48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xQC57UopTByJFAc1qM3eL8lXg==">CgMxLjAyDmgubHZoZ2NidWR1cGc1Mg5oLmxucjR5d2RqYjc1aDIOaC5zajFuaXpocnc0d3QyDmguYXRzYm9sMzVpeHpqMg5oLnAzaWFpMzh2NHlhYjIOaC43MnAwOXV3Nms3YTY4AHIhMUR2bTZTa0FaS0UtT0w1bDlTSHRRQW5MVk5hOVhSYW1p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