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35DBC" w14:textId="342F61A3" w:rsidR="00075AE0" w:rsidRDefault="00075AE0">
      <w:pPr>
        <w:pStyle w:val="Subtitle"/>
      </w:pPr>
      <w:bookmarkStart w:id="0" w:name="_Hlk47530196"/>
      <w:r>
        <w:t>Enfield Montessori School Student Handbook</w:t>
      </w:r>
    </w:p>
    <w:p w14:paraId="1B7207A9" w14:textId="05144338" w:rsidR="005C6D45" w:rsidRDefault="00075AE0">
      <w:pPr>
        <w:pStyle w:val="Subtitle"/>
      </w:pPr>
      <w:r>
        <w:t>2020-2021 CoVid19 Addendum</w:t>
      </w:r>
    </w:p>
    <w:bookmarkEnd w:id="0"/>
    <w:p w14:paraId="45556C53" w14:textId="77777777" w:rsidR="00075AE0" w:rsidRPr="00075AE0" w:rsidRDefault="00075AE0" w:rsidP="00075AE0"/>
    <w:p w14:paraId="10B4CAC7" w14:textId="4A482476" w:rsidR="005C6D45" w:rsidRDefault="005C6D45" w:rsidP="00075AE0">
      <w:pPr>
        <w:pStyle w:val="TryItBoilerplate"/>
        <w:ind w:left="0"/>
      </w:pPr>
    </w:p>
    <w:sdt>
      <w:sdtPr>
        <w:rPr>
          <w:rFonts w:asciiTheme="minorHAnsi" w:eastAsiaTheme="minorHAnsi" w:hAnsiTheme="minorHAnsi" w:cstheme="minorBidi"/>
          <w:color w:val="auto"/>
          <w:sz w:val="22"/>
          <w:szCs w:val="22"/>
        </w:rPr>
        <w:id w:val="2111689737"/>
        <w:docPartObj>
          <w:docPartGallery w:val="Table of Contents"/>
          <w:docPartUnique/>
        </w:docPartObj>
      </w:sdtPr>
      <w:sdtEndPr>
        <w:rPr>
          <w:b/>
          <w:bCs/>
          <w:noProof/>
        </w:rPr>
      </w:sdtEndPr>
      <w:sdtContent>
        <w:p w14:paraId="2C143FF1" w14:textId="28722B2B" w:rsidR="00075AE0" w:rsidRDefault="00075AE0">
          <w:pPr>
            <w:pStyle w:val="TOCHeading"/>
          </w:pPr>
          <w:r>
            <w:t>Table of Contents</w:t>
          </w:r>
        </w:p>
        <w:p w14:paraId="6DE22DD9" w14:textId="43333524" w:rsidR="00264A1F" w:rsidRDefault="00075AE0">
          <w:pPr>
            <w:pStyle w:val="TOC1"/>
            <w:tabs>
              <w:tab w:val="right" w:leader="dot" w:pos="9350"/>
            </w:tabs>
            <w:rPr>
              <w:rFonts w:eastAsiaTheme="minorEastAsia"/>
            </w:rPr>
          </w:pPr>
          <w:r>
            <w:fldChar w:fldCharType="begin"/>
          </w:r>
          <w:r>
            <w:instrText xml:space="preserve"> TOC \o "1-3" \h \z \u </w:instrText>
          </w:r>
          <w:r>
            <w:fldChar w:fldCharType="separate"/>
          </w:r>
          <w:hyperlink w:anchor="_Toc47530159" w:history="1">
            <w:r w:rsidR="00264A1F" w:rsidRPr="00E33747">
              <w:rPr>
                <w:rStyle w:val="Hyperlink"/>
              </w:rPr>
              <w:t xml:space="preserve">Groupings (See Page </w:t>
            </w:r>
            <w:r w:rsidR="009268B9">
              <w:rPr>
                <w:rStyle w:val="Hyperlink"/>
              </w:rPr>
              <w:t>9</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_Toc47530159 \h </w:instrText>
            </w:r>
            <w:r w:rsidR="00264A1F">
              <w:rPr>
                <w:webHidden/>
              </w:rPr>
            </w:r>
            <w:r w:rsidR="00264A1F">
              <w:rPr>
                <w:webHidden/>
              </w:rPr>
              <w:fldChar w:fldCharType="separate"/>
            </w:r>
            <w:r w:rsidR="009268B9">
              <w:rPr>
                <w:webHidden/>
              </w:rPr>
              <w:t>2</w:t>
            </w:r>
            <w:r w:rsidR="00264A1F">
              <w:rPr>
                <w:webHidden/>
              </w:rPr>
              <w:fldChar w:fldCharType="end"/>
            </w:r>
          </w:hyperlink>
        </w:p>
        <w:p w14:paraId="1905C396" w14:textId="5D57EFC2" w:rsidR="00264A1F" w:rsidRDefault="009268B9">
          <w:pPr>
            <w:pStyle w:val="TOC1"/>
            <w:tabs>
              <w:tab w:val="right" w:leader="dot" w:pos="9350"/>
            </w:tabs>
            <w:rPr>
              <w:rFonts w:eastAsiaTheme="minorEastAsia"/>
            </w:rPr>
          </w:pPr>
          <w:hyperlink w:anchor="_Toc47530160" w:history="1">
            <w:r w:rsidR="00264A1F" w:rsidRPr="00E33747">
              <w:rPr>
                <w:rStyle w:val="Hyperlink"/>
              </w:rPr>
              <w:t xml:space="preserve">Entrance to School (See Page </w:t>
            </w:r>
            <w:r>
              <w:rPr>
                <w:rStyle w:val="Hyperlink"/>
              </w:rPr>
              <w:t>10</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_Toc47530160 \h </w:instrText>
            </w:r>
            <w:r w:rsidR="00264A1F">
              <w:rPr>
                <w:webHidden/>
              </w:rPr>
            </w:r>
            <w:r w:rsidR="00264A1F">
              <w:rPr>
                <w:webHidden/>
              </w:rPr>
              <w:fldChar w:fldCharType="separate"/>
            </w:r>
            <w:r>
              <w:rPr>
                <w:webHidden/>
              </w:rPr>
              <w:t>2</w:t>
            </w:r>
            <w:r w:rsidR="00264A1F">
              <w:rPr>
                <w:webHidden/>
              </w:rPr>
              <w:fldChar w:fldCharType="end"/>
            </w:r>
          </w:hyperlink>
        </w:p>
        <w:p w14:paraId="0D2D1EBF" w14:textId="2644814F" w:rsidR="00264A1F" w:rsidRDefault="009268B9">
          <w:pPr>
            <w:pStyle w:val="TOC1"/>
            <w:tabs>
              <w:tab w:val="right" w:leader="dot" w:pos="9350"/>
            </w:tabs>
            <w:rPr>
              <w:rFonts w:eastAsiaTheme="minorEastAsia"/>
            </w:rPr>
          </w:pPr>
          <w:hyperlink w:anchor="_Toc47530161" w:history="1">
            <w:r w:rsidR="00264A1F" w:rsidRPr="00E33747">
              <w:rPr>
                <w:rStyle w:val="Hyperlink"/>
              </w:rPr>
              <w:t xml:space="preserve">Recess &amp; Outdoor Time (See Page </w:t>
            </w:r>
            <w:r>
              <w:rPr>
                <w:rStyle w:val="Hyperlink"/>
              </w:rPr>
              <w:t>10</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_Toc47530161 \h </w:instrText>
            </w:r>
            <w:r w:rsidR="00264A1F">
              <w:rPr>
                <w:webHidden/>
              </w:rPr>
            </w:r>
            <w:r w:rsidR="00264A1F">
              <w:rPr>
                <w:webHidden/>
              </w:rPr>
              <w:fldChar w:fldCharType="separate"/>
            </w:r>
            <w:r>
              <w:rPr>
                <w:webHidden/>
              </w:rPr>
              <w:t>2</w:t>
            </w:r>
            <w:r w:rsidR="00264A1F">
              <w:rPr>
                <w:webHidden/>
              </w:rPr>
              <w:fldChar w:fldCharType="end"/>
            </w:r>
          </w:hyperlink>
        </w:p>
        <w:p w14:paraId="17014348" w14:textId="123C025A" w:rsidR="00264A1F" w:rsidRDefault="009268B9">
          <w:pPr>
            <w:pStyle w:val="TOC1"/>
            <w:tabs>
              <w:tab w:val="right" w:leader="dot" w:pos="9350"/>
            </w:tabs>
            <w:rPr>
              <w:rFonts w:eastAsiaTheme="minorEastAsia"/>
            </w:rPr>
          </w:pPr>
          <w:hyperlink w:anchor="_Toc47530162" w:history="1">
            <w:r w:rsidR="00264A1F" w:rsidRPr="00E33747">
              <w:rPr>
                <w:rStyle w:val="Hyperlink"/>
              </w:rPr>
              <w:t>Outreach Program</w:t>
            </w:r>
            <w:r w:rsidR="00264A1F">
              <w:rPr>
                <w:webHidden/>
              </w:rPr>
              <w:tab/>
            </w:r>
            <w:r w:rsidR="00264A1F">
              <w:rPr>
                <w:webHidden/>
              </w:rPr>
              <w:fldChar w:fldCharType="begin"/>
            </w:r>
            <w:r w:rsidR="00264A1F">
              <w:rPr>
                <w:webHidden/>
              </w:rPr>
              <w:instrText xml:space="preserve"> PAGEREF _Toc47530162 \h </w:instrText>
            </w:r>
            <w:r w:rsidR="00264A1F">
              <w:rPr>
                <w:webHidden/>
              </w:rPr>
            </w:r>
            <w:r w:rsidR="00264A1F">
              <w:rPr>
                <w:webHidden/>
              </w:rPr>
              <w:fldChar w:fldCharType="separate"/>
            </w:r>
            <w:r>
              <w:rPr>
                <w:webHidden/>
              </w:rPr>
              <w:t>2</w:t>
            </w:r>
            <w:r w:rsidR="00264A1F">
              <w:rPr>
                <w:webHidden/>
              </w:rPr>
              <w:fldChar w:fldCharType="end"/>
            </w:r>
          </w:hyperlink>
        </w:p>
        <w:p w14:paraId="267ED5FC" w14:textId="76D32BC2" w:rsidR="00264A1F" w:rsidRDefault="009268B9">
          <w:pPr>
            <w:pStyle w:val="TOC1"/>
            <w:tabs>
              <w:tab w:val="right" w:leader="dot" w:pos="9350"/>
            </w:tabs>
            <w:rPr>
              <w:rFonts w:eastAsiaTheme="minorEastAsia"/>
            </w:rPr>
          </w:pPr>
          <w:hyperlink w:anchor="_Toc47530163" w:history="1">
            <w:r w:rsidR="00264A1F" w:rsidRPr="00E33747">
              <w:rPr>
                <w:rStyle w:val="Hyperlink"/>
              </w:rPr>
              <w:t>Service Hours (See Page 1</w:t>
            </w:r>
            <w:r>
              <w:rPr>
                <w:rStyle w:val="Hyperlink"/>
              </w:rPr>
              <w:t>4</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_Toc47530163 \h </w:instrText>
            </w:r>
            <w:r w:rsidR="00264A1F">
              <w:rPr>
                <w:webHidden/>
              </w:rPr>
            </w:r>
            <w:r w:rsidR="00264A1F">
              <w:rPr>
                <w:webHidden/>
              </w:rPr>
              <w:fldChar w:fldCharType="separate"/>
            </w:r>
            <w:r>
              <w:rPr>
                <w:webHidden/>
              </w:rPr>
              <w:t>2</w:t>
            </w:r>
            <w:r w:rsidR="00264A1F">
              <w:rPr>
                <w:webHidden/>
              </w:rPr>
              <w:fldChar w:fldCharType="end"/>
            </w:r>
          </w:hyperlink>
        </w:p>
        <w:p w14:paraId="6AE3DA31" w14:textId="7BB35F7A" w:rsidR="00264A1F" w:rsidRDefault="009268B9">
          <w:pPr>
            <w:pStyle w:val="TOC1"/>
            <w:tabs>
              <w:tab w:val="right" w:leader="dot" w:pos="9350"/>
            </w:tabs>
            <w:rPr>
              <w:rFonts w:eastAsiaTheme="minorEastAsia"/>
            </w:rPr>
          </w:pPr>
          <w:hyperlink w:anchor="_Toc47530164" w:history="1">
            <w:r w:rsidR="00264A1F" w:rsidRPr="00E33747">
              <w:rPr>
                <w:rStyle w:val="Hyperlink"/>
              </w:rPr>
              <w:t>Library Use (See Page 1</w:t>
            </w:r>
            <w:r>
              <w:rPr>
                <w:rStyle w:val="Hyperlink"/>
              </w:rPr>
              <w:t>9</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_Toc47530164 \h </w:instrText>
            </w:r>
            <w:r w:rsidR="00264A1F">
              <w:rPr>
                <w:webHidden/>
              </w:rPr>
            </w:r>
            <w:r w:rsidR="00264A1F">
              <w:rPr>
                <w:webHidden/>
              </w:rPr>
              <w:fldChar w:fldCharType="separate"/>
            </w:r>
            <w:r>
              <w:rPr>
                <w:webHidden/>
              </w:rPr>
              <w:t>3</w:t>
            </w:r>
            <w:r w:rsidR="00264A1F">
              <w:rPr>
                <w:webHidden/>
              </w:rPr>
              <w:fldChar w:fldCharType="end"/>
            </w:r>
          </w:hyperlink>
        </w:p>
        <w:p w14:paraId="42368C1A" w14:textId="246BE72D" w:rsidR="00264A1F" w:rsidRDefault="009268B9">
          <w:pPr>
            <w:pStyle w:val="TOC1"/>
            <w:tabs>
              <w:tab w:val="right" w:leader="dot" w:pos="9350"/>
            </w:tabs>
            <w:rPr>
              <w:rFonts w:eastAsiaTheme="minorEastAsia"/>
            </w:rPr>
          </w:pPr>
          <w:hyperlink w:anchor="_Toc47530165" w:history="1">
            <w:r w:rsidR="00264A1F" w:rsidRPr="00E33747">
              <w:rPr>
                <w:rStyle w:val="Hyperlink"/>
              </w:rPr>
              <w:t xml:space="preserve">Parent Meetings (See Page </w:t>
            </w:r>
            <w:r>
              <w:rPr>
                <w:rStyle w:val="Hyperlink"/>
              </w:rPr>
              <w:t>20</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_Toc47530165 \h </w:instrText>
            </w:r>
            <w:r w:rsidR="00264A1F">
              <w:rPr>
                <w:webHidden/>
              </w:rPr>
            </w:r>
            <w:r w:rsidR="00264A1F">
              <w:rPr>
                <w:webHidden/>
              </w:rPr>
              <w:fldChar w:fldCharType="separate"/>
            </w:r>
            <w:r>
              <w:rPr>
                <w:webHidden/>
              </w:rPr>
              <w:t>3</w:t>
            </w:r>
            <w:r w:rsidR="00264A1F">
              <w:rPr>
                <w:webHidden/>
              </w:rPr>
              <w:fldChar w:fldCharType="end"/>
            </w:r>
          </w:hyperlink>
        </w:p>
        <w:p w14:paraId="41A9967D" w14:textId="7208FC82" w:rsidR="00264A1F" w:rsidRDefault="009268B9">
          <w:pPr>
            <w:pStyle w:val="TOC1"/>
            <w:tabs>
              <w:tab w:val="right" w:leader="dot" w:pos="9350"/>
            </w:tabs>
            <w:rPr>
              <w:rFonts w:eastAsiaTheme="minorEastAsia"/>
            </w:rPr>
          </w:pPr>
          <w:hyperlink w:anchor="_Toc47530166" w:history="1">
            <w:r w:rsidR="00264A1F" w:rsidRPr="00E33747">
              <w:rPr>
                <w:rStyle w:val="Hyperlink"/>
              </w:rPr>
              <w:t>Health Room Practices (See Page 2</w:t>
            </w:r>
            <w:r>
              <w:rPr>
                <w:rStyle w:val="Hyperlink"/>
              </w:rPr>
              <w:t>1</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_Toc47530166 \h </w:instrText>
            </w:r>
            <w:r w:rsidR="00264A1F">
              <w:rPr>
                <w:webHidden/>
              </w:rPr>
            </w:r>
            <w:r w:rsidR="00264A1F">
              <w:rPr>
                <w:webHidden/>
              </w:rPr>
              <w:fldChar w:fldCharType="separate"/>
            </w:r>
            <w:r>
              <w:rPr>
                <w:webHidden/>
              </w:rPr>
              <w:t>3</w:t>
            </w:r>
            <w:r w:rsidR="00264A1F">
              <w:rPr>
                <w:webHidden/>
              </w:rPr>
              <w:fldChar w:fldCharType="end"/>
            </w:r>
          </w:hyperlink>
        </w:p>
        <w:p w14:paraId="21FF1978" w14:textId="74C1F5AC" w:rsidR="00264A1F" w:rsidRDefault="009268B9">
          <w:pPr>
            <w:pStyle w:val="TOC1"/>
            <w:tabs>
              <w:tab w:val="right" w:leader="dot" w:pos="9350"/>
            </w:tabs>
            <w:rPr>
              <w:rFonts w:eastAsiaTheme="minorEastAsia"/>
            </w:rPr>
          </w:pPr>
          <w:hyperlink w:anchor="_Toc47530167" w:history="1">
            <w:r w:rsidR="00264A1F" w:rsidRPr="00E33747">
              <w:rPr>
                <w:rStyle w:val="Hyperlink"/>
              </w:rPr>
              <w:t>Discipline (See Page 2</w:t>
            </w:r>
            <w:r>
              <w:rPr>
                <w:rStyle w:val="Hyperlink"/>
              </w:rPr>
              <w:t>4</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_Toc47530167 \h </w:instrText>
            </w:r>
            <w:r w:rsidR="00264A1F">
              <w:rPr>
                <w:webHidden/>
              </w:rPr>
            </w:r>
            <w:r w:rsidR="00264A1F">
              <w:rPr>
                <w:webHidden/>
              </w:rPr>
              <w:fldChar w:fldCharType="separate"/>
            </w:r>
            <w:r>
              <w:rPr>
                <w:webHidden/>
              </w:rPr>
              <w:t>4</w:t>
            </w:r>
            <w:r w:rsidR="00264A1F">
              <w:rPr>
                <w:webHidden/>
              </w:rPr>
              <w:fldChar w:fldCharType="end"/>
            </w:r>
          </w:hyperlink>
        </w:p>
        <w:p w14:paraId="5280E530" w14:textId="64218D5E" w:rsidR="00264A1F" w:rsidRDefault="009268B9">
          <w:pPr>
            <w:pStyle w:val="TOC1"/>
            <w:tabs>
              <w:tab w:val="right" w:leader="dot" w:pos="9350"/>
            </w:tabs>
            <w:rPr>
              <w:rFonts w:eastAsiaTheme="minorEastAsia"/>
            </w:rPr>
          </w:pPr>
          <w:hyperlink w:anchor="_Toc47530168" w:history="1">
            <w:r w:rsidR="00264A1F" w:rsidRPr="00E33747">
              <w:rPr>
                <w:rStyle w:val="Hyperlink"/>
              </w:rPr>
              <w:t>Security and Drills (See Page 2</w:t>
            </w:r>
            <w:r>
              <w:rPr>
                <w:rStyle w:val="Hyperlink"/>
              </w:rPr>
              <w:t>5</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_Toc47530168 \h </w:instrText>
            </w:r>
            <w:r w:rsidR="00264A1F">
              <w:rPr>
                <w:webHidden/>
              </w:rPr>
            </w:r>
            <w:r w:rsidR="00264A1F">
              <w:rPr>
                <w:webHidden/>
              </w:rPr>
              <w:fldChar w:fldCharType="separate"/>
            </w:r>
            <w:r>
              <w:rPr>
                <w:webHidden/>
              </w:rPr>
              <w:t>4</w:t>
            </w:r>
            <w:r w:rsidR="00264A1F">
              <w:rPr>
                <w:webHidden/>
              </w:rPr>
              <w:fldChar w:fldCharType="end"/>
            </w:r>
          </w:hyperlink>
        </w:p>
        <w:p w14:paraId="35E53F0D" w14:textId="0D2ABDF4" w:rsidR="00264A1F" w:rsidRDefault="009268B9">
          <w:pPr>
            <w:pStyle w:val="TOC1"/>
            <w:tabs>
              <w:tab w:val="right" w:leader="dot" w:pos="9350"/>
            </w:tabs>
            <w:rPr>
              <w:rFonts w:eastAsiaTheme="minorEastAsia"/>
            </w:rPr>
          </w:pPr>
          <w:hyperlink w:anchor="_Toc47530169" w:history="1">
            <w:r w:rsidR="00264A1F" w:rsidRPr="00E33747">
              <w:rPr>
                <w:rStyle w:val="Hyperlink"/>
              </w:rPr>
              <w:t>Extra Clothes (See Page 3</w:t>
            </w:r>
            <w:r>
              <w:rPr>
                <w:rStyle w:val="Hyperlink"/>
              </w:rPr>
              <w:t>1</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_Toc47530169 \h </w:instrText>
            </w:r>
            <w:r w:rsidR="00264A1F">
              <w:rPr>
                <w:webHidden/>
              </w:rPr>
            </w:r>
            <w:r w:rsidR="00264A1F">
              <w:rPr>
                <w:webHidden/>
              </w:rPr>
              <w:fldChar w:fldCharType="separate"/>
            </w:r>
            <w:r>
              <w:rPr>
                <w:webHidden/>
              </w:rPr>
              <w:t>4</w:t>
            </w:r>
            <w:r w:rsidR="00264A1F">
              <w:rPr>
                <w:webHidden/>
              </w:rPr>
              <w:fldChar w:fldCharType="end"/>
            </w:r>
          </w:hyperlink>
        </w:p>
        <w:p w14:paraId="36B09CAE" w14:textId="3199BB6B" w:rsidR="00264A1F" w:rsidRDefault="009268B9">
          <w:pPr>
            <w:pStyle w:val="TOC1"/>
            <w:tabs>
              <w:tab w:val="right" w:leader="dot" w:pos="9350"/>
            </w:tabs>
            <w:rPr>
              <w:rFonts w:eastAsiaTheme="minorEastAsia"/>
            </w:rPr>
          </w:pPr>
          <w:hyperlink w:anchor="_Toc47530170" w:history="1">
            <w:r w:rsidR="00264A1F" w:rsidRPr="00E33747">
              <w:rPr>
                <w:rStyle w:val="Hyperlink"/>
              </w:rPr>
              <w:t>Last Day of School (See Page 3</w:t>
            </w:r>
            <w:r>
              <w:rPr>
                <w:rStyle w:val="Hyperlink"/>
              </w:rPr>
              <w:t>3</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_Toc47530170 \h </w:instrText>
            </w:r>
            <w:r w:rsidR="00264A1F">
              <w:rPr>
                <w:webHidden/>
              </w:rPr>
            </w:r>
            <w:r w:rsidR="00264A1F">
              <w:rPr>
                <w:webHidden/>
              </w:rPr>
              <w:fldChar w:fldCharType="separate"/>
            </w:r>
            <w:r>
              <w:rPr>
                <w:webHidden/>
              </w:rPr>
              <w:t>4</w:t>
            </w:r>
            <w:r w:rsidR="00264A1F">
              <w:rPr>
                <w:webHidden/>
              </w:rPr>
              <w:fldChar w:fldCharType="end"/>
            </w:r>
          </w:hyperlink>
        </w:p>
        <w:p w14:paraId="30779993" w14:textId="32E11135" w:rsidR="00264A1F" w:rsidRDefault="009268B9">
          <w:pPr>
            <w:pStyle w:val="TOC1"/>
            <w:tabs>
              <w:tab w:val="right" w:leader="dot" w:pos="9350"/>
            </w:tabs>
            <w:rPr>
              <w:rFonts w:eastAsiaTheme="minorEastAsia"/>
            </w:rPr>
          </w:pPr>
          <w:hyperlink w:anchor="_Toc47530171" w:history="1">
            <w:r w:rsidR="00264A1F" w:rsidRPr="00E33747">
              <w:rPr>
                <w:rStyle w:val="Hyperlink"/>
              </w:rPr>
              <w:t>School Hours(See Page 3</w:t>
            </w:r>
            <w:r>
              <w:rPr>
                <w:rStyle w:val="Hyperlink"/>
              </w:rPr>
              <w:t>3</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_Toc47530171 \h </w:instrText>
            </w:r>
            <w:r w:rsidR="00264A1F">
              <w:rPr>
                <w:webHidden/>
              </w:rPr>
            </w:r>
            <w:r w:rsidR="00264A1F">
              <w:rPr>
                <w:webHidden/>
              </w:rPr>
              <w:fldChar w:fldCharType="separate"/>
            </w:r>
            <w:r>
              <w:rPr>
                <w:webHidden/>
              </w:rPr>
              <w:t>5</w:t>
            </w:r>
            <w:r w:rsidR="00264A1F">
              <w:rPr>
                <w:webHidden/>
              </w:rPr>
              <w:fldChar w:fldCharType="end"/>
            </w:r>
          </w:hyperlink>
        </w:p>
        <w:p w14:paraId="774B787C" w14:textId="4F04306E" w:rsidR="00264A1F" w:rsidRDefault="009268B9">
          <w:pPr>
            <w:pStyle w:val="TOC1"/>
            <w:tabs>
              <w:tab w:val="right" w:leader="dot" w:pos="9350"/>
            </w:tabs>
            <w:rPr>
              <w:rFonts w:eastAsiaTheme="minorEastAsia"/>
            </w:rPr>
          </w:pPr>
          <w:hyperlink w:anchor="_Toc47530172" w:history="1">
            <w:r w:rsidR="00264A1F" w:rsidRPr="00E33747">
              <w:rPr>
                <w:rStyle w:val="Hyperlink"/>
              </w:rPr>
              <w:t>Aftercare (See Page 3</w:t>
            </w:r>
            <w:r>
              <w:rPr>
                <w:rStyle w:val="Hyperlink"/>
              </w:rPr>
              <w:t>4</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_Toc47530172 \h </w:instrText>
            </w:r>
            <w:r w:rsidR="00264A1F">
              <w:rPr>
                <w:webHidden/>
              </w:rPr>
            </w:r>
            <w:r w:rsidR="00264A1F">
              <w:rPr>
                <w:webHidden/>
              </w:rPr>
              <w:fldChar w:fldCharType="separate"/>
            </w:r>
            <w:r>
              <w:rPr>
                <w:webHidden/>
              </w:rPr>
              <w:t>5</w:t>
            </w:r>
            <w:r w:rsidR="00264A1F">
              <w:rPr>
                <w:webHidden/>
              </w:rPr>
              <w:fldChar w:fldCharType="end"/>
            </w:r>
          </w:hyperlink>
        </w:p>
        <w:p w14:paraId="255A3651" w14:textId="77C49091" w:rsidR="00264A1F" w:rsidRDefault="009268B9">
          <w:pPr>
            <w:pStyle w:val="TOC1"/>
            <w:tabs>
              <w:tab w:val="right" w:leader="dot" w:pos="9350"/>
            </w:tabs>
            <w:rPr>
              <w:rFonts w:eastAsiaTheme="minorEastAsia"/>
            </w:rPr>
          </w:pPr>
          <w:hyperlink w:anchor="_Toc47530173" w:history="1">
            <w:r w:rsidR="00264A1F" w:rsidRPr="00E33747">
              <w:rPr>
                <w:rStyle w:val="Hyperlink"/>
              </w:rPr>
              <w:t>Cancellations, Delayed Openings</w:t>
            </w:r>
            <w:r w:rsidR="00264A1F">
              <w:rPr>
                <w:webHidden/>
              </w:rPr>
              <w:tab/>
            </w:r>
            <w:r w:rsidR="00264A1F">
              <w:rPr>
                <w:webHidden/>
              </w:rPr>
              <w:fldChar w:fldCharType="begin"/>
            </w:r>
            <w:r w:rsidR="00264A1F">
              <w:rPr>
                <w:webHidden/>
              </w:rPr>
              <w:instrText xml:space="preserve"> PAGEREF _Toc47530173 \h </w:instrText>
            </w:r>
            <w:r w:rsidR="00264A1F">
              <w:rPr>
                <w:webHidden/>
              </w:rPr>
            </w:r>
            <w:r w:rsidR="00264A1F">
              <w:rPr>
                <w:webHidden/>
              </w:rPr>
              <w:fldChar w:fldCharType="separate"/>
            </w:r>
            <w:r>
              <w:rPr>
                <w:webHidden/>
              </w:rPr>
              <w:t>5</w:t>
            </w:r>
            <w:r w:rsidR="00264A1F">
              <w:rPr>
                <w:webHidden/>
              </w:rPr>
              <w:fldChar w:fldCharType="end"/>
            </w:r>
          </w:hyperlink>
        </w:p>
        <w:p w14:paraId="10E29247" w14:textId="42840BA0" w:rsidR="00264A1F" w:rsidRDefault="009268B9">
          <w:pPr>
            <w:pStyle w:val="TOC1"/>
            <w:tabs>
              <w:tab w:val="right" w:leader="dot" w:pos="9350"/>
            </w:tabs>
            <w:rPr>
              <w:rFonts w:eastAsiaTheme="minorEastAsia"/>
            </w:rPr>
          </w:pPr>
          <w:hyperlink w:anchor="_Toc47530174" w:history="1">
            <w:r w:rsidR="00264A1F" w:rsidRPr="00E33747">
              <w:rPr>
                <w:rStyle w:val="Hyperlink"/>
              </w:rPr>
              <w:t>(See Page 3</w:t>
            </w:r>
            <w:r>
              <w:rPr>
                <w:rStyle w:val="Hyperlink"/>
              </w:rPr>
              <w:t>6</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_Toc47530174 \h </w:instrText>
            </w:r>
            <w:r w:rsidR="00264A1F">
              <w:rPr>
                <w:webHidden/>
              </w:rPr>
            </w:r>
            <w:r w:rsidR="00264A1F">
              <w:rPr>
                <w:webHidden/>
              </w:rPr>
              <w:fldChar w:fldCharType="separate"/>
            </w:r>
            <w:r>
              <w:rPr>
                <w:webHidden/>
              </w:rPr>
              <w:t>5</w:t>
            </w:r>
            <w:r w:rsidR="00264A1F">
              <w:rPr>
                <w:webHidden/>
              </w:rPr>
              <w:fldChar w:fldCharType="end"/>
            </w:r>
          </w:hyperlink>
        </w:p>
        <w:p w14:paraId="5F1260E4" w14:textId="069A3ED0" w:rsidR="00264A1F" w:rsidRDefault="009268B9">
          <w:pPr>
            <w:pStyle w:val="TOC1"/>
            <w:tabs>
              <w:tab w:val="right" w:leader="dot" w:pos="9350"/>
            </w:tabs>
            <w:rPr>
              <w:rFonts w:eastAsiaTheme="minorEastAsia"/>
            </w:rPr>
          </w:pPr>
          <w:hyperlink w:anchor="_Toc47530175" w:history="1">
            <w:r w:rsidR="00264A1F" w:rsidRPr="00E33747">
              <w:rPr>
                <w:rStyle w:val="Hyperlink"/>
              </w:rPr>
              <w:t>Use of School Grounds (See Page 3</w:t>
            </w:r>
            <w:r>
              <w:rPr>
                <w:rStyle w:val="Hyperlink"/>
              </w:rPr>
              <w:t>7</w:t>
            </w:r>
            <w:r w:rsidR="00264A1F" w:rsidRPr="00E33747">
              <w:rPr>
                <w:rStyle w:val="Hyperlink"/>
              </w:rPr>
              <w:t xml:space="preserve"> of Handbook)</w:t>
            </w:r>
            <w:r w:rsidR="00264A1F">
              <w:rPr>
                <w:webHidden/>
              </w:rPr>
              <w:tab/>
            </w:r>
            <w:r w:rsidR="00264A1F">
              <w:rPr>
                <w:webHidden/>
              </w:rPr>
              <w:fldChar w:fldCharType="begin"/>
            </w:r>
            <w:r w:rsidR="00264A1F">
              <w:rPr>
                <w:webHidden/>
              </w:rPr>
              <w:instrText xml:space="preserve"> PAGEREF _Toc47530175 \h </w:instrText>
            </w:r>
            <w:r w:rsidR="00264A1F">
              <w:rPr>
                <w:webHidden/>
              </w:rPr>
            </w:r>
            <w:r w:rsidR="00264A1F">
              <w:rPr>
                <w:webHidden/>
              </w:rPr>
              <w:fldChar w:fldCharType="separate"/>
            </w:r>
            <w:r>
              <w:rPr>
                <w:webHidden/>
              </w:rPr>
              <w:t>5</w:t>
            </w:r>
            <w:r w:rsidR="00264A1F">
              <w:rPr>
                <w:webHidden/>
              </w:rPr>
              <w:fldChar w:fldCharType="end"/>
            </w:r>
          </w:hyperlink>
        </w:p>
        <w:p w14:paraId="1FE5C676" w14:textId="5F1C0662" w:rsidR="00075AE0" w:rsidRDefault="00075AE0">
          <w:r>
            <w:rPr>
              <w:b/>
              <w:bCs/>
              <w:noProof/>
            </w:rPr>
            <w:fldChar w:fldCharType="end"/>
          </w:r>
        </w:p>
      </w:sdtContent>
    </w:sdt>
    <w:p w14:paraId="495A6652" w14:textId="77777777" w:rsidR="00075AE0" w:rsidRDefault="00075AE0" w:rsidP="00263938">
      <w:pPr>
        <w:pStyle w:val="TryItBoilerplate"/>
      </w:pPr>
    </w:p>
    <w:p w14:paraId="3E89E8D7" w14:textId="79AD7797" w:rsidR="005C6D45" w:rsidRPr="000F00E7" w:rsidRDefault="00075AE0" w:rsidP="00075AE0">
      <w:pPr>
        <w:pStyle w:val="Heading1"/>
      </w:pPr>
      <w:bookmarkStart w:id="1" w:name="_Toc47530159"/>
      <w:r>
        <w:lastRenderedPageBreak/>
        <w:t xml:space="preserve">Groupings </w:t>
      </w:r>
      <w:r w:rsidRPr="00184722">
        <w:rPr>
          <w:sz w:val="28"/>
          <w:szCs w:val="28"/>
        </w:rPr>
        <w:t>(See Page 8 of Handbook)</w:t>
      </w:r>
      <w:bookmarkEnd w:id="1"/>
    </w:p>
    <w:p w14:paraId="26C09B04" w14:textId="4CD35174" w:rsidR="00075AE0" w:rsidRDefault="00075AE0">
      <w:r>
        <w:t xml:space="preserve">Children will be grouped in Cohorts for the duration of the pandemic </w:t>
      </w:r>
      <w:bookmarkStart w:id="2" w:name="_Hlk47523093"/>
      <w:r>
        <w:t xml:space="preserve">with designated entry/exit doors, classroom spaces, bathrooms and staff. </w:t>
      </w:r>
      <w:r w:rsidR="00521892">
        <w:t>Cohorts will accommodate siblings together whenever possible.</w:t>
      </w:r>
      <w:bookmarkEnd w:id="2"/>
      <w:r w:rsidR="00521892">
        <w:t xml:space="preserve"> This will necessitate some non-traditional class groupings</w:t>
      </w:r>
      <w:r w:rsidR="00184722">
        <w:t xml:space="preserve">. </w:t>
      </w:r>
    </w:p>
    <w:p w14:paraId="11205274" w14:textId="7482C9BA" w:rsidR="005C6D45" w:rsidRDefault="00075AE0" w:rsidP="00075AE0">
      <w:pPr>
        <w:pStyle w:val="ListNumber"/>
        <w:numPr>
          <w:ilvl w:val="0"/>
          <w:numId w:val="34"/>
        </w:numPr>
      </w:pPr>
      <w:r>
        <w:t xml:space="preserve">Students aged 6 and younger (Primary classes) will be in cohorts of no more than 14. </w:t>
      </w:r>
    </w:p>
    <w:p w14:paraId="2007EC0F" w14:textId="62CBF61B" w:rsidR="00A87896" w:rsidRDefault="00075AE0" w:rsidP="00075AE0">
      <w:pPr>
        <w:pStyle w:val="ListNumber"/>
        <w:numPr>
          <w:ilvl w:val="0"/>
          <w:numId w:val="34"/>
        </w:numPr>
      </w:pPr>
      <w:r>
        <w:t xml:space="preserve">Students aged 6 &amp; older (Elementary classes) will be afforded social distancing space according to CDC guidelines. </w:t>
      </w:r>
    </w:p>
    <w:p w14:paraId="77BE0B6B" w14:textId="1E24929D" w:rsidR="005C6D45" w:rsidRPr="00184722" w:rsidRDefault="00184722">
      <w:pPr>
        <w:pStyle w:val="Heading1"/>
        <w:rPr>
          <w:sz w:val="28"/>
          <w:szCs w:val="28"/>
        </w:rPr>
      </w:pPr>
      <w:bookmarkStart w:id="3" w:name="_Toc47530160"/>
      <w:r>
        <w:t xml:space="preserve">Entrance to School </w:t>
      </w:r>
      <w:r w:rsidRPr="00184722">
        <w:rPr>
          <w:sz w:val="28"/>
          <w:szCs w:val="28"/>
        </w:rPr>
        <w:t>(See Page 9 of Handbook)</w:t>
      </w:r>
      <w:bookmarkEnd w:id="3"/>
    </w:p>
    <w:p w14:paraId="14EF13C1" w14:textId="00943F39" w:rsidR="00BE45C8" w:rsidRDefault="00184722" w:rsidP="00BE45C8">
      <w:bookmarkStart w:id="4" w:name="_Toc522551959"/>
      <w:r>
        <w:t>To keep the school as safe an environment as possible, parents are asked not to enter the school unless scheduled to do so</w:t>
      </w:r>
      <w:r w:rsidR="00BE45C8">
        <w:t xml:space="preserve">. </w:t>
      </w:r>
    </w:p>
    <w:p w14:paraId="32D59C8B" w14:textId="042B2557" w:rsidR="005C6D45" w:rsidRDefault="00184722">
      <w:pPr>
        <w:pStyle w:val="Heading1"/>
      </w:pPr>
      <w:bookmarkStart w:id="5" w:name="_Toc47530161"/>
      <w:bookmarkEnd w:id="4"/>
      <w:r>
        <w:t>Recess &amp; Outdoor</w:t>
      </w:r>
      <w:r w:rsidR="00A04136">
        <w:t xml:space="preserve"> </w:t>
      </w:r>
      <w:r>
        <w:t xml:space="preserve">Time </w:t>
      </w:r>
      <w:r w:rsidRPr="00184722">
        <w:rPr>
          <w:sz w:val="28"/>
          <w:szCs w:val="28"/>
        </w:rPr>
        <w:t>(See Page 9 of Handbook)</w:t>
      </w:r>
      <w:bookmarkEnd w:id="5"/>
    </w:p>
    <w:p w14:paraId="47E35AA2" w14:textId="04A3536B" w:rsidR="005C6D45" w:rsidRDefault="00184722">
      <w:r>
        <w:t xml:space="preserve">Children will spend a lot of time outside for the duration of the pandemic. Each cohort will have a designated outdoor learning space and play area. The campus affords both shaded and open spaces. Appropriate clothing on hand will be very important. </w:t>
      </w:r>
    </w:p>
    <w:p w14:paraId="7A9FD5F9" w14:textId="506612FB" w:rsidR="005C6D45" w:rsidRDefault="004B175F">
      <w:pPr>
        <w:pStyle w:val="Heading1"/>
      </w:pPr>
      <w:bookmarkStart w:id="6" w:name="_Toc47530162"/>
      <w:r>
        <w:t>Outreach Program</w:t>
      </w:r>
      <w:bookmarkEnd w:id="6"/>
    </w:p>
    <w:p w14:paraId="4E7456A6" w14:textId="59108AE1" w:rsidR="005C6D45" w:rsidRDefault="004B175F">
      <w:r>
        <w:t>The extensive EMS Outreach Program will continue during the pandemic as there is more need than ever</w:t>
      </w:r>
      <w:r w:rsidR="002F25A8">
        <w:t xml:space="preserve">. </w:t>
      </w:r>
      <w:r>
        <w:t xml:space="preserve">Students and staff will not participate in person to minimize exposure. </w:t>
      </w:r>
    </w:p>
    <w:p w14:paraId="602CEF4D" w14:textId="291C7868" w:rsidR="005C6D45" w:rsidRDefault="004B175F">
      <w:pPr>
        <w:pStyle w:val="Heading1"/>
      </w:pPr>
      <w:bookmarkStart w:id="7" w:name="_Toc47530163"/>
      <w:r>
        <w:t xml:space="preserve">Service Hours </w:t>
      </w:r>
      <w:r w:rsidRPr="00184722">
        <w:rPr>
          <w:sz w:val="28"/>
          <w:szCs w:val="28"/>
        </w:rPr>
        <w:t xml:space="preserve">(See Page </w:t>
      </w:r>
      <w:r>
        <w:rPr>
          <w:sz w:val="28"/>
          <w:szCs w:val="28"/>
        </w:rPr>
        <w:t>13</w:t>
      </w:r>
      <w:r w:rsidRPr="00184722">
        <w:rPr>
          <w:sz w:val="28"/>
          <w:szCs w:val="28"/>
        </w:rPr>
        <w:t xml:space="preserve"> of Handbook)</w:t>
      </w:r>
      <w:bookmarkEnd w:id="7"/>
    </w:p>
    <w:p w14:paraId="3AE911B6" w14:textId="04208BD1" w:rsidR="008332AF" w:rsidRDefault="004B175F">
      <w:r>
        <w:t xml:space="preserve">Due to the pandemic and our policy of keeping visitors in the building at a minimum, service hour requirements are suspended until further notice. We still hope that parents will </w:t>
      </w:r>
      <w:proofErr w:type="gramStart"/>
      <w:r>
        <w:t>help out</w:t>
      </w:r>
      <w:proofErr w:type="gramEnd"/>
      <w:r>
        <w:t xml:space="preserve"> as needed. </w:t>
      </w:r>
    </w:p>
    <w:p w14:paraId="3F3A56C1" w14:textId="66BD9D1C" w:rsidR="008332AF" w:rsidRDefault="008332AF" w:rsidP="008332AF">
      <w:pPr>
        <w:pStyle w:val="Heading1"/>
      </w:pPr>
      <w:bookmarkStart w:id="8" w:name="_Toc47530164"/>
      <w:r>
        <w:lastRenderedPageBreak/>
        <w:t xml:space="preserve">Library Use </w:t>
      </w:r>
      <w:r w:rsidRPr="00184722">
        <w:rPr>
          <w:sz w:val="28"/>
          <w:szCs w:val="28"/>
        </w:rPr>
        <w:t xml:space="preserve">(See Page </w:t>
      </w:r>
      <w:r>
        <w:rPr>
          <w:sz w:val="28"/>
          <w:szCs w:val="28"/>
        </w:rPr>
        <w:t>18</w:t>
      </w:r>
      <w:r w:rsidRPr="00184722">
        <w:rPr>
          <w:sz w:val="28"/>
          <w:szCs w:val="28"/>
        </w:rPr>
        <w:t xml:space="preserve"> of Handbook)</w:t>
      </w:r>
      <w:bookmarkEnd w:id="8"/>
    </w:p>
    <w:p w14:paraId="6EA807A6" w14:textId="5A8235F2" w:rsidR="008332AF" w:rsidRDefault="008332AF">
      <w:r>
        <w:t xml:space="preserve">To maintain the safety of our cohort groups, mini mobile libraries will be created for each classroom for the duration of the pandemic. Guest Library volunteers are welcome over Zoom </w:t>
      </w:r>
      <w:r w:rsidR="00726BF0">
        <w:t xml:space="preserve">or can record on YouTube. </w:t>
      </w:r>
    </w:p>
    <w:p w14:paraId="09E51BFA" w14:textId="750337CB" w:rsidR="008332AF" w:rsidRDefault="008332AF"/>
    <w:p w14:paraId="32A9F93B" w14:textId="6673EF89" w:rsidR="008332AF" w:rsidRDefault="00726BF0" w:rsidP="008332AF">
      <w:pPr>
        <w:pStyle w:val="Heading1"/>
      </w:pPr>
      <w:bookmarkStart w:id="9" w:name="_Toc47530165"/>
      <w:r>
        <w:t>Parent Meetings</w:t>
      </w:r>
      <w:r w:rsidR="008332AF">
        <w:t xml:space="preserve"> </w:t>
      </w:r>
      <w:r w:rsidR="008332AF" w:rsidRPr="00184722">
        <w:rPr>
          <w:sz w:val="28"/>
          <w:szCs w:val="28"/>
        </w:rPr>
        <w:t xml:space="preserve">(See Page </w:t>
      </w:r>
      <w:r w:rsidR="008332AF">
        <w:rPr>
          <w:sz w:val="28"/>
          <w:szCs w:val="28"/>
        </w:rPr>
        <w:t>1</w:t>
      </w:r>
      <w:r>
        <w:rPr>
          <w:sz w:val="28"/>
          <w:szCs w:val="28"/>
        </w:rPr>
        <w:t>9</w:t>
      </w:r>
      <w:r w:rsidR="008332AF" w:rsidRPr="00184722">
        <w:rPr>
          <w:sz w:val="28"/>
          <w:szCs w:val="28"/>
        </w:rPr>
        <w:t xml:space="preserve"> of Handbook)</w:t>
      </w:r>
      <w:bookmarkEnd w:id="9"/>
    </w:p>
    <w:p w14:paraId="17805E2F" w14:textId="0718CE6F" w:rsidR="008332AF" w:rsidRDefault="00726BF0">
      <w:r>
        <w:t xml:space="preserve">Parent Meetings will occur primarily online for the duration of the pandemic. Schedules and announcements will be made through the weekly email: Montessori Matters. </w:t>
      </w:r>
    </w:p>
    <w:p w14:paraId="0D84D2A8" w14:textId="77777777" w:rsidR="008332AF" w:rsidRDefault="008332AF"/>
    <w:p w14:paraId="185C3E03" w14:textId="4DA8E1C6" w:rsidR="008332AF" w:rsidRDefault="00726BF0" w:rsidP="008332AF">
      <w:pPr>
        <w:pStyle w:val="Heading1"/>
      </w:pPr>
      <w:bookmarkStart w:id="10" w:name="_Toc47530166"/>
      <w:r>
        <w:t>Health Room Practices</w:t>
      </w:r>
      <w:r w:rsidR="008332AF">
        <w:t xml:space="preserve"> </w:t>
      </w:r>
      <w:r w:rsidR="008332AF" w:rsidRPr="00184722">
        <w:rPr>
          <w:sz w:val="28"/>
          <w:szCs w:val="28"/>
        </w:rPr>
        <w:t xml:space="preserve">(See Page </w:t>
      </w:r>
      <w:r>
        <w:rPr>
          <w:sz w:val="28"/>
          <w:szCs w:val="28"/>
        </w:rPr>
        <w:t>20</w:t>
      </w:r>
      <w:r w:rsidR="008332AF" w:rsidRPr="00184722">
        <w:rPr>
          <w:sz w:val="28"/>
          <w:szCs w:val="28"/>
        </w:rPr>
        <w:t xml:space="preserve"> of Handbook)</w:t>
      </w:r>
      <w:bookmarkEnd w:id="10"/>
    </w:p>
    <w:p w14:paraId="36DCD735" w14:textId="6F45945A" w:rsidR="00726BF0" w:rsidRPr="00726BF0" w:rsidRDefault="00726BF0" w:rsidP="00726BF0">
      <w:pPr>
        <w:spacing w:before="0" w:line="240" w:lineRule="auto"/>
        <w:rPr>
          <w:rFonts w:eastAsia="Times New Roman"/>
        </w:rPr>
      </w:pPr>
      <w:r>
        <w:rPr>
          <w:rFonts w:eastAsia="Times New Roman"/>
        </w:rPr>
        <w:t>To protect the school environment during the pandemic the following additional practices will be followed:</w:t>
      </w:r>
    </w:p>
    <w:p w14:paraId="0C9E55C2" w14:textId="04BD6073" w:rsidR="00726BF0" w:rsidRDefault="00726BF0" w:rsidP="00726BF0">
      <w:pPr>
        <w:pStyle w:val="ListParagraph"/>
        <w:numPr>
          <w:ilvl w:val="0"/>
          <w:numId w:val="35"/>
        </w:numPr>
        <w:spacing w:before="0" w:line="240" w:lineRule="auto"/>
        <w:contextualSpacing w:val="0"/>
        <w:rPr>
          <w:rFonts w:eastAsia="Times New Roman"/>
        </w:rPr>
      </w:pPr>
      <w:r>
        <w:rPr>
          <w:rFonts w:eastAsia="Times New Roman"/>
        </w:rPr>
        <w:t>Families will have to complete online health screening online each week.</w:t>
      </w:r>
    </w:p>
    <w:p w14:paraId="6BEE888A" w14:textId="31B5BBD3" w:rsidR="00726BF0" w:rsidRDefault="00726BF0" w:rsidP="00726BF0">
      <w:pPr>
        <w:pStyle w:val="ListParagraph"/>
        <w:numPr>
          <w:ilvl w:val="0"/>
          <w:numId w:val="35"/>
        </w:numPr>
        <w:spacing w:before="0" w:line="240" w:lineRule="auto"/>
        <w:contextualSpacing w:val="0"/>
        <w:rPr>
          <w:rFonts w:eastAsia="Times New Roman"/>
        </w:rPr>
      </w:pPr>
      <w:r>
        <w:rPr>
          <w:rFonts w:eastAsia="Times New Roman"/>
        </w:rPr>
        <w:t>Temperature checks at door each day and during the day.</w:t>
      </w:r>
    </w:p>
    <w:p w14:paraId="7C16F905" w14:textId="654D00AF" w:rsidR="008332AF" w:rsidRDefault="00726BF0" w:rsidP="00726BF0">
      <w:pPr>
        <w:pStyle w:val="ListParagraph"/>
        <w:numPr>
          <w:ilvl w:val="0"/>
          <w:numId w:val="35"/>
        </w:numPr>
        <w:spacing w:before="0" w:line="240" w:lineRule="auto"/>
        <w:contextualSpacing w:val="0"/>
        <w:rPr>
          <w:rFonts w:eastAsia="Times New Roman"/>
        </w:rPr>
      </w:pPr>
      <w:r w:rsidRPr="00726BF0">
        <w:rPr>
          <w:rFonts w:eastAsia="Times New Roman"/>
        </w:rPr>
        <w:t>Sanitizer</w:t>
      </w:r>
      <w:r>
        <w:rPr>
          <w:rFonts w:eastAsia="Times New Roman"/>
        </w:rPr>
        <w:t xml:space="preserve"> will be available</w:t>
      </w:r>
      <w:r w:rsidRPr="00726BF0">
        <w:rPr>
          <w:rFonts w:eastAsia="Times New Roman"/>
        </w:rPr>
        <w:t xml:space="preserve"> at </w:t>
      </w:r>
      <w:r>
        <w:rPr>
          <w:rFonts w:eastAsia="Times New Roman"/>
        </w:rPr>
        <w:t xml:space="preserve">each </w:t>
      </w:r>
      <w:r w:rsidRPr="00726BF0">
        <w:rPr>
          <w:rFonts w:eastAsia="Times New Roman"/>
        </w:rPr>
        <w:t>door</w:t>
      </w:r>
      <w:r>
        <w:rPr>
          <w:rFonts w:eastAsia="Times New Roman"/>
        </w:rPr>
        <w:t xml:space="preserve"> and should be</w:t>
      </w:r>
      <w:r w:rsidRPr="00726BF0">
        <w:rPr>
          <w:rFonts w:eastAsia="Times New Roman"/>
        </w:rPr>
        <w:t xml:space="preserve"> used every time students and staff enter the building.</w:t>
      </w:r>
      <w:r>
        <w:rPr>
          <w:rFonts w:eastAsia="Times New Roman"/>
        </w:rPr>
        <w:t xml:space="preserve"> </w:t>
      </w:r>
    </w:p>
    <w:p w14:paraId="562037FA" w14:textId="05552163" w:rsidR="00726BF0" w:rsidRDefault="00726BF0" w:rsidP="00726BF0">
      <w:pPr>
        <w:pStyle w:val="ListParagraph"/>
        <w:numPr>
          <w:ilvl w:val="0"/>
          <w:numId w:val="35"/>
        </w:numPr>
        <w:spacing w:before="0" w:line="240" w:lineRule="auto"/>
        <w:contextualSpacing w:val="0"/>
        <w:rPr>
          <w:rFonts w:eastAsia="Times New Roman"/>
        </w:rPr>
      </w:pPr>
      <w:r>
        <w:rPr>
          <w:rFonts w:eastAsia="Times New Roman"/>
        </w:rPr>
        <w:t>Students showing any of the recognizable symptoms of CoVid19 will be taken to a quarantine area located near administration</w:t>
      </w:r>
      <w:r w:rsidR="00864D70">
        <w:rPr>
          <w:rFonts w:eastAsia="Times New Roman"/>
        </w:rPr>
        <w:t xml:space="preserve">. Parents will be notified immediately. Child should be picked up within 60 minutes. </w:t>
      </w:r>
    </w:p>
    <w:p w14:paraId="2679FF48" w14:textId="3A52F901" w:rsidR="00864D70" w:rsidRDefault="00864D70" w:rsidP="00726BF0">
      <w:pPr>
        <w:pStyle w:val="ListParagraph"/>
        <w:numPr>
          <w:ilvl w:val="0"/>
          <w:numId w:val="35"/>
        </w:numPr>
        <w:spacing w:before="0" w:line="240" w:lineRule="auto"/>
        <w:contextualSpacing w:val="0"/>
        <w:rPr>
          <w:rFonts w:eastAsia="Times New Roman"/>
        </w:rPr>
      </w:pPr>
      <w:r>
        <w:rPr>
          <w:rFonts w:eastAsia="Times New Roman"/>
        </w:rPr>
        <w:t xml:space="preserve">Students must not return to school for 72 hours after symptoms subside (without the use of medication) or provide proof of negative test. </w:t>
      </w:r>
    </w:p>
    <w:p w14:paraId="415FA60E" w14:textId="37A0C6BF" w:rsidR="00864D70" w:rsidRDefault="00864D70" w:rsidP="00726BF0">
      <w:pPr>
        <w:pStyle w:val="ListParagraph"/>
        <w:numPr>
          <w:ilvl w:val="0"/>
          <w:numId w:val="35"/>
        </w:numPr>
        <w:spacing w:before="0" w:line="240" w:lineRule="auto"/>
        <w:contextualSpacing w:val="0"/>
        <w:rPr>
          <w:rFonts w:eastAsia="Times New Roman"/>
        </w:rPr>
      </w:pPr>
      <w:r>
        <w:rPr>
          <w:rFonts w:eastAsia="Times New Roman"/>
        </w:rPr>
        <w:t xml:space="preserve">School must be notified of a positive case or exposure to a positive case. </w:t>
      </w:r>
    </w:p>
    <w:p w14:paraId="2DF57012" w14:textId="43C41A67" w:rsidR="00864D70" w:rsidRPr="00726BF0" w:rsidRDefault="00864D70" w:rsidP="00726BF0">
      <w:pPr>
        <w:pStyle w:val="ListParagraph"/>
        <w:numPr>
          <w:ilvl w:val="0"/>
          <w:numId w:val="35"/>
        </w:numPr>
        <w:spacing w:before="0" w:line="240" w:lineRule="auto"/>
        <w:contextualSpacing w:val="0"/>
        <w:rPr>
          <w:rFonts w:eastAsia="Times New Roman"/>
        </w:rPr>
      </w:pPr>
      <w:r>
        <w:rPr>
          <w:rFonts w:eastAsia="Times New Roman"/>
        </w:rPr>
        <w:t xml:space="preserve">Proof of a negative test is required after a positive test to return to school. </w:t>
      </w:r>
    </w:p>
    <w:p w14:paraId="03EC5A51" w14:textId="1D518AA1" w:rsidR="008332AF" w:rsidRDefault="008332AF"/>
    <w:p w14:paraId="5C3FF49D" w14:textId="1C9818BC" w:rsidR="008332AF" w:rsidRDefault="008332AF"/>
    <w:p w14:paraId="2ECD5DC7" w14:textId="2496D399" w:rsidR="008332AF" w:rsidRDefault="00864D70" w:rsidP="008332AF">
      <w:pPr>
        <w:pStyle w:val="Heading1"/>
      </w:pPr>
      <w:bookmarkStart w:id="11" w:name="_Toc47530167"/>
      <w:r>
        <w:lastRenderedPageBreak/>
        <w:t>Discipline</w:t>
      </w:r>
      <w:r w:rsidR="008332AF">
        <w:t xml:space="preserve"> </w:t>
      </w:r>
      <w:r w:rsidR="008332AF" w:rsidRPr="00184722">
        <w:rPr>
          <w:sz w:val="28"/>
          <w:szCs w:val="28"/>
        </w:rPr>
        <w:t xml:space="preserve">(See Page </w:t>
      </w:r>
      <w:r>
        <w:rPr>
          <w:sz w:val="28"/>
          <w:szCs w:val="28"/>
        </w:rPr>
        <w:t>2</w:t>
      </w:r>
      <w:r w:rsidR="008332AF">
        <w:rPr>
          <w:sz w:val="28"/>
          <w:szCs w:val="28"/>
        </w:rPr>
        <w:t>3</w:t>
      </w:r>
      <w:r w:rsidR="008332AF" w:rsidRPr="00184722">
        <w:rPr>
          <w:sz w:val="28"/>
          <w:szCs w:val="28"/>
        </w:rPr>
        <w:t xml:space="preserve"> of Handbook)</w:t>
      </w:r>
      <w:bookmarkEnd w:id="11"/>
    </w:p>
    <w:p w14:paraId="11F994C7" w14:textId="357A6802" w:rsidR="008332AF" w:rsidRDefault="00864D70">
      <w:r>
        <w:t xml:space="preserve">For the duration of the pandemic, in-school suspension may be difficult to administer due to </w:t>
      </w:r>
      <w:r w:rsidR="00276374">
        <w:t xml:space="preserve">sanitization. In the case of a disciplinary concern, parents may be asked to take the child home immediately. </w:t>
      </w:r>
    </w:p>
    <w:p w14:paraId="0AE55A5C" w14:textId="1BC83A97" w:rsidR="008332AF" w:rsidRDefault="008332AF"/>
    <w:p w14:paraId="6B7C6B0D" w14:textId="1F23B468" w:rsidR="008332AF" w:rsidRDefault="008332AF"/>
    <w:p w14:paraId="5A4FD859" w14:textId="318118F9" w:rsidR="00864D70" w:rsidRDefault="00276374" w:rsidP="00864D70">
      <w:pPr>
        <w:pStyle w:val="Heading1"/>
      </w:pPr>
      <w:bookmarkStart w:id="12" w:name="_Toc47530168"/>
      <w:r>
        <w:t>Security and Drills</w:t>
      </w:r>
      <w:r w:rsidR="00864D70">
        <w:t xml:space="preserve"> </w:t>
      </w:r>
      <w:r w:rsidR="00864D70" w:rsidRPr="00184722">
        <w:rPr>
          <w:sz w:val="28"/>
          <w:szCs w:val="28"/>
        </w:rPr>
        <w:t xml:space="preserve">(See Page </w:t>
      </w:r>
      <w:r>
        <w:rPr>
          <w:sz w:val="28"/>
          <w:szCs w:val="28"/>
        </w:rPr>
        <w:t>24</w:t>
      </w:r>
      <w:r w:rsidR="00864D70" w:rsidRPr="00184722">
        <w:rPr>
          <w:sz w:val="28"/>
          <w:szCs w:val="28"/>
        </w:rPr>
        <w:t xml:space="preserve"> of Handbook)</w:t>
      </w:r>
      <w:bookmarkEnd w:id="12"/>
    </w:p>
    <w:p w14:paraId="37CCB5CD" w14:textId="2C699AA2" w:rsidR="008332AF" w:rsidRDefault="00276374">
      <w:r>
        <w:t xml:space="preserve">Safety of all students and staff is the priority of the Enfield Montessori School. During the pandemic, drills will continue but will be adjusted to account for social distancing and safety. </w:t>
      </w:r>
    </w:p>
    <w:p w14:paraId="31E9E501" w14:textId="4B52CFDE" w:rsidR="008332AF" w:rsidRDefault="0026768D" w:rsidP="008332AF">
      <w:pPr>
        <w:pStyle w:val="Heading1"/>
      </w:pPr>
      <w:bookmarkStart w:id="13" w:name="_Toc47530169"/>
      <w:r>
        <w:t>Extra Clothes</w:t>
      </w:r>
      <w:r w:rsidR="008332AF">
        <w:t xml:space="preserve"> </w:t>
      </w:r>
      <w:r w:rsidR="008332AF" w:rsidRPr="00184722">
        <w:rPr>
          <w:sz w:val="28"/>
          <w:szCs w:val="28"/>
        </w:rPr>
        <w:t xml:space="preserve">(See Page </w:t>
      </w:r>
      <w:r>
        <w:rPr>
          <w:sz w:val="28"/>
          <w:szCs w:val="28"/>
        </w:rPr>
        <w:t>30</w:t>
      </w:r>
      <w:r w:rsidR="008332AF" w:rsidRPr="00184722">
        <w:rPr>
          <w:sz w:val="28"/>
          <w:szCs w:val="28"/>
        </w:rPr>
        <w:t xml:space="preserve"> of Handbook)</w:t>
      </w:r>
      <w:bookmarkEnd w:id="13"/>
    </w:p>
    <w:p w14:paraId="73A6B745" w14:textId="77777777" w:rsidR="0026768D" w:rsidRDefault="0026768D" w:rsidP="0026768D">
      <w:r>
        <w:t xml:space="preserve">For the duration of the pandemic, </w:t>
      </w:r>
    </w:p>
    <w:p w14:paraId="118C0007" w14:textId="77777777" w:rsidR="0026768D" w:rsidRDefault="0026768D" w:rsidP="0026768D">
      <w:pPr>
        <w:pStyle w:val="ListParagraph"/>
        <w:numPr>
          <w:ilvl w:val="0"/>
          <w:numId w:val="36"/>
        </w:numPr>
      </w:pPr>
      <w:r>
        <w:t xml:space="preserve">All students should have an extra shirt in their backpacks. </w:t>
      </w:r>
    </w:p>
    <w:p w14:paraId="1BB4DA49" w14:textId="77777777" w:rsidR="0026768D" w:rsidRDefault="0026768D" w:rsidP="0026768D">
      <w:pPr>
        <w:pStyle w:val="ListParagraph"/>
        <w:numPr>
          <w:ilvl w:val="0"/>
          <w:numId w:val="36"/>
        </w:numPr>
      </w:pPr>
      <w:r>
        <w:t xml:space="preserve">Toddler and Primary children should have a full set of clothes at school. </w:t>
      </w:r>
    </w:p>
    <w:p w14:paraId="74B94766" w14:textId="42E9BAEC" w:rsidR="00C9098D" w:rsidRDefault="0026768D" w:rsidP="0026768D">
      <w:pPr>
        <w:pStyle w:val="ListParagraph"/>
        <w:numPr>
          <w:ilvl w:val="0"/>
          <w:numId w:val="36"/>
        </w:numPr>
      </w:pPr>
      <w:r>
        <w:t xml:space="preserve">Additionally, students who wear masks must have a supply of three masks at school each day. Masks should fit over the mouth and nose. Scarves or bandanas that shift often are not the best choice. </w:t>
      </w:r>
    </w:p>
    <w:p w14:paraId="5C2D4A14" w14:textId="2A6B8EA2" w:rsidR="005C6D45" w:rsidRDefault="00482053">
      <w:pPr>
        <w:pStyle w:val="Heading1"/>
      </w:pPr>
      <w:bookmarkStart w:id="14" w:name="_Toc47530170"/>
      <w:r>
        <w:t xml:space="preserve">Last Day of School </w:t>
      </w:r>
      <w:r w:rsidRPr="00184722">
        <w:rPr>
          <w:sz w:val="28"/>
          <w:szCs w:val="28"/>
        </w:rPr>
        <w:t xml:space="preserve">(See Page </w:t>
      </w:r>
      <w:r>
        <w:rPr>
          <w:sz w:val="28"/>
          <w:szCs w:val="28"/>
        </w:rPr>
        <w:t>32</w:t>
      </w:r>
      <w:r w:rsidRPr="00184722">
        <w:rPr>
          <w:sz w:val="28"/>
          <w:szCs w:val="28"/>
        </w:rPr>
        <w:t xml:space="preserve"> of Handbook)</w:t>
      </w:r>
      <w:bookmarkEnd w:id="14"/>
    </w:p>
    <w:p w14:paraId="12A26E81" w14:textId="714568AC" w:rsidR="005C6D45" w:rsidRDefault="00482053">
      <w:r>
        <w:t xml:space="preserve">The State of CT has determined that school will conclude after 177 days in 2020-2021 School Year. This is subject to change. </w:t>
      </w:r>
    </w:p>
    <w:p w14:paraId="0ECD82A0" w14:textId="7D18FC94" w:rsidR="00482053" w:rsidRDefault="00482053"/>
    <w:p w14:paraId="5C48E852" w14:textId="67B9842D" w:rsidR="00482053" w:rsidRDefault="00482053" w:rsidP="00482053">
      <w:pPr>
        <w:pStyle w:val="Heading1"/>
      </w:pPr>
      <w:bookmarkStart w:id="15" w:name="_Toc47530171"/>
      <w:r>
        <w:lastRenderedPageBreak/>
        <w:t xml:space="preserve">School </w:t>
      </w:r>
      <w:proofErr w:type="gramStart"/>
      <w:r>
        <w:t>Hours</w:t>
      </w:r>
      <w:r w:rsidRPr="00184722">
        <w:rPr>
          <w:sz w:val="28"/>
          <w:szCs w:val="28"/>
        </w:rPr>
        <w:t>(</w:t>
      </w:r>
      <w:proofErr w:type="gramEnd"/>
      <w:r w:rsidRPr="00184722">
        <w:rPr>
          <w:sz w:val="28"/>
          <w:szCs w:val="28"/>
        </w:rPr>
        <w:t xml:space="preserve">See Page </w:t>
      </w:r>
      <w:r>
        <w:rPr>
          <w:sz w:val="28"/>
          <w:szCs w:val="28"/>
        </w:rPr>
        <w:t>32</w:t>
      </w:r>
      <w:r w:rsidRPr="00184722">
        <w:rPr>
          <w:sz w:val="28"/>
          <w:szCs w:val="28"/>
        </w:rPr>
        <w:t xml:space="preserve"> of Handbook)</w:t>
      </w:r>
      <w:bookmarkEnd w:id="15"/>
    </w:p>
    <w:p w14:paraId="429EAC68" w14:textId="37F5B341" w:rsidR="00482053" w:rsidRDefault="00482053">
      <w:r>
        <w:t xml:space="preserve">Doors will open from 7:40 a.m. </w:t>
      </w:r>
      <w:r w:rsidR="00587E72">
        <w:t xml:space="preserve">to 8:05 am. The extra 5 minutes is to accommodate the increased number of entry doors. Parents are asked to make every effort to get to school during this window of time. Dismissal time remain the same. </w:t>
      </w:r>
    </w:p>
    <w:p w14:paraId="352E869F" w14:textId="0C160A9B" w:rsidR="005C6D45" w:rsidRDefault="00482053">
      <w:pPr>
        <w:pStyle w:val="Heading1"/>
      </w:pPr>
      <w:bookmarkStart w:id="16" w:name="_Toc47530172"/>
      <w:r>
        <w:t xml:space="preserve">Aftercare </w:t>
      </w:r>
      <w:r w:rsidRPr="00184722">
        <w:rPr>
          <w:sz w:val="28"/>
          <w:szCs w:val="28"/>
        </w:rPr>
        <w:t xml:space="preserve">(See Page </w:t>
      </w:r>
      <w:r>
        <w:rPr>
          <w:sz w:val="28"/>
          <w:szCs w:val="28"/>
        </w:rPr>
        <w:t>33</w:t>
      </w:r>
      <w:r w:rsidRPr="00184722">
        <w:rPr>
          <w:sz w:val="28"/>
          <w:szCs w:val="28"/>
        </w:rPr>
        <w:t xml:space="preserve"> of Handbook)</w:t>
      </w:r>
      <w:bookmarkEnd w:id="16"/>
    </w:p>
    <w:p w14:paraId="30259EDD" w14:textId="3E79B4B3" w:rsidR="00587E72" w:rsidRDefault="00587E72">
      <w:r>
        <w:t>Aftercare will be available in the cohort classroom.  At the beginning of the school year, aftercare will close at 5 p.m. each day to allow extra cleaning time. This may be adjusted as our practices evolve. Children will be brought to the exit doors at the specified dismissal time indicated by parents (2:30 p.m., 3:30 p.m., 4:30 p.m. or 5 p.m.)</w:t>
      </w:r>
    </w:p>
    <w:p w14:paraId="346DF8D7" w14:textId="77777777" w:rsidR="00587E72" w:rsidRDefault="00587E72" w:rsidP="00587E72">
      <w:pPr>
        <w:pStyle w:val="Heading1"/>
      </w:pPr>
      <w:bookmarkStart w:id="17" w:name="_Toc47530173"/>
      <w:r>
        <w:t>Cancellations, Delayed Openings</w:t>
      </w:r>
      <w:bookmarkEnd w:id="17"/>
    </w:p>
    <w:p w14:paraId="0FB464C6" w14:textId="79F0212D" w:rsidR="00587E72" w:rsidRDefault="00587E72" w:rsidP="00587E72">
      <w:pPr>
        <w:pStyle w:val="Heading1"/>
      </w:pPr>
      <w:bookmarkStart w:id="18" w:name="_Toc47530174"/>
      <w:r w:rsidRPr="00184722">
        <w:rPr>
          <w:sz w:val="28"/>
          <w:szCs w:val="28"/>
        </w:rPr>
        <w:t xml:space="preserve">(See Page </w:t>
      </w:r>
      <w:r>
        <w:rPr>
          <w:sz w:val="28"/>
          <w:szCs w:val="28"/>
        </w:rPr>
        <w:t>35</w:t>
      </w:r>
      <w:r w:rsidRPr="00184722">
        <w:rPr>
          <w:sz w:val="28"/>
          <w:szCs w:val="28"/>
        </w:rPr>
        <w:t xml:space="preserve"> of Handbook)</w:t>
      </w:r>
      <w:bookmarkEnd w:id="18"/>
    </w:p>
    <w:p w14:paraId="6056C25E" w14:textId="4A64FF5C" w:rsidR="00587E72" w:rsidRDefault="00587E72">
      <w:r>
        <w:t xml:space="preserve">EMS will ONLY follow delays or closings </w:t>
      </w:r>
      <w:proofErr w:type="gramStart"/>
      <w:r w:rsidR="005D1A65">
        <w:t>with regard to</w:t>
      </w:r>
      <w:proofErr w:type="gramEnd"/>
      <w:r w:rsidR="005D1A65">
        <w:t xml:space="preserve"> inclement weather. Delays or closings due for health reasons will be decided by EMS in line with the State guidelines. If EMS is </w:t>
      </w:r>
      <w:proofErr w:type="gramStart"/>
      <w:r w:rsidR="005D1A65">
        <w:t>closed</w:t>
      </w:r>
      <w:proofErr w:type="gramEnd"/>
      <w:r w:rsidR="005D1A65">
        <w:t xml:space="preserve"> you will receive an email. </w:t>
      </w:r>
    </w:p>
    <w:p w14:paraId="39FE0FEE" w14:textId="28DF40B3" w:rsidR="00587E72" w:rsidRDefault="005D1A65" w:rsidP="00587E72">
      <w:pPr>
        <w:pStyle w:val="Heading1"/>
      </w:pPr>
      <w:bookmarkStart w:id="19" w:name="_Toc47530175"/>
      <w:r>
        <w:t>Use of School Grounds</w:t>
      </w:r>
      <w:r w:rsidR="00587E72">
        <w:t xml:space="preserve"> </w:t>
      </w:r>
      <w:r w:rsidR="00587E72" w:rsidRPr="00184722">
        <w:rPr>
          <w:sz w:val="28"/>
          <w:szCs w:val="28"/>
        </w:rPr>
        <w:t xml:space="preserve">(See Page </w:t>
      </w:r>
      <w:r w:rsidR="00587E72">
        <w:rPr>
          <w:sz w:val="28"/>
          <w:szCs w:val="28"/>
        </w:rPr>
        <w:t>33</w:t>
      </w:r>
      <w:r w:rsidR="00587E72" w:rsidRPr="00184722">
        <w:rPr>
          <w:sz w:val="28"/>
          <w:szCs w:val="28"/>
        </w:rPr>
        <w:t xml:space="preserve"> of Handbook)</w:t>
      </w:r>
      <w:bookmarkEnd w:id="19"/>
    </w:p>
    <w:p w14:paraId="65DBBD67" w14:textId="4F9FB18E" w:rsidR="00587E72" w:rsidRDefault="005D1A65">
      <w:r>
        <w:t xml:space="preserve">For the duration of the pandemic, the playscape is limited to our cohort groups on a scheduled basis </w:t>
      </w:r>
      <w:r w:rsidR="00264A1F">
        <w:t xml:space="preserve">and sadly cannot be used by families after school. Use of the filed is permitted but social distancing guidelines must be followed. </w:t>
      </w:r>
    </w:p>
    <w:sectPr w:rsidR="00587E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0415D" w14:textId="77777777" w:rsidR="00075AE0" w:rsidRDefault="00075AE0">
      <w:pPr>
        <w:spacing w:line="240" w:lineRule="auto"/>
      </w:pPr>
      <w:r>
        <w:separator/>
      </w:r>
    </w:p>
  </w:endnote>
  <w:endnote w:type="continuationSeparator" w:id="0">
    <w:p w14:paraId="522E5239" w14:textId="77777777" w:rsidR="00075AE0" w:rsidRDefault="00075AE0">
      <w:pPr>
        <w:spacing w:line="240" w:lineRule="auto"/>
      </w:pPr>
      <w:r>
        <w:continuationSeparator/>
      </w:r>
    </w:p>
  </w:endnote>
  <w:endnote w:type="continuationNotice" w:id="1">
    <w:p w14:paraId="097316D3" w14:textId="77777777" w:rsidR="00075AE0" w:rsidRDefault="00075AE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C82E6" w14:textId="77777777" w:rsidR="009D3248" w:rsidRDefault="009D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6409"/>
      <w:docPartObj>
        <w:docPartGallery w:val="Page Numbers (Bottom of Page)"/>
        <w:docPartUnique/>
      </w:docPartObj>
    </w:sdtPr>
    <w:sdtEndPr/>
    <w:sdtContent>
      <w:p w14:paraId="375127BA" w14:textId="77777777" w:rsidR="005C6D45" w:rsidRDefault="002F25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F6DCA56" w14:textId="77777777" w:rsidR="005C6D45" w:rsidRDefault="005C6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022E2" w14:textId="77777777" w:rsidR="009D3248" w:rsidRDefault="009D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3C795" w14:textId="77777777" w:rsidR="00075AE0" w:rsidRDefault="00075AE0">
      <w:pPr>
        <w:spacing w:line="240" w:lineRule="auto"/>
      </w:pPr>
      <w:r>
        <w:separator/>
      </w:r>
    </w:p>
  </w:footnote>
  <w:footnote w:type="continuationSeparator" w:id="0">
    <w:p w14:paraId="096E6B4E" w14:textId="77777777" w:rsidR="00075AE0" w:rsidRDefault="00075AE0">
      <w:pPr>
        <w:spacing w:line="240" w:lineRule="auto"/>
      </w:pPr>
      <w:r>
        <w:continuationSeparator/>
      </w:r>
    </w:p>
  </w:footnote>
  <w:footnote w:type="continuationNotice" w:id="1">
    <w:p w14:paraId="5684538A" w14:textId="77777777" w:rsidR="00075AE0" w:rsidRDefault="00075AE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A68DE" w14:textId="77777777" w:rsidR="009D3248" w:rsidRDefault="009D3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332FD" w14:textId="77777777" w:rsidR="009D3248" w:rsidRDefault="009D3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D765D" w14:textId="77777777" w:rsidR="009D3248" w:rsidRDefault="009D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A19A8"/>
    <w:multiLevelType w:val="multilevel"/>
    <w:tmpl w:val="FEBE56F0"/>
    <w:lvl w:ilvl="0">
      <w:start w:val="1"/>
      <w:numFmt w:val="bullet"/>
      <w:lvlText w:val=""/>
      <w:lvlJc w:val="left"/>
      <w:pPr>
        <w:ind w:left="792" w:hanging="360"/>
      </w:pPr>
      <w:rPr>
        <w:rFonts w:ascii="Symbol" w:hAnsi="Symbol"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3"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152AA"/>
    <w:multiLevelType w:val="multilevel"/>
    <w:tmpl w:val="FEBE56F0"/>
    <w:lvl w:ilvl="0">
      <w:start w:val="1"/>
      <w:numFmt w:val="bullet"/>
      <w:lvlText w:val=""/>
      <w:lvlJc w:val="left"/>
      <w:pPr>
        <w:ind w:left="792" w:hanging="360"/>
      </w:pPr>
      <w:rPr>
        <w:rFonts w:ascii="Symbol" w:hAnsi="Symbol"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5" w15:restartNumberingAfterBreak="0">
    <w:nsid w:val="623E2402"/>
    <w:multiLevelType w:val="hybridMultilevel"/>
    <w:tmpl w:val="49E2C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9"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8"/>
  </w:num>
  <w:num w:numId="4">
    <w:abstractNumId w:val="18"/>
    <w:lvlOverride w:ilvl="0">
      <w:startOverride w:val="1"/>
    </w:lvlOverride>
  </w:num>
  <w:num w:numId="5">
    <w:abstractNumId w:val="8"/>
  </w:num>
  <w:num w:numId="6">
    <w:abstractNumId w:val="18"/>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9"/>
  </w:num>
  <w:num w:numId="21">
    <w:abstractNumId w:val="17"/>
  </w:num>
  <w:num w:numId="22">
    <w:abstractNumId w:val="16"/>
  </w:num>
  <w:num w:numId="23">
    <w:abstractNumId w:val="13"/>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E0"/>
    <w:rsid w:val="00016748"/>
    <w:rsid w:val="0006567E"/>
    <w:rsid w:val="00075AE0"/>
    <w:rsid w:val="000760DB"/>
    <w:rsid w:val="000F00E7"/>
    <w:rsid w:val="0016766E"/>
    <w:rsid w:val="00170063"/>
    <w:rsid w:val="00175643"/>
    <w:rsid w:val="00184722"/>
    <w:rsid w:val="001B2338"/>
    <w:rsid w:val="002061A9"/>
    <w:rsid w:val="00217B64"/>
    <w:rsid w:val="00235579"/>
    <w:rsid w:val="00257FAA"/>
    <w:rsid w:val="00263938"/>
    <w:rsid w:val="00264A1F"/>
    <w:rsid w:val="0026768D"/>
    <w:rsid w:val="00276374"/>
    <w:rsid w:val="002E78EB"/>
    <w:rsid w:val="002F25A8"/>
    <w:rsid w:val="003407A9"/>
    <w:rsid w:val="00340DC9"/>
    <w:rsid w:val="00350BD5"/>
    <w:rsid w:val="00444F02"/>
    <w:rsid w:val="00482053"/>
    <w:rsid w:val="00490CC6"/>
    <w:rsid w:val="004B175F"/>
    <w:rsid w:val="004F05F9"/>
    <w:rsid w:val="00521892"/>
    <w:rsid w:val="005509B2"/>
    <w:rsid w:val="005556DB"/>
    <w:rsid w:val="00587E72"/>
    <w:rsid w:val="005C6D45"/>
    <w:rsid w:val="005D1A65"/>
    <w:rsid w:val="005D58F7"/>
    <w:rsid w:val="00617D63"/>
    <w:rsid w:val="00643D1A"/>
    <w:rsid w:val="00674588"/>
    <w:rsid w:val="006A7B57"/>
    <w:rsid w:val="006D44C5"/>
    <w:rsid w:val="00713672"/>
    <w:rsid w:val="00726BF0"/>
    <w:rsid w:val="0073562D"/>
    <w:rsid w:val="007B07DE"/>
    <w:rsid w:val="008270A2"/>
    <w:rsid w:val="008332AF"/>
    <w:rsid w:val="00853F77"/>
    <w:rsid w:val="00864D70"/>
    <w:rsid w:val="00885CE1"/>
    <w:rsid w:val="008907FF"/>
    <w:rsid w:val="008B696C"/>
    <w:rsid w:val="008B6BEE"/>
    <w:rsid w:val="008F78D7"/>
    <w:rsid w:val="009200C1"/>
    <w:rsid w:val="009268B9"/>
    <w:rsid w:val="00980085"/>
    <w:rsid w:val="00997127"/>
    <w:rsid w:val="009D216F"/>
    <w:rsid w:val="009D3248"/>
    <w:rsid w:val="00A04136"/>
    <w:rsid w:val="00A65E8A"/>
    <w:rsid w:val="00A87896"/>
    <w:rsid w:val="00AC1EE7"/>
    <w:rsid w:val="00B650C6"/>
    <w:rsid w:val="00BA63C2"/>
    <w:rsid w:val="00BC6939"/>
    <w:rsid w:val="00BE1875"/>
    <w:rsid w:val="00BE45C8"/>
    <w:rsid w:val="00BF2331"/>
    <w:rsid w:val="00BF7463"/>
    <w:rsid w:val="00C30889"/>
    <w:rsid w:val="00C9098D"/>
    <w:rsid w:val="00C90A2E"/>
    <w:rsid w:val="00CC5861"/>
    <w:rsid w:val="00D30B81"/>
    <w:rsid w:val="00D3649E"/>
    <w:rsid w:val="00D65327"/>
    <w:rsid w:val="00DF0FDA"/>
    <w:rsid w:val="00E142DA"/>
    <w:rsid w:val="00E16F51"/>
    <w:rsid w:val="00EB0B6E"/>
    <w:rsid w:val="00EE70C1"/>
    <w:rsid w:val="00F169E1"/>
    <w:rsid w:val="00F77B79"/>
    <w:rsid w:val="00F866A8"/>
    <w:rsid w:val="00FB35C9"/>
    <w:rsid w:val="00FB5B59"/>
    <w:rsid w:val="00FC318F"/>
    <w:rsid w:val="00FD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7EE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3"/>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5"/>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Bullet5">
    <w:name w:val="List Bullet 5"/>
    <w:basedOn w:val="Normal"/>
    <w:uiPriority w:val="99"/>
    <w:semiHidden/>
    <w:unhideWhenUsed/>
    <w:pPr>
      <w:numPr>
        <w:numId w:val="1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99428607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aulieu\AppData\Local\Microsoft\Office\16.0\DTS\en-US%7bE1FC1421-06EF-47EE-9453-26E69CA826C0%7d\%7b73D09E65-F910-4D0B-B5DA-42AFEF396CC1%7dtf45325165.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94AE6-4552-4022-8DF6-4CE8CB94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{73D09E65-F910-4D0B-B5DA-42AFEF396CC1}tf45325165</Template>
  <TotalTime>0</TotalTime>
  <Pages>5</Pages>
  <Words>1028</Words>
  <Characters>5861</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Groupings (See Page 8 of Handbook)</vt:lpstr>
      <vt:lpstr>Entrance to School (See Page 9 of Handbook)</vt:lpstr>
      <vt:lpstr>Recess &amp; Outdoor Time (See Page 9 of Handbook)</vt:lpstr>
      <vt:lpstr>Outreach Program</vt:lpstr>
      <vt:lpstr>Service Hours (See Page 13 of Handbook)</vt:lpstr>
      <vt:lpstr>Library Use (See Page 18 of Handbook)</vt:lpstr>
      <vt:lpstr>Parent Meetings (See Page 19 of Handbook)</vt:lpstr>
      <vt:lpstr>Health Room Practices (See Page 20 of Handbook)</vt:lpstr>
      <vt:lpstr>Discipline (See Page 23 of Handbook)</vt:lpstr>
      <vt:lpstr>Security and Drills (See Page 24 of Handbook)</vt:lpstr>
      <vt:lpstr>Extra Clothes (See Page 30 of Handbook)</vt:lpstr>
      <vt:lpstr>Last Day of School (See Page 32 of Handbook)</vt:lpstr>
      <vt:lpstr>School Hours(See Page 32 of Handbook)</vt:lpstr>
      <vt:lpstr>Aftercare (See Page 33 of Handbook)</vt:lpstr>
      <vt:lpstr>Cancellations, Delayed Openings</vt:lpstr>
      <vt:lpstr>(See Page 35 of Handbook)</vt:lpstr>
      <vt:lpstr>Use of School Grounds (See Page 33 of Handbook)</vt:lpstr>
    </vt:vector>
  </TitlesOfParts>
  <Company/>
  <LinksUpToDate>false</LinksUpToDate>
  <CharactersWithSpaces>6876</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2020-08-05T14:50:00Z</dcterms:created>
  <dcterms:modified xsi:type="dcterms:W3CDTF">2020-08-05T19:33:00Z</dcterms:modified>
</cp:coreProperties>
</file>