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DFAE9" w14:textId="1145A5FD" w:rsidR="00AF0773" w:rsidRPr="007E7103" w:rsidRDefault="00B40FFD" w:rsidP="00B40FFD">
      <w:pPr>
        <w:spacing w:after="0"/>
        <w:jc w:val="center"/>
        <w:rPr>
          <w:b/>
          <w:bCs/>
        </w:rPr>
      </w:pPr>
      <w:bookmarkStart w:id="0" w:name="_GoBack"/>
      <w:bookmarkEnd w:id="0"/>
      <w:r w:rsidRPr="007E7103">
        <w:rPr>
          <w:b/>
          <w:bCs/>
        </w:rPr>
        <w:t xml:space="preserve">Leveraging Vital Conditions </w:t>
      </w:r>
      <w:r w:rsidR="00BC2C97">
        <w:rPr>
          <w:b/>
          <w:bCs/>
        </w:rPr>
        <w:t>in</w:t>
      </w:r>
      <w:r w:rsidRPr="007E7103">
        <w:rPr>
          <w:b/>
          <w:bCs/>
        </w:rPr>
        <w:t xml:space="preserve"> </w:t>
      </w:r>
      <w:r w:rsidR="0049069E">
        <w:rPr>
          <w:b/>
          <w:bCs/>
        </w:rPr>
        <w:t>Funding Proposals</w:t>
      </w:r>
    </w:p>
    <w:p w14:paraId="73870BCB" w14:textId="1EB6ACAD" w:rsidR="000C7DF6" w:rsidRPr="00D871CA" w:rsidRDefault="00B40FFD" w:rsidP="00D871CA">
      <w:pPr>
        <w:spacing w:after="0"/>
        <w:jc w:val="center"/>
        <w:rPr>
          <w:b/>
          <w:bCs/>
        </w:rPr>
      </w:pPr>
      <w:r w:rsidRPr="007E7103">
        <w:rPr>
          <w:b/>
          <w:bCs/>
        </w:rPr>
        <w:t>Boilerplate Language</w:t>
      </w:r>
      <w:r w:rsidR="00DF0001" w:rsidRPr="007E7103">
        <w:rPr>
          <w:b/>
          <w:bCs/>
        </w:rPr>
        <w:t xml:space="preserve"> for HCD Partners</w:t>
      </w:r>
    </w:p>
    <w:p w14:paraId="2E1E4E0C" w14:textId="2CEAFB35" w:rsidR="00B40FFD" w:rsidRDefault="00B40FFD" w:rsidP="00B40FFD">
      <w:pPr>
        <w:spacing w:after="0"/>
        <w:jc w:val="center"/>
        <w:rPr>
          <w:b/>
          <w:bCs/>
        </w:rPr>
      </w:pPr>
      <w:proofErr w:type="gramStart"/>
      <w:r w:rsidRPr="007E7103">
        <w:rPr>
          <w:b/>
          <w:bCs/>
        </w:rPr>
        <w:t>v</w:t>
      </w:r>
      <w:proofErr w:type="gramEnd"/>
      <w:r w:rsidRPr="007E7103">
        <w:rPr>
          <w:b/>
          <w:bCs/>
        </w:rPr>
        <w:t>.</w:t>
      </w:r>
      <w:r w:rsidR="00213F5A">
        <w:rPr>
          <w:b/>
          <w:bCs/>
        </w:rPr>
        <w:t>9.</w:t>
      </w:r>
      <w:r w:rsidR="00594EB9">
        <w:rPr>
          <w:b/>
          <w:bCs/>
        </w:rPr>
        <w:t>7</w:t>
      </w:r>
      <w:r w:rsidRPr="007E7103">
        <w:rPr>
          <w:b/>
          <w:bCs/>
        </w:rPr>
        <w:t>.2022</w:t>
      </w:r>
    </w:p>
    <w:p w14:paraId="7D6DE68C" w14:textId="77777777" w:rsidR="00892F0C" w:rsidRDefault="00892F0C" w:rsidP="00F16E38">
      <w:pPr>
        <w:spacing w:after="0"/>
      </w:pPr>
    </w:p>
    <w:p w14:paraId="3B508AA9" w14:textId="554ABEC3" w:rsidR="00892F0C" w:rsidRPr="007E7103" w:rsidRDefault="00A034E2" w:rsidP="00892F0C">
      <w:pPr>
        <w:spacing w:after="0"/>
        <w:rPr>
          <w:u w:val="single"/>
        </w:rPr>
      </w:pPr>
      <w:r>
        <w:rPr>
          <w:u w:val="single"/>
        </w:rPr>
        <w:t>Foundations for Our Approach: The</w:t>
      </w:r>
      <w:r w:rsidR="007E7103" w:rsidRPr="007E7103">
        <w:rPr>
          <w:u w:val="single"/>
        </w:rPr>
        <w:t xml:space="preserve"> Vital Conditions </w:t>
      </w:r>
      <w:r w:rsidR="00CB0E84">
        <w:rPr>
          <w:u w:val="single"/>
        </w:rPr>
        <w:t xml:space="preserve">for Well-Being </w:t>
      </w:r>
      <w:r w:rsidR="007E7103" w:rsidRPr="007E7103">
        <w:rPr>
          <w:u w:val="single"/>
        </w:rPr>
        <w:t>Framework</w:t>
      </w:r>
    </w:p>
    <w:p w14:paraId="72D6C980" w14:textId="77777777" w:rsidR="00B40FFD" w:rsidRDefault="00B40FFD" w:rsidP="00AB077A">
      <w:pPr>
        <w:spacing w:after="0"/>
      </w:pPr>
    </w:p>
    <w:p w14:paraId="54A5670C" w14:textId="69A47D7B" w:rsidR="006E45BB" w:rsidRDefault="00DF3A5B" w:rsidP="00B40FFD">
      <w:pPr>
        <w:spacing w:after="0"/>
      </w:pPr>
      <w:r>
        <w:t>[</w:t>
      </w:r>
      <w:r w:rsidR="00D561BD">
        <w:rPr>
          <w:i/>
          <w:iCs/>
        </w:rPr>
        <w:t>Our</w:t>
      </w:r>
      <w:r w:rsidRPr="00DF0001">
        <w:rPr>
          <w:i/>
          <w:iCs/>
        </w:rPr>
        <w:t xml:space="preserve"> </w:t>
      </w:r>
      <w:r w:rsidR="00DF0001" w:rsidRPr="00DF0001">
        <w:rPr>
          <w:i/>
          <w:iCs/>
        </w:rPr>
        <w:t>proposal’s</w:t>
      </w:r>
      <w:r w:rsidR="008660B2">
        <w:rPr>
          <w:i/>
          <w:iCs/>
        </w:rPr>
        <w:t xml:space="preserve"> or organization’s</w:t>
      </w:r>
      <w:r w:rsidR="00DF0001">
        <w:t>]</w:t>
      </w:r>
      <w:r w:rsidR="00812F69">
        <w:t xml:space="preserve"> goals and objectives are </w:t>
      </w:r>
      <w:r w:rsidR="00D607B6">
        <w:t xml:space="preserve">aligned with </w:t>
      </w:r>
      <w:r w:rsidR="00E60506">
        <w:t>a</w:t>
      </w:r>
      <w:r w:rsidR="00382AD3">
        <w:t xml:space="preserve"> research</w:t>
      </w:r>
      <w:r w:rsidR="00EF6C35">
        <w:t>-based</w:t>
      </w:r>
      <w:r w:rsidR="00E60506">
        <w:t xml:space="preserve"> framework of </w:t>
      </w:r>
      <w:r w:rsidR="004B2B55">
        <w:t>powerful</w:t>
      </w:r>
      <w:r w:rsidR="00E60506">
        <w:t xml:space="preserve"> levers </w:t>
      </w:r>
      <w:r w:rsidR="00E82197">
        <w:t>to improve health equity</w:t>
      </w:r>
      <w:r w:rsidR="00E60506">
        <w:t xml:space="preserve">, </w:t>
      </w:r>
      <w:r w:rsidR="00F905CB">
        <w:t xml:space="preserve">called </w:t>
      </w:r>
      <w:r w:rsidR="00E60506">
        <w:t xml:space="preserve">the </w:t>
      </w:r>
      <w:r w:rsidR="00091801">
        <w:t>“</w:t>
      </w:r>
      <w:r w:rsidR="00EA60FC">
        <w:t>S</w:t>
      </w:r>
      <w:r w:rsidR="00F905CB">
        <w:t>even Vital Conditions for Community Change and Well-Being</w:t>
      </w:r>
      <w:r w:rsidR="00934E3D">
        <w:t>.</w:t>
      </w:r>
      <w:r w:rsidR="00815AC6">
        <w:t>”</w:t>
      </w:r>
      <w:r w:rsidR="0094203B">
        <w:rPr>
          <w:rStyle w:val="EndnoteReference"/>
        </w:rPr>
        <w:endnoteReference w:id="1"/>
      </w:r>
      <w:r w:rsidR="002A480F">
        <w:t xml:space="preserve"> </w:t>
      </w:r>
      <w:r w:rsidR="006E45BB">
        <w:t xml:space="preserve"> Communities </w:t>
      </w:r>
      <w:r w:rsidR="004D333E">
        <w:t>around the country</w:t>
      </w:r>
      <w:r w:rsidR="006E45BB">
        <w:t xml:space="preserve"> </w:t>
      </w:r>
      <w:r w:rsidR="009E164B">
        <w:t xml:space="preserve">and in Delaware </w:t>
      </w:r>
      <w:r w:rsidR="006E45BB">
        <w:t xml:space="preserve">are using this framework to </w:t>
      </w:r>
      <w:r w:rsidR="004B2B55">
        <w:t>structure</w:t>
      </w:r>
      <w:r w:rsidR="006E45BB">
        <w:t xml:space="preserve"> strategic</w:t>
      </w:r>
      <w:r w:rsidR="00B074FE">
        <w:t xml:space="preserve">, long-term, </w:t>
      </w:r>
      <w:r w:rsidR="00582B28">
        <w:t>resident-engaged</w:t>
      </w:r>
      <w:r w:rsidR="00B074FE">
        <w:t xml:space="preserve"> approach</w:t>
      </w:r>
      <w:r w:rsidR="002175CD">
        <w:t>es</w:t>
      </w:r>
      <w:r w:rsidR="00B074FE">
        <w:t xml:space="preserve"> </w:t>
      </w:r>
      <w:r w:rsidR="007F522B">
        <w:t xml:space="preserve">to </w:t>
      </w:r>
      <w:r w:rsidR="008660B2">
        <w:t>their</w:t>
      </w:r>
      <w:r w:rsidR="0034619F">
        <w:t xml:space="preserve"> </w:t>
      </w:r>
      <w:r w:rsidR="00647557">
        <w:t>efforts</w:t>
      </w:r>
      <w:r w:rsidR="00934E3D">
        <w:t>.</w:t>
      </w:r>
      <w:r w:rsidR="003F72F8">
        <w:rPr>
          <w:rStyle w:val="EndnoteReference"/>
        </w:rPr>
        <w:endnoteReference w:id="2"/>
      </w:r>
      <w:r w:rsidR="00C8295E">
        <w:t xml:space="preserve"> We </w:t>
      </w:r>
      <w:r w:rsidR="00420941">
        <w:t>use t</w:t>
      </w:r>
      <w:r w:rsidR="00C8295E">
        <w:t xml:space="preserve">his </w:t>
      </w:r>
      <w:r w:rsidR="001C17A3">
        <w:t xml:space="preserve">overarching </w:t>
      </w:r>
      <w:r w:rsidR="00C8295E">
        <w:t xml:space="preserve">framework to focus on making change </w:t>
      </w:r>
      <w:r w:rsidR="004B6285">
        <w:t xml:space="preserve">with our residents </w:t>
      </w:r>
      <w:r w:rsidR="00C8295E">
        <w:t>over time</w:t>
      </w:r>
      <w:r w:rsidR="0083722C">
        <w:t>,</w:t>
      </w:r>
      <w:r w:rsidR="00C8295E">
        <w:t xml:space="preserve"> </w:t>
      </w:r>
      <w:r w:rsidR="00A87739">
        <w:t>to</w:t>
      </w:r>
      <w:r w:rsidR="001E551E">
        <w:t xml:space="preserve"> select</w:t>
      </w:r>
      <w:r w:rsidR="00C8295E">
        <w:t xml:space="preserve"> effective methods</w:t>
      </w:r>
      <w:r w:rsidR="0083722C">
        <w:t xml:space="preserve">, and </w:t>
      </w:r>
      <w:r w:rsidR="001C4FD0">
        <w:t>to stay</w:t>
      </w:r>
      <w:r w:rsidR="0083722C">
        <w:t xml:space="preserve"> true to our mission and vision for our community</w:t>
      </w:r>
      <w:r w:rsidR="00C8295E">
        <w:t xml:space="preserve">.  </w:t>
      </w:r>
    </w:p>
    <w:p w14:paraId="7D5F9679" w14:textId="77777777" w:rsidR="00684AB9" w:rsidRDefault="00684AB9" w:rsidP="00B40FFD">
      <w:pPr>
        <w:spacing w:after="0"/>
      </w:pPr>
    </w:p>
    <w:p w14:paraId="3C3AF828" w14:textId="02BE0628" w:rsidR="00380B49" w:rsidRDefault="00684AB9" w:rsidP="00B40FFD">
      <w:pPr>
        <w:spacing w:after="0"/>
      </w:pPr>
      <w:r>
        <w:t xml:space="preserve">Vital conditions </w:t>
      </w:r>
      <w:r w:rsidR="00FB2626">
        <w:t>offer</w:t>
      </w:r>
      <w:r w:rsidR="00E00F36">
        <w:t xml:space="preserve"> another way of describing s</w:t>
      </w:r>
      <w:r w:rsidR="002A480F">
        <w:t>ocial determinants of health</w:t>
      </w:r>
      <w:r w:rsidR="00FE0DA1">
        <w:t xml:space="preserve"> </w:t>
      </w:r>
      <w:r w:rsidR="00E90F55">
        <w:t>that span</w:t>
      </w:r>
      <w:r w:rsidR="0070518F">
        <w:t xml:space="preserve"> </w:t>
      </w:r>
      <w:r w:rsidR="00DF4E8A">
        <w:t>beyond</w:t>
      </w:r>
      <w:r w:rsidR="0070518F">
        <w:t xml:space="preserve"> health</w:t>
      </w:r>
      <w:r w:rsidR="00FB2626">
        <w:t>.  Vi</w:t>
      </w:r>
      <w:r w:rsidR="002A480F">
        <w:t xml:space="preserve">tal conditions are </w:t>
      </w:r>
      <w:r w:rsidR="00537C6E">
        <w:t>“</w:t>
      </w:r>
      <w:r w:rsidR="00537C6E" w:rsidRPr="00537C6E">
        <w:t>properties of places and institutions that we all need all the time </w:t>
      </w:r>
      <w:r w:rsidR="00537C6E" w:rsidRPr="00E118B3">
        <w:t>to reach our full potential</w:t>
      </w:r>
      <w:r w:rsidR="00537C6E" w:rsidRPr="00537C6E">
        <w:t>, like food, humane housing, access to meaningful work and wealth and a sense of belonging</w:t>
      </w:r>
      <w:r w:rsidR="00934E3D">
        <w:t>.</w:t>
      </w:r>
      <w:r w:rsidR="004947F1">
        <w:t>”</w:t>
      </w:r>
      <w:r w:rsidR="00D47C7A">
        <w:rPr>
          <w:rStyle w:val="EndnoteReference"/>
        </w:rPr>
        <w:endnoteReference w:id="3"/>
      </w:r>
      <w:r w:rsidR="00586DAA">
        <w:t xml:space="preserve"> </w:t>
      </w:r>
      <w:r w:rsidR="000A7B93">
        <w:t>The vital conditions framework figures</w:t>
      </w:r>
      <w:r w:rsidR="004842A3" w:rsidRPr="004842A3">
        <w:t xml:space="preserve"> prominently in </w:t>
      </w:r>
      <w:r w:rsidR="006838C7" w:rsidRPr="004842A3">
        <w:t>the Office of the Surgeon General</w:t>
      </w:r>
      <w:r w:rsidR="0009711D" w:rsidRPr="004842A3">
        <w:t xml:space="preserve">’s 2021 </w:t>
      </w:r>
      <w:r w:rsidR="002C2A30" w:rsidRPr="004842A3">
        <w:t xml:space="preserve">peer-reviewed </w:t>
      </w:r>
      <w:r w:rsidR="0009711D" w:rsidRPr="004842A3">
        <w:t>report</w:t>
      </w:r>
      <w:r w:rsidR="009F0F10">
        <w:t xml:space="preserve"> on </w:t>
      </w:r>
      <w:r w:rsidR="00E003A0">
        <w:t xml:space="preserve">how to create </w:t>
      </w:r>
      <w:r w:rsidR="009F0F10" w:rsidRPr="008D04B7">
        <w:rPr>
          <w:i/>
          <w:iCs/>
        </w:rPr>
        <w:t>Community Health and Economic Prosperity</w:t>
      </w:r>
      <w:r w:rsidR="00FF7B08">
        <w:rPr>
          <w:i/>
          <w:iCs/>
        </w:rPr>
        <w:t>;</w:t>
      </w:r>
      <w:r w:rsidR="006521D1">
        <w:rPr>
          <w:rStyle w:val="EndnoteReference"/>
          <w:i/>
          <w:iCs/>
        </w:rPr>
        <w:endnoteReference w:id="4"/>
      </w:r>
      <w:r w:rsidR="00D63D8F">
        <w:t xml:space="preserve"> is </w:t>
      </w:r>
      <w:r w:rsidR="00B170DD">
        <w:t>featured</w:t>
      </w:r>
      <w:r w:rsidR="00F960BF" w:rsidRPr="0049715D">
        <w:t xml:space="preserve"> by other federal and national entities such as </w:t>
      </w:r>
      <w:r w:rsidR="00246B62" w:rsidRPr="0049715D">
        <w:t>the Office of Disease Prevention and Health Promotion</w:t>
      </w:r>
      <w:r w:rsidR="006521D1">
        <w:rPr>
          <w:rStyle w:val="EndnoteReference"/>
        </w:rPr>
        <w:endnoteReference w:id="5"/>
      </w:r>
      <w:r w:rsidR="00B50E84">
        <w:t xml:space="preserve"> and</w:t>
      </w:r>
      <w:r w:rsidR="0034577A" w:rsidRPr="00711D5B">
        <w:rPr>
          <w:b/>
          <w:bCs/>
        </w:rPr>
        <w:t xml:space="preserve"> </w:t>
      </w:r>
      <w:r w:rsidR="007752DC">
        <w:t>the National Civic League</w:t>
      </w:r>
      <w:r w:rsidR="004947F1">
        <w:t>;</w:t>
      </w:r>
      <w:r w:rsidR="00CF20F9">
        <w:rPr>
          <w:rStyle w:val="EndnoteReference"/>
        </w:rPr>
        <w:endnoteReference w:id="6"/>
      </w:r>
      <w:r w:rsidR="007752DC">
        <w:t xml:space="preserve"> </w:t>
      </w:r>
      <w:r w:rsidR="00DF6C36">
        <w:t>and is</w:t>
      </w:r>
      <w:r w:rsidR="00A5615A">
        <w:t xml:space="preserve"> </w:t>
      </w:r>
      <w:r w:rsidR="00684BEC">
        <w:t xml:space="preserve">referenced </w:t>
      </w:r>
      <w:r w:rsidR="0056167B">
        <w:t xml:space="preserve">by experts </w:t>
      </w:r>
      <w:r w:rsidR="00A5615A">
        <w:t>as</w:t>
      </w:r>
      <w:r w:rsidR="00DF6C36">
        <w:t xml:space="preserve"> part of </w:t>
      </w:r>
      <w:r w:rsidR="00A5615A">
        <w:t xml:space="preserve">the future of </w:t>
      </w:r>
      <w:r w:rsidR="00132513">
        <w:t xml:space="preserve">the </w:t>
      </w:r>
      <w:r w:rsidR="00A5615A">
        <w:t>public</w:t>
      </w:r>
      <w:r w:rsidR="00132513">
        <w:t>’s</w:t>
      </w:r>
      <w:r w:rsidR="00A5615A">
        <w:t xml:space="preserve"> health</w:t>
      </w:r>
      <w:r w:rsidR="004947F1">
        <w:t>.</w:t>
      </w:r>
      <w:r w:rsidR="00CF20F9">
        <w:rPr>
          <w:rStyle w:val="EndnoteReference"/>
        </w:rPr>
        <w:endnoteReference w:id="7"/>
      </w:r>
      <w:r w:rsidR="00A5615A">
        <w:t xml:space="preserve"> </w:t>
      </w:r>
      <w:r w:rsidR="00F16E38">
        <w:t>A</w:t>
      </w:r>
      <w:r w:rsidR="005257B8">
        <w:t xml:space="preserve"> </w:t>
      </w:r>
      <w:r w:rsidR="00F16784">
        <w:t>significant</w:t>
      </w:r>
      <w:r w:rsidR="005257B8">
        <w:t xml:space="preserve"> body of</w:t>
      </w:r>
      <w:r w:rsidR="00F16784">
        <w:t xml:space="preserve"> literature</w:t>
      </w:r>
      <w:r w:rsidR="00630BBD">
        <w:rPr>
          <w:rStyle w:val="EndnoteReference"/>
        </w:rPr>
        <w:endnoteReference w:id="8"/>
      </w:r>
      <w:r w:rsidR="00F16784">
        <w:t xml:space="preserve"> </w:t>
      </w:r>
      <w:r w:rsidR="00F16E38">
        <w:t xml:space="preserve">synthesizes and </w:t>
      </w:r>
      <w:r w:rsidR="001A3A82">
        <w:t>demonstrat</w:t>
      </w:r>
      <w:r w:rsidR="00F16E38">
        <w:t>es</w:t>
      </w:r>
      <w:r w:rsidR="005257B8">
        <w:t xml:space="preserve"> how</w:t>
      </w:r>
      <w:r w:rsidR="003A6EC4">
        <w:t xml:space="preserve"> effective changes can be made </w:t>
      </w:r>
      <w:r w:rsidR="00213D36">
        <w:t>within</w:t>
      </w:r>
      <w:r w:rsidR="003A6EC4">
        <w:t xml:space="preserve"> </w:t>
      </w:r>
      <w:r w:rsidR="00D87C26">
        <w:t xml:space="preserve">and across </w:t>
      </w:r>
      <w:r w:rsidR="00446654">
        <w:t>vital</w:t>
      </w:r>
      <w:r w:rsidR="008208F7">
        <w:t xml:space="preserve"> conditions</w:t>
      </w:r>
      <w:r w:rsidR="00D404B6">
        <w:t>,</w:t>
      </w:r>
      <w:r w:rsidR="003A6EC4">
        <w:t xml:space="preserve"> </w:t>
      </w:r>
      <w:r w:rsidR="00B9175C">
        <w:t xml:space="preserve">listed </w:t>
      </w:r>
      <w:r w:rsidR="00E707A3">
        <w:t>in Table</w:t>
      </w:r>
      <w:r w:rsidR="004947F1">
        <w:t xml:space="preserve"> 1</w:t>
      </w:r>
      <w:r w:rsidR="0079446C">
        <w:t>.</w:t>
      </w:r>
      <w:r w:rsidR="00630BBD">
        <w:rPr>
          <w:rStyle w:val="EndnoteReference"/>
        </w:rPr>
        <w:endnoteReference w:id="9"/>
      </w:r>
      <w:r w:rsidR="00E707A3">
        <w:t xml:space="preserve"> </w:t>
      </w:r>
      <w:r w:rsidR="00024E71">
        <w:t xml:space="preserve"> </w:t>
      </w:r>
    </w:p>
    <w:p w14:paraId="186B1E0F" w14:textId="77777777" w:rsidR="00380B49" w:rsidRDefault="00380B49" w:rsidP="00B40FFD">
      <w:pPr>
        <w:spacing w:after="0"/>
      </w:pPr>
    </w:p>
    <w:p w14:paraId="38C967CF" w14:textId="77777777" w:rsidR="00380B49" w:rsidRDefault="00380B49" w:rsidP="00B40FFD">
      <w:pPr>
        <w:spacing w:after="0"/>
      </w:pPr>
      <w:r>
        <w:t>Table 1</w:t>
      </w:r>
    </w:p>
    <w:p w14:paraId="2BF5EE65" w14:textId="1841CD71" w:rsidR="00E15654" w:rsidRDefault="00380B49" w:rsidP="00B40FFD">
      <w:pPr>
        <w:spacing w:after="0"/>
      </w:pPr>
      <w:r>
        <w:rPr>
          <w:noProof/>
        </w:rPr>
        <w:drawing>
          <wp:inline distT="0" distB="0" distL="0" distR="0" wp14:anchorId="5A51CD4A" wp14:editId="6D051CC9">
            <wp:extent cx="1731726" cy="1708785"/>
            <wp:effectExtent l="0" t="0" r="1905" b="5715"/>
            <wp:docPr id="1" name="Picture 1" descr="Seven Vital Conditi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ven Vital Condition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78" cy="17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F7D">
        <w:t xml:space="preserve"> </w:t>
      </w:r>
    </w:p>
    <w:p w14:paraId="42847CF3" w14:textId="77777777" w:rsidR="00E15654" w:rsidRDefault="00E15654" w:rsidP="00B40FFD">
      <w:pPr>
        <w:spacing w:after="0"/>
      </w:pPr>
    </w:p>
    <w:p w14:paraId="59A8C734" w14:textId="6F25F14D" w:rsidR="000C7DF6" w:rsidRPr="00706272" w:rsidRDefault="00425898" w:rsidP="00B40FFD">
      <w:pPr>
        <w:spacing w:after="0"/>
        <w:rPr>
          <w:rFonts w:cstheme="minorHAnsi"/>
        </w:rPr>
      </w:pPr>
      <w:r>
        <w:rPr>
          <w:rFonts w:cstheme="minorHAnsi"/>
        </w:rPr>
        <w:t>All of the vital conditions map to the levers cited by the 2017 National Academies of Sciences,</w:t>
      </w:r>
      <w:r w:rsidR="00B232CC">
        <w:rPr>
          <w:rFonts w:cstheme="minorHAnsi"/>
        </w:rPr>
        <w:t xml:space="preserve"> </w:t>
      </w:r>
      <w:r>
        <w:rPr>
          <w:rFonts w:cstheme="minorHAnsi"/>
        </w:rPr>
        <w:t>Engineering, and Medicine</w:t>
      </w:r>
      <w:r w:rsidR="009F2A4E">
        <w:rPr>
          <w:rStyle w:val="EndnoteReference"/>
          <w:rFonts w:cstheme="minorHAnsi"/>
        </w:rPr>
        <w:endnoteReference w:id="10"/>
      </w:r>
      <w:r w:rsidR="00E27E73">
        <w:rPr>
          <w:rFonts w:cstheme="minorHAnsi"/>
        </w:rPr>
        <w:t xml:space="preserve"> as</w:t>
      </w:r>
      <w:r>
        <w:rPr>
          <w:rFonts w:cstheme="minorHAnsi"/>
        </w:rPr>
        <w:t xml:space="preserve"> areas where systems change should focus</w:t>
      </w:r>
      <w:r w:rsidR="0045479B">
        <w:rPr>
          <w:rFonts w:cstheme="minorHAnsi"/>
        </w:rPr>
        <w:t xml:space="preserve">, which include </w:t>
      </w:r>
      <w:r w:rsidR="0045479B">
        <w:t>education, employment, transportation, social environment, public safety, physical environment, housing, wealth, and health systems.</w:t>
      </w:r>
      <w:r w:rsidR="00AE78A8">
        <w:t xml:space="preserve">  </w:t>
      </w:r>
      <w:r w:rsidR="006570E3" w:rsidRPr="00B5157A">
        <w:t>A 2021 Rand Health Care Review</w:t>
      </w:r>
      <w:r w:rsidR="006570E3">
        <w:rPr>
          <w:rStyle w:val="EndnoteReference"/>
        </w:rPr>
        <w:endnoteReference w:id="11"/>
      </w:r>
      <w:r w:rsidR="006570E3" w:rsidRPr="00B5157A">
        <w:t xml:space="preserve"> for the U.S. Department of Health and Human Services found in its synthesis that </w:t>
      </w:r>
      <w:r w:rsidR="006570E3" w:rsidRPr="00B5157A">
        <w:rPr>
          <w:rFonts w:cstheme="minorHAnsi"/>
        </w:rPr>
        <w:t>interventions promoting social determinants of health (vital conditions) resulted in positive health outcomes across multiple categories.</w:t>
      </w:r>
      <w:r w:rsidR="006570E3">
        <w:rPr>
          <w:rFonts w:cstheme="minorHAnsi"/>
        </w:rPr>
        <w:t xml:space="preserve">  </w:t>
      </w:r>
      <w:r w:rsidR="00B5157A" w:rsidRPr="00C4107F">
        <w:rPr>
          <w:rFonts w:cstheme="minorHAnsi"/>
        </w:rPr>
        <w:t>A 2020 Milbank Review article</w:t>
      </w:r>
      <w:r w:rsidR="009F2A4E">
        <w:rPr>
          <w:rStyle w:val="EndnoteReference"/>
          <w:rFonts w:cstheme="minorHAnsi"/>
        </w:rPr>
        <w:endnoteReference w:id="12"/>
      </w:r>
      <w:r w:rsidR="00B5157A" w:rsidRPr="00C4107F">
        <w:rPr>
          <w:rFonts w:cstheme="minorHAnsi"/>
        </w:rPr>
        <w:t xml:space="preserve"> points to “Belonging and Civic Muscle” as </w:t>
      </w:r>
      <w:r w:rsidR="004A5B7D" w:rsidRPr="00C4107F">
        <w:rPr>
          <w:rFonts w:cstheme="minorHAnsi"/>
        </w:rPr>
        <w:t xml:space="preserve">among the </w:t>
      </w:r>
      <w:r w:rsidR="002D4C8A">
        <w:rPr>
          <w:rFonts w:cstheme="minorHAnsi"/>
        </w:rPr>
        <w:t>most</w:t>
      </w:r>
      <w:r w:rsidR="00B5157A" w:rsidRPr="00C4107F">
        <w:rPr>
          <w:rFonts w:cstheme="minorHAnsi"/>
        </w:rPr>
        <w:t xml:space="preserve"> powerful levers for successful intervention across diverse jurisdictions</w:t>
      </w:r>
      <w:r w:rsidR="004A5B7D" w:rsidRPr="00C4107F">
        <w:rPr>
          <w:rFonts w:cstheme="minorHAnsi"/>
        </w:rPr>
        <w:t xml:space="preserve">, making our </w:t>
      </w:r>
      <w:r w:rsidR="004B4404" w:rsidRPr="00C4107F">
        <w:rPr>
          <w:rFonts w:cstheme="minorHAnsi"/>
        </w:rPr>
        <w:t xml:space="preserve">proposal’s methods of engaging our communities essential to its success. </w:t>
      </w:r>
      <w:r w:rsidR="000C7DF6">
        <w:t xml:space="preserve">We feel confident that this </w:t>
      </w:r>
      <w:r w:rsidR="00361CD7">
        <w:t>framework</w:t>
      </w:r>
      <w:r w:rsidR="000C7DF6">
        <w:t xml:space="preserve"> gives our proposal </w:t>
      </w:r>
      <w:r w:rsidR="009A6674">
        <w:t>a strong basis</w:t>
      </w:r>
      <w:r w:rsidR="000C7DF6">
        <w:t xml:space="preserve"> for </w:t>
      </w:r>
      <w:r w:rsidR="009A6674">
        <w:t xml:space="preserve">building </w:t>
      </w:r>
      <w:proofErr w:type="gramStart"/>
      <w:r w:rsidR="009A6674">
        <w:t>well-being</w:t>
      </w:r>
      <w:proofErr w:type="gramEnd"/>
      <w:r w:rsidR="009A6674">
        <w:t xml:space="preserve"> and equity in</w:t>
      </w:r>
      <w:r w:rsidR="00BE41F1">
        <w:t xml:space="preserve"> our</w:t>
      </w:r>
      <w:r w:rsidR="009A6674">
        <w:t xml:space="preserve"> community</w:t>
      </w:r>
      <w:r w:rsidR="000C7DF6">
        <w:t>.</w:t>
      </w:r>
    </w:p>
    <w:p w14:paraId="69C6E7B4" w14:textId="45A966F8" w:rsidR="007E7103" w:rsidRPr="007E7103" w:rsidRDefault="00BD3F10" w:rsidP="00B40FFD">
      <w:pPr>
        <w:spacing w:after="0"/>
        <w:rPr>
          <w:u w:val="single"/>
        </w:rPr>
      </w:pPr>
      <w:r>
        <w:rPr>
          <w:u w:val="single"/>
        </w:rPr>
        <w:lastRenderedPageBreak/>
        <w:t>Organization</w:t>
      </w:r>
      <w:r w:rsidR="009B28E6">
        <w:rPr>
          <w:u w:val="single"/>
        </w:rPr>
        <w:t xml:space="preserve">ally </w:t>
      </w:r>
      <w:r>
        <w:rPr>
          <w:u w:val="single"/>
        </w:rPr>
        <w:t>Supported through</w:t>
      </w:r>
      <w:r w:rsidR="006C7D82">
        <w:rPr>
          <w:u w:val="single"/>
        </w:rPr>
        <w:t xml:space="preserve"> a</w:t>
      </w:r>
      <w:r w:rsidR="00E46117">
        <w:rPr>
          <w:u w:val="single"/>
        </w:rPr>
        <w:t xml:space="preserve"> Vital Conditions</w:t>
      </w:r>
      <w:r w:rsidR="00D022FE">
        <w:rPr>
          <w:u w:val="single"/>
        </w:rPr>
        <w:t>-Promoting</w:t>
      </w:r>
      <w:r w:rsidR="006C7D82">
        <w:rPr>
          <w:u w:val="single"/>
        </w:rPr>
        <w:t xml:space="preserve"> Network </w:t>
      </w:r>
    </w:p>
    <w:p w14:paraId="6815DEB0" w14:textId="77777777" w:rsidR="002C3B72" w:rsidRDefault="002C3B72" w:rsidP="00B40FFD">
      <w:pPr>
        <w:spacing w:after="0"/>
      </w:pPr>
    </w:p>
    <w:p w14:paraId="5DC1B63A" w14:textId="650B9875" w:rsidR="001A0B05" w:rsidRDefault="00F01548" w:rsidP="00B40FFD">
      <w:pPr>
        <w:spacing w:after="0"/>
      </w:pPr>
      <w:r>
        <w:t>Research</w:t>
      </w:r>
      <w:r w:rsidR="00916E71">
        <w:t xml:space="preserve"> shows </w:t>
      </w:r>
      <w:r>
        <w:t>that</w:t>
      </w:r>
      <w:r w:rsidR="002C3B72">
        <w:t xml:space="preserve"> </w:t>
      </w:r>
      <w:r w:rsidR="00594A4E">
        <w:t>collaborati</w:t>
      </w:r>
      <w:r w:rsidR="006F79E5">
        <w:t>ng with others</w:t>
      </w:r>
      <w:r w:rsidR="00594A4E">
        <w:t xml:space="preserve"> and receiving technical assistance</w:t>
      </w:r>
      <w:r w:rsidR="0033211B">
        <w:t xml:space="preserve"> </w:t>
      </w:r>
      <w:r w:rsidR="00060D0A">
        <w:t>improve</w:t>
      </w:r>
      <w:r w:rsidR="00F66301">
        <w:t>s</w:t>
      </w:r>
      <w:r w:rsidR="00060D0A">
        <w:t xml:space="preserve"> </w:t>
      </w:r>
      <w:r w:rsidR="0033211B">
        <w:t>system and organizational capacities</w:t>
      </w:r>
      <w:r w:rsidR="00470BAD">
        <w:t>.</w:t>
      </w:r>
      <w:r w:rsidR="0033211B">
        <w:rPr>
          <w:rStyle w:val="EndnoteReference"/>
        </w:rPr>
        <w:endnoteReference w:id="13"/>
      </w:r>
      <w:r w:rsidR="006F79E5">
        <w:t xml:space="preserve"> </w:t>
      </w:r>
      <w:r w:rsidR="00594A4E">
        <w:t xml:space="preserve"> </w:t>
      </w:r>
      <w:r w:rsidR="00D75E87">
        <w:t xml:space="preserve">As a member of the </w:t>
      </w:r>
      <w:r w:rsidR="00391310">
        <w:t>Healthy Communities Delaware</w:t>
      </w:r>
      <w:r w:rsidR="005F45F6">
        <w:t xml:space="preserve"> community </w:t>
      </w:r>
      <w:r w:rsidR="00391310">
        <w:t>network</w:t>
      </w:r>
      <w:r w:rsidR="0079446C">
        <w:t>,</w:t>
      </w:r>
      <w:r w:rsidR="00B131AC">
        <w:rPr>
          <w:rStyle w:val="EndnoteReference"/>
        </w:rPr>
        <w:endnoteReference w:id="14"/>
      </w:r>
      <w:r w:rsidR="00D75E87">
        <w:t xml:space="preserve">we </w:t>
      </w:r>
      <w:r w:rsidR="0085127F">
        <w:t xml:space="preserve">contribute and </w:t>
      </w:r>
      <w:r w:rsidR="006818D6">
        <w:t>exchange</w:t>
      </w:r>
      <w:r w:rsidR="000B2D51">
        <w:t xml:space="preserve"> equity-creating</w:t>
      </w:r>
      <w:r w:rsidR="006818D6">
        <w:t xml:space="preserve"> </w:t>
      </w:r>
      <w:r w:rsidR="002D36F4">
        <w:t>strategies</w:t>
      </w:r>
      <w:r w:rsidR="00260FD7">
        <w:t xml:space="preserve"> and practice knowledge</w:t>
      </w:r>
      <w:r w:rsidR="002D36F4">
        <w:t xml:space="preserve"> </w:t>
      </w:r>
      <w:r w:rsidR="008B25BD">
        <w:t>with other community organizations</w:t>
      </w:r>
      <w:r w:rsidR="00260FD7">
        <w:t xml:space="preserve"> throughout Delaware that are also embarking on changing the vital conditions in their neighborhoods</w:t>
      </w:r>
      <w:r w:rsidR="00CD12BC">
        <w:t xml:space="preserve">.  We also </w:t>
      </w:r>
      <w:r w:rsidR="00B9460B">
        <w:t>access</w:t>
      </w:r>
      <w:r w:rsidR="00CD12BC">
        <w:t xml:space="preserve"> technical assistance</w:t>
      </w:r>
      <w:r w:rsidR="00C229E2">
        <w:t xml:space="preserve">, </w:t>
      </w:r>
      <w:r w:rsidR="00B9460B">
        <w:t>training</w:t>
      </w:r>
      <w:r w:rsidR="00C229E2">
        <w:t>, and Communities of Practice through</w:t>
      </w:r>
      <w:r w:rsidR="00260FD7">
        <w:t xml:space="preserve"> Healthy Communities Delaware</w:t>
      </w:r>
      <w:r w:rsidR="00CD12BC">
        <w:t xml:space="preserve"> that </w:t>
      </w:r>
      <w:r w:rsidR="003E05E9">
        <w:t xml:space="preserve">add to our </w:t>
      </w:r>
      <w:r w:rsidR="004B6DC7">
        <w:t>organization</w:t>
      </w:r>
      <w:r w:rsidR="003E05E9">
        <w:t xml:space="preserve">’s </w:t>
      </w:r>
      <w:r w:rsidR="004B6DC7">
        <w:t xml:space="preserve">connections and </w:t>
      </w:r>
      <w:r w:rsidR="003E05E9">
        <w:t>ability</w:t>
      </w:r>
      <w:r w:rsidR="004B6DC7">
        <w:t xml:space="preserve"> to </w:t>
      </w:r>
      <w:r w:rsidR="00560261">
        <w:t>implement</w:t>
      </w:r>
      <w:r w:rsidR="004B6DC7">
        <w:t xml:space="preserve"> long-term work towards </w:t>
      </w:r>
      <w:r w:rsidR="00560261">
        <w:t xml:space="preserve">community </w:t>
      </w:r>
      <w:r w:rsidR="004B6DC7">
        <w:t xml:space="preserve">equity. </w:t>
      </w:r>
      <w:r w:rsidR="007103D2">
        <w:t xml:space="preserve">Across the HCD network, partners are </w:t>
      </w:r>
      <w:r w:rsidR="005C0BFF">
        <w:t xml:space="preserve">succeeding </w:t>
      </w:r>
      <w:r w:rsidR="00065EF5">
        <w:t xml:space="preserve">in </w:t>
      </w:r>
      <w:r w:rsidR="00002698">
        <w:t xml:space="preserve">expanding affordable housing units, increasing community safety </w:t>
      </w:r>
      <w:r w:rsidR="003D60C9">
        <w:t xml:space="preserve">with neighborhood revitalization initiatives, </w:t>
      </w:r>
      <w:r w:rsidR="009C7D17">
        <w:t xml:space="preserve">building resident leadership, </w:t>
      </w:r>
      <w:r w:rsidR="00B25ED7">
        <w:t>and building family stability with resource navigation.</w:t>
      </w:r>
      <w:r w:rsidR="00294973">
        <w:rPr>
          <w:rStyle w:val="EndnoteReference"/>
        </w:rPr>
        <w:endnoteReference w:id="15"/>
      </w:r>
    </w:p>
    <w:p w14:paraId="5023238C" w14:textId="77777777" w:rsidR="007E7103" w:rsidRDefault="007E7103" w:rsidP="00B40FFD">
      <w:pPr>
        <w:spacing w:after="0"/>
      </w:pPr>
    </w:p>
    <w:p w14:paraId="766277AB" w14:textId="57F12363" w:rsidR="007E7103" w:rsidRDefault="00E25BA5" w:rsidP="00B40FFD">
      <w:pPr>
        <w:spacing w:after="0"/>
        <w:rPr>
          <w:u w:val="single"/>
        </w:rPr>
      </w:pPr>
      <w:r>
        <w:rPr>
          <w:u w:val="single"/>
        </w:rPr>
        <w:t xml:space="preserve">Vital Conditions Data </w:t>
      </w:r>
      <w:r w:rsidR="00D831E5">
        <w:rPr>
          <w:u w:val="single"/>
        </w:rPr>
        <w:t>Informs our Approach</w:t>
      </w:r>
    </w:p>
    <w:p w14:paraId="6BFF212A" w14:textId="77777777" w:rsidR="00E25BA5" w:rsidRDefault="00E25BA5" w:rsidP="00B40FFD">
      <w:pPr>
        <w:spacing w:after="0"/>
        <w:rPr>
          <w:u w:val="single"/>
        </w:rPr>
      </w:pPr>
    </w:p>
    <w:p w14:paraId="05C5B0BF" w14:textId="716B1CB2" w:rsidR="00C66C78" w:rsidRDefault="00E25BA5" w:rsidP="005B75EF">
      <w:r>
        <w:t xml:space="preserve">Jurisdictions around the country are using the vital conditions framework to not only </w:t>
      </w:r>
      <w:r w:rsidR="00E049FB">
        <w:t>structure</w:t>
      </w:r>
      <w:r>
        <w:t xml:space="preserve"> what to work on, but also how to measure </w:t>
      </w:r>
      <w:r w:rsidR="005179B5">
        <w:t>outcomes over time</w:t>
      </w:r>
      <w:r w:rsidR="0079446C">
        <w:t>.</w:t>
      </w:r>
      <w:r w:rsidR="004400F6">
        <w:rPr>
          <w:rStyle w:val="EndnoteReference"/>
        </w:rPr>
        <w:endnoteReference w:id="16"/>
      </w:r>
      <w:r>
        <w:t xml:space="preserve"> </w:t>
      </w:r>
      <w:r w:rsidR="00EB4F25">
        <w:t xml:space="preserve"> Through a data portal offered by</w:t>
      </w:r>
      <w:r w:rsidR="00275A78">
        <w:t xml:space="preserve"> Healthy Communities Delaware</w:t>
      </w:r>
      <w:r w:rsidR="00EB4F25">
        <w:t xml:space="preserve"> and generated by t</w:t>
      </w:r>
      <w:r w:rsidR="00275A78">
        <w:t>he Institute for People, Place, and Possibility</w:t>
      </w:r>
      <w:r w:rsidR="00EB4F25">
        <w:t>,</w:t>
      </w:r>
      <w:r w:rsidR="00275A78">
        <w:t xml:space="preserve"> </w:t>
      </w:r>
      <w:r w:rsidR="00EB4F25">
        <w:t>we are able to</w:t>
      </w:r>
      <w:r w:rsidR="00275A78">
        <w:t xml:space="preserve"> </w:t>
      </w:r>
      <w:r w:rsidR="00404B49">
        <w:t>access</w:t>
      </w:r>
      <w:r w:rsidR="00275A78">
        <w:t xml:space="preserve"> our community’s data </w:t>
      </w:r>
      <w:r w:rsidR="00C05837">
        <w:t xml:space="preserve">organized </w:t>
      </w:r>
      <w:r w:rsidR="00275A78">
        <w:t>by each of the vital condition categories</w:t>
      </w:r>
      <w:r w:rsidR="00C66110">
        <w:t>,</w:t>
      </w:r>
      <w:r w:rsidR="002500DD">
        <w:rPr>
          <w:rStyle w:val="EndnoteReference"/>
        </w:rPr>
        <w:endnoteReference w:id="17"/>
      </w:r>
      <w:r w:rsidR="00C66110">
        <w:t xml:space="preserve"> </w:t>
      </w:r>
      <w:r w:rsidR="00EB4F25">
        <w:t>and</w:t>
      </w:r>
      <w:r w:rsidR="00952101">
        <w:t xml:space="preserve"> use it to</w:t>
      </w:r>
      <w:r w:rsidR="00EB4F25">
        <w:t xml:space="preserve"> identify community assets</w:t>
      </w:r>
      <w:r w:rsidR="00952101">
        <w:t xml:space="preserve"> and </w:t>
      </w:r>
      <w:r w:rsidR="00EB4F25">
        <w:t>opportunities for improvement,</w:t>
      </w:r>
      <w:r w:rsidR="00952101">
        <w:t xml:space="preserve"> </w:t>
      </w:r>
      <w:r w:rsidR="00EB4F25">
        <w:t>develop strategic community improvement plans</w:t>
      </w:r>
      <w:r w:rsidR="00952101">
        <w:t>,</w:t>
      </w:r>
      <w:r w:rsidR="00EB4F25">
        <w:t xml:space="preserve"> and track progress towards our goals. </w:t>
      </w:r>
      <w:r w:rsidR="00C66110">
        <w:t xml:space="preserve"> </w:t>
      </w:r>
    </w:p>
    <w:p w14:paraId="4D8D31B4" w14:textId="5182F435" w:rsidR="007E7103" w:rsidRDefault="00CC0ED6" w:rsidP="00B40FFD">
      <w:pPr>
        <w:spacing w:after="0"/>
        <w:rPr>
          <w:u w:val="single"/>
        </w:rPr>
      </w:pPr>
      <w:r>
        <w:rPr>
          <w:u w:val="single"/>
        </w:rPr>
        <w:t xml:space="preserve">Evidence for </w:t>
      </w:r>
      <w:r w:rsidR="00E64AC3">
        <w:rPr>
          <w:u w:val="single"/>
        </w:rPr>
        <w:t xml:space="preserve">Selected </w:t>
      </w:r>
      <w:r w:rsidR="009C5A4D">
        <w:rPr>
          <w:u w:val="single"/>
        </w:rPr>
        <w:t>Proposal Strategies</w:t>
      </w:r>
    </w:p>
    <w:p w14:paraId="0AAF5059" w14:textId="77777777" w:rsidR="00496D8F" w:rsidRDefault="00496D8F" w:rsidP="00B40FFD">
      <w:pPr>
        <w:spacing w:after="0"/>
        <w:rPr>
          <w:u w:val="single"/>
        </w:rPr>
      </w:pPr>
    </w:p>
    <w:p w14:paraId="754151E1" w14:textId="77777777" w:rsidR="00391577" w:rsidRPr="00643F38" w:rsidRDefault="00B0127E" w:rsidP="00113E6C">
      <w:pPr>
        <w:spacing w:after="0"/>
        <w:jc w:val="center"/>
        <w:rPr>
          <w:b/>
          <w:bCs/>
          <w:i/>
          <w:iCs/>
        </w:rPr>
      </w:pPr>
      <w:r w:rsidRPr="00643F38">
        <w:rPr>
          <w:b/>
          <w:bCs/>
          <w:i/>
          <w:iCs/>
        </w:rPr>
        <w:t>*</w:t>
      </w:r>
      <w:r w:rsidR="00DF4082" w:rsidRPr="00643F38">
        <w:rPr>
          <w:b/>
          <w:bCs/>
          <w:i/>
          <w:iCs/>
        </w:rPr>
        <w:t xml:space="preserve">Note to partners: </w:t>
      </w:r>
      <w:r w:rsidR="0034697F" w:rsidRPr="00643F38">
        <w:rPr>
          <w:b/>
          <w:bCs/>
          <w:i/>
          <w:iCs/>
        </w:rPr>
        <w:t xml:space="preserve">As you </w:t>
      </w:r>
      <w:r w:rsidR="00391577" w:rsidRPr="00643F38">
        <w:rPr>
          <w:b/>
          <w:bCs/>
          <w:i/>
          <w:iCs/>
        </w:rPr>
        <w:t>develop your</w:t>
      </w:r>
      <w:r w:rsidR="0034697F" w:rsidRPr="00643F38">
        <w:rPr>
          <w:b/>
          <w:bCs/>
          <w:i/>
          <w:iCs/>
        </w:rPr>
        <w:t xml:space="preserve"> proposal to advance work on vital conditions, keep in mind that including evidence-based strategies will often </w:t>
      </w:r>
      <w:r w:rsidR="00E64AC3" w:rsidRPr="00643F38">
        <w:rPr>
          <w:b/>
          <w:bCs/>
          <w:i/>
          <w:iCs/>
        </w:rPr>
        <w:t>give you</w:t>
      </w:r>
      <w:r w:rsidR="0034697F" w:rsidRPr="00643F38">
        <w:rPr>
          <w:b/>
          <w:bCs/>
          <w:i/>
          <w:iCs/>
        </w:rPr>
        <w:t xml:space="preserve"> a competitive advantage</w:t>
      </w:r>
      <w:r w:rsidR="00391577" w:rsidRPr="00643F38">
        <w:rPr>
          <w:b/>
          <w:bCs/>
          <w:i/>
          <w:iCs/>
        </w:rPr>
        <w:t xml:space="preserve"> with funders</w:t>
      </w:r>
      <w:r w:rsidR="0034697F" w:rsidRPr="00643F38">
        <w:rPr>
          <w:b/>
          <w:bCs/>
          <w:i/>
          <w:iCs/>
        </w:rPr>
        <w:t xml:space="preserve">. </w:t>
      </w:r>
    </w:p>
    <w:p w14:paraId="79188AC0" w14:textId="2FE7A8FE" w:rsidR="00FA791A" w:rsidRPr="00643F38" w:rsidRDefault="00640442" w:rsidP="00FA791A">
      <w:pPr>
        <w:spacing w:after="0"/>
        <w:jc w:val="center"/>
        <w:rPr>
          <w:b/>
          <w:bCs/>
          <w:i/>
          <w:iCs/>
        </w:rPr>
      </w:pPr>
      <w:r w:rsidRPr="00643F38">
        <w:rPr>
          <w:b/>
          <w:bCs/>
          <w:i/>
          <w:iCs/>
        </w:rPr>
        <w:t xml:space="preserve">Healthy Communities Delaware is compiling </w:t>
      </w:r>
      <w:r w:rsidR="003964CA" w:rsidRPr="00643F38">
        <w:rPr>
          <w:b/>
          <w:bCs/>
          <w:i/>
          <w:iCs/>
        </w:rPr>
        <w:t>links</w:t>
      </w:r>
      <w:r w:rsidRPr="00643F38">
        <w:rPr>
          <w:b/>
          <w:bCs/>
          <w:i/>
          <w:iCs/>
        </w:rPr>
        <w:t>, organized by vital conditions, that we hope will make it easier to locate</w:t>
      </w:r>
      <w:r w:rsidR="008B4D0B" w:rsidRPr="00643F38">
        <w:rPr>
          <w:b/>
          <w:bCs/>
          <w:i/>
          <w:iCs/>
        </w:rPr>
        <w:t xml:space="preserve"> and reference</w:t>
      </w:r>
      <w:r w:rsidRPr="00643F38">
        <w:rPr>
          <w:b/>
          <w:bCs/>
          <w:i/>
          <w:iCs/>
        </w:rPr>
        <w:t xml:space="preserve"> tested strategies and tools to include in your proposal</w:t>
      </w:r>
      <w:proofErr w:type="gramStart"/>
      <w:r w:rsidRPr="00643F38">
        <w:rPr>
          <w:b/>
          <w:bCs/>
          <w:i/>
          <w:iCs/>
        </w:rPr>
        <w:t>.</w:t>
      </w:r>
      <w:r w:rsidR="008B4D0B" w:rsidRPr="00643F38">
        <w:rPr>
          <w:b/>
          <w:bCs/>
          <w:i/>
          <w:iCs/>
        </w:rPr>
        <w:t>*</w:t>
      </w:r>
      <w:proofErr w:type="gramEnd"/>
    </w:p>
    <w:p w14:paraId="2228CA1A" w14:textId="77777777" w:rsidR="00092F7B" w:rsidRPr="00643F38" w:rsidRDefault="00092F7B" w:rsidP="00FA791A">
      <w:pPr>
        <w:spacing w:after="0"/>
        <w:jc w:val="center"/>
        <w:rPr>
          <w:b/>
          <w:bCs/>
          <w:i/>
          <w:iCs/>
        </w:rPr>
      </w:pPr>
    </w:p>
    <w:p w14:paraId="110626D3" w14:textId="4997E39D" w:rsidR="00092F7B" w:rsidRPr="00643F38" w:rsidRDefault="001448DD" w:rsidP="00FA791A">
      <w:pPr>
        <w:spacing w:after="0"/>
        <w:jc w:val="center"/>
        <w:rPr>
          <w:b/>
          <w:bCs/>
          <w:i/>
          <w:iCs/>
        </w:rPr>
      </w:pPr>
      <w:r w:rsidRPr="00643F38">
        <w:rPr>
          <w:b/>
          <w:bCs/>
          <w:i/>
          <w:iCs/>
        </w:rPr>
        <w:t>*</w:t>
      </w:r>
      <w:r w:rsidR="00092F7B" w:rsidRPr="00643F38">
        <w:rPr>
          <w:b/>
          <w:bCs/>
          <w:i/>
          <w:iCs/>
        </w:rPr>
        <w:t xml:space="preserve">Endnotes </w:t>
      </w:r>
      <w:r w:rsidR="00AB5ADE">
        <w:rPr>
          <w:b/>
          <w:bCs/>
          <w:i/>
          <w:iCs/>
        </w:rPr>
        <w:t>will</w:t>
      </w:r>
      <w:r w:rsidR="00092F7B" w:rsidRPr="00643F38">
        <w:rPr>
          <w:b/>
          <w:bCs/>
          <w:i/>
          <w:iCs/>
        </w:rPr>
        <w:t xml:space="preserve"> need to adhere to whatever style is prescribed in </w:t>
      </w:r>
      <w:r w:rsidR="00AB5ADE">
        <w:rPr>
          <w:b/>
          <w:bCs/>
          <w:i/>
          <w:iCs/>
        </w:rPr>
        <w:t>your</w:t>
      </w:r>
      <w:r w:rsidR="00092F7B" w:rsidRPr="00643F38">
        <w:rPr>
          <w:b/>
          <w:bCs/>
          <w:i/>
          <w:iCs/>
        </w:rPr>
        <w:t xml:space="preserve"> funding application guidance</w:t>
      </w:r>
      <w:proofErr w:type="gramStart"/>
      <w:r w:rsidR="00092F7B" w:rsidRPr="00643F38">
        <w:rPr>
          <w:b/>
          <w:bCs/>
          <w:i/>
          <w:iCs/>
        </w:rPr>
        <w:t>.</w:t>
      </w:r>
      <w:r w:rsidRPr="00643F38">
        <w:rPr>
          <w:b/>
          <w:bCs/>
          <w:i/>
          <w:iCs/>
        </w:rPr>
        <w:t>*</w:t>
      </w:r>
      <w:proofErr w:type="gramEnd"/>
    </w:p>
    <w:sectPr w:rsidR="00092F7B" w:rsidRPr="00643F38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7524C" w14:textId="77777777" w:rsidR="00570FF9" w:rsidRDefault="00570FF9" w:rsidP="00006FD4">
      <w:pPr>
        <w:spacing w:after="0" w:line="240" w:lineRule="auto"/>
      </w:pPr>
      <w:r>
        <w:separator/>
      </w:r>
    </w:p>
  </w:endnote>
  <w:endnote w:type="continuationSeparator" w:id="0">
    <w:p w14:paraId="2A382FAC" w14:textId="77777777" w:rsidR="00570FF9" w:rsidRDefault="00570FF9" w:rsidP="00006FD4">
      <w:pPr>
        <w:spacing w:after="0" w:line="240" w:lineRule="auto"/>
      </w:pPr>
      <w:r>
        <w:continuationSeparator/>
      </w:r>
    </w:p>
  </w:endnote>
  <w:endnote w:id="1">
    <w:p w14:paraId="1398BE34" w14:textId="4F539A3D" w:rsidR="0094203B" w:rsidRPr="0072001A" w:rsidRDefault="0094203B" w:rsidP="009E5B13">
      <w:pPr>
        <w:pStyle w:val="EndnoteText"/>
        <w:spacing w:after="240"/>
        <w:rPr>
          <w:rFonts w:cstheme="minorHAnsi"/>
          <w:sz w:val="16"/>
          <w:szCs w:val="16"/>
        </w:rPr>
      </w:pPr>
      <w:r w:rsidRPr="0072001A">
        <w:rPr>
          <w:rStyle w:val="EndnoteReference"/>
          <w:rFonts w:cstheme="minorHAnsi"/>
          <w:sz w:val="16"/>
          <w:szCs w:val="16"/>
        </w:rPr>
        <w:endnoteRef/>
      </w:r>
      <w:r w:rsidRPr="0072001A">
        <w:rPr>
          <w:rFonts w:cstheme="minorHAnsi"/>
          <w:sz w:val="16"/>
          <w:szCs w:val="16"/>
        </w:rPr>
        <w:t xml:space="preserve"> </w:t>
      </w:r>
      <w:proofErr w:type="spellStart"/>
      <w:r w:rsidRPr="0072001A">
        <w:rPr>
          <w:rStyle w:val="cf01"/>
          <w:rFonts w:asciiTheme="minorHAnsi" w:hAnsiTheme="minorHAnsi" w:cstheme="minorHAnsi"/>
          <w:sz w:val="16"/>
          <w:szCs w:val="16"/>
        </w:rPr>
        <w:t>ReThink</w:t>
      </w:r>
      <w:proofErr w:type="spellEnd"/>
      <w:r w:rsidRPr="0072001A">
        <w:rPr>
          <w:rStyle w:val="cf01"/>
          <w:rFonts w:asciiTheme="minorHAnsi" w:hAnsiTheme="minorHAnsi" w:cstheme="minorHAnsi"/>
          <w:sz w:val="16"/>
          <w:szCs w:val="16"/>
        </w:rPr>
        <w:t xml:space="preserve"> Health. (2017). Negotiating a well-being portfolio. Retrieved from </w:t>
      </w:r>
      <w:r w:rsidR="00DD4C34" w:rsidRPr="0072001A">
        <w:rPr>
          <w:rStyle w:val="cf01"/>
          <w:rFonts w:asciiTheme="minorHAnsi" w:hAnsiTheme="minorHAnsi" w:cstheme="minorHAnsi"/>
          <w:sz w:val="16"/>
          <w:szCs w:val="16"/>
        </w:rPr>
        <w:t>https://www.rethinkhealth.org/wpcontent/uploads/2017/07/Well-Being-Map.pdf,</w:t>
      </w:r>
      <w:r w:rsidRPr="0072001A">
        <w:rPr>
          <w:rStyle w:val="cf01"/>
          <w:rFonts w:asciiTheme="minorHAnsi" w:hAnsiTheme="minorHAnsi" w:cstheme="minorHAnsi"/>
          <w:sz w:val="16"/>
          <w:szCs w:val="16"/>
        </w:rPr>
        <w:t xml:space="preserve"> and Well Being In the Nation Network. (</w:t>
      </w:r>
      <w:proofErr w:type="spellStart"/>
      <w:proofErr w:type="gramStart"/>
      <w:r w:rsidRPr="0072001A">
        <w:rPr>
          <w:rStyle w:val="cf01"/>
          <w:rFonts w:asciiTheme="minorHAnsi" w:hAnsiTheme="minorHAnsi" w:cstheme="minorHAnsi"/>
          <w:sz w:val="16"/>
          <w:szCs w:val="16"/>
        </w:rPr>
        <w:t>n</w:t>
      </w:r>
      <w:proofErr w:type="gramEnd"/>
      <w:r w:rsidRPr="0072001A">
        <w:rPr>
          <w:rStyle w:val="cf01"/>
          <w:rFonts w:asciiTheme="minorHAnsi" w:hAnsiTheme="minorHAnsi" w:cstheme="minorHAnsi"/>
          <w:sz w:val="16"/>
          <w:szCs w:val="16"/>
        </w:rPr>
        <w:t>.d.</w:t>
      </w:r>
      <w:proofErr w:type="spellEnd"/>
      <w:r w:rsidRPr="0072001A">
        <w:rPr>
          <w:rStyle w:val="cf01"/>
          <w:rFonts w:asciiTheme="minorHAnsi" w:hAnsiTheme="minorHAnsi" w:cstheme="minorHAnsi"/>
          <w:sz w:val="16"/>
          <w:szCs w:val="16"/>
        </w:rPr>
        <w:t>). Vital conditions. Retrieved from https://winnetwork.org/vital-conditions</w:t>
      </w:r>
      <w:r w:rsidR="006521D1" w:rsidRPr="0072001A">
        <w:rPr>
          <w:rStyle w:val="cf01"/>
          <w:rFonts w:asciiTheme="minorHAnsi" w:hAnsiTheme="minorHAnsi" w:cstheme="minorHAnsi"/>
          <w:sz w:val="16"/>
          <w:szCs w:val="16"/>
        </w:rPr>
        <w:t>.</w:t>
      </w:r>
    </w:p>
  </w:endnote>
  <w:endnote w:id="2">
    <w:p w14:paraId="7F5CA23A" w14:textId="6F2042DB" w:rsidR="003F72F8" w:rsidRPr="0072001A" w:rsidRDefault="003F72F8" w:rsidP="009E5B13">
      <w:pPr>
        <w:pStyle w:val="pf0"/>
        <w:spacing w:after="240" w:afterAutospacing="0"/>
        <w:rPr>
          <w:rFonts w:asciiTheme="minorHAnsi" w:hAnsiTheme="minorHAnsi" w:cstheme="minorHAnsi"/>
          <w:sz w:val="16"/>
          <w:szCs w:val="16"/>
        </w:rPr>
      </w:pPr>
      <w:r w:rsidRPr="0072001A">
        <w:rPr>
          <w:rStyle w:val="EndnoteReference"/>
          <w:rFonts w:asciiTheme="minorHAnsi" w:hAnsiTheme="minorHAnsi" w:cstheme="minorHAnsi"/>
          <w:sz w:val="16"/>
          <w:szCs w:val="16"/>
        </w:rPr>
        <w:endnoteRef/>
      </w:r>
      <w:r w:rsidRPr="0072001A">
        <w:rPr>
          <w:rFonts w:asciiTheme="minorHAnsi" w:hAnsiTheme="minorHAnsi" w:cstheme="minorHAnsi"/>
          <w:sz w:val="16"/>
          <w:szCs w:val="16"/>
        </w:rPr>
        <w:t xml:space="preserve"> </w:t>
      </w:r>
      <w:r w:rsidRPr="0072001A">
        <w:rPr>
          <w:rStyle w:val="cf01"/>
          <w:rFonts w:asciiTheme="minorHAnsi" w:hAnsiTheme="minorHAnsi" w:cstheme="minorHAnsi"/>
          <w:sz w:val="16"/>
          <w:szCs w:val="16"/>
        </w:rPr>
        <w:t xml:space="preserve">Palm Beach County, FL, Fox Cities, WI, and communities in Delaware are structuring </w:t>
      </w:r>
      <w:proofErr w:type="spellStart"/>
      <w:r w:rsidR="004B05EE">
        <w:rPr>
          <w:rStyle w:val="cf01"/>
          <w:rFonts w:asciiTheme="minorHAnsi" w:hAnsiTheme="minorHAnsi" w:cstheme="minorHAnsi"/>
          <w:sz w:val="16"/>
          <w:szCs w:val="16"/>
        </w:rPr>
        <w:t>changemaking</w:t>
      </w:r>
      <w:proofErr w:type="spellEnd"/>
      <w:r w:rsidR="004B05EE">
        <w:rPr>
          <w:rStyle w:val="cf01"/>
          <w:rFonts w:asciiTheme="minorHAnsi" w:hAnsiTheme="minorHAnsi" w:cstheme="minorHAnsi"/>
          <w:sz w:val="16"/>
          <w:szCs w:val="16"/>
        </w:rPr>
        <w:t xml:space="preserve"> </w:t>
      </w:r>
      <w:r w:rsidRPr="0072001A">
        <w:rPr>
          <w:rStyle w:val="cf01"/>
          <w:rFonts w:asciiTheme="minorHAnsi" w:hAnsiTheme="minorHAnsi" w:cstheme="minorHAnsi"/>
          <w:sz w:val="16"/>
          <w:szCs w:val="16"/>
        </w:rPr>
        <w:t xml:space="preserve">initiatives around the vital conditions. </w:t>
      </w:r>
      <w:hyperlink r:id="rId1" w:history="1">
        <w:r w:rsidR="00D47C7A" w:rsidRPr="0072001A">
          <w:rPr>
            <w:rStyle w:val="cf01"/>
            <w:rFonts w:asciiTheme="minorHAnsi" w:hAnsiTheme="minorHAnsi" w:cstheme="minorHAnsi"/>
            <w:color w:val="0000FF"/>
            <w:sz w:val="16"/>
            <w:szCs w:val="16"/>
            <w:u w:val="single"/>
          </w:rPr>
          <w:t>https://www.bewellpbc.org/blog/impact-reports/2021-impact-report/</w:t>
        </w:r>
      </w:hyperlink>
      <w:r w:rsidR="00D47C7A" w:rsidRPr="0072001A">
        <w:rPr>
          <w:rStyle w:val="cf01"/>
          <w:rFonts w:asciiTheme="minorHAnsi" w:hAnsiTheme="minorHAnsi" w:cstheme="minorHAnsi"/>
          <w:sz w:val="16"/>
          <w:szCs w:val="16"/>
        </w:rPr>
        <w:t>;</w:t>
      </w:r>
      <w:hyperlink r:id="rId2" w:history="1">
        <w:r w:rsidR="00D47C7A" w:rsidRPr="0072001A">
          <w:rPr>
            <w:rStyle w:val="Hyperlink"/>
            <w:rFonts w:asciiTheme="minorHAnsi" w:hAnsiTheme="minorHAnsi" w:cstheme="minorHAnsi"/>
            <w:sz w:val="16"/>
            <w:szCs w:val="16"/>
          </w:rPr>
          <w:t>https://www.imaginefoxcities.com/</w:t>
        </w:r>
      </w:hyperlink>
      <w:r w:rsidR="00D47C7A" w:rsidRPr="0072001A">
        <w:rPr>
          <w:rStyle w:val="cf01"/>
          <w:rFonts w:asciiTheme="minorHAnsi" w:hAnsiTheme="minorHAnsi" w:cstheme="minorHAnsi"/>
          <w:sz w:val="16"/>
          <w:szCs w:val="16"/>
        </w:rPr>
        <w:t>;</w:t>
      </w:r>
      <w:r w:rsidR="006521D1" w:rsidRPr="0072001A">
        <w:rPr>
          <w:rFonts w:asciiTheme="minorHAnsi" w:hAnsiTheme="minorHAnsi" w:cstheme="minorHAnsi"/>
          <w:sz w:val="16"/>
          <w:szCs w:val="16"/>
        </w:rPr>
        <w:t xml:space="preserve"> </w:t>
      </w:r>
      <w:hyperlink r:id="rId3" w:history="1">
        <w:r w:rsidR="006521D1" w:rsidRPr="0072001A">
          <w:rPr>
            <w:rStyle w:val="Hyperlink"/>
            <w:rFonts w:asciiTheme="minorHAnsi" w:hAnsiTheme="minorHAnsi" w:cstheme="minorHAnsi"/>
            <w:sz w:val="16"/>
            <w:szCs w:val="16"/>
          </w:rPr>
          <w:t>https://healthycommunitiesde.org/</w:t>
        </w:r>
      </w:hyperlink>
    </w:p>
  </w:endnote>
  <w:endnote w:id="3">
    <w:p w14:paraId="71CAB2AE" w14:textId="345D493F" w:rsidR="006521D1" w:rsidRPr="0072001A" w:rsidRDefault="00D47C7A" w:rsidP="009E5B13">
      <w:pPr>
        <w:pStyle w:val="EndnoteText"/>
        <w:spacing w:after="240"/>
        <w:rPr>
          <w:rFonts w:cstheme="minorHAnsi"/>
          <w:sz w:val="16"/>
          <w:szCs w:val="16"/>
        </w:rPr>
      </w:pPr>
      <w:r w:rsidRPr="0072001A">
        <w:rPr>
          <w:rStyle w:val="EndnoteReference"/>
          <w:rFonts w:cstheme="minorHAnsi"/>
          <w:sz w:val="16"/>
          <w:szCs w:val="16"/>
        </w:rPr>
        <w:endnoteRef/>
      </w:r>
      <w:proofErr w:type="gramStart"/>
      <w:r w:rsidR="00EF6ACA">
        <w:rPr>
          <w:rFonts w:cstheme="minorHAnsi"/>
          <w:sz w:val="16"/>
          <w:szCs w:val="16"/>
        </w:rPr>
        <w:t xml:space="preserve">Well-Being in </w:t>
      </w:r>
      <w:r w:rsidR="005810B4">
        <w:rPr>
          <w:rFonts w:cstheme="minorHAnsi"/>
          <w:sz w:val="16"/>
          <w:szCs w:val="16"/>
        </w:rPr>
        <w:t>the Nation (WIN) Network.</w:t>
      </w:r>
      <w:proofErr w:type="gramEnd"/>
      <w:r w:rsidR="005810B4">
        <w:rPr>
          <w:rFonts w:cstheme="minorHAnsi"/>
          <w:sz w:val="16"/>
          <w:szCs w:val="16"/>
        </w:rPr>
        <w:t xml:space="preserve"> (</w:t>
      </w:r>
      <w:proofErr w:type="spellStart"/>
      <w:proofErr w:type="gramStart"/>
      <w:r w:rsidR="005810B4">
        <w:rPr>
          <w:rFonts w:cstheme="minorHAnsi"/>
          <w:sz w:val="16"/>
          <w:szCs w:val="16"/>
        </w:rPr>
        <w:t>n</w:t>
      </w:r>
      <w:proofErr w:type="gramEnd"/>
      <w:r w:rsidR="005810B4">
        <w:rPr>
          <w:rFonts w:cstheme="minorHAnsi"/>
          <w:sz w:val="16"/>
          <w:szCs w:val="16"/>
        </w:rPr>
        <w:t>.d.</w:t>
      </w:r>
      <w:proofErr w:type="spellEnd"/>
      <w:r w:rsidR="005810B4">
        <w:rPr>
          <w:rFonts w:cstheme="minorHAnsi"/>
          <w:sz w:val="16"/>
          <w:szCs w:val="16"/>
        </w:rPr>
        <w:t xml:space="preserve">) . </w:t>
      </w:r>
      <w:hyperlink r:id="rId4" w:anchor=":~:text=Vital%20conditions%20are%20properties%20of,and%20a%20sense%20of%20belonging" w:history="1">
        <w:r w:rsidR="00C72215" w:rsidRPr="0001514D">
          <w:rPr>
            <w:rStyle w:val="Hyperlink"/>
            <w:rFonts w:cstheme="minorHAnsi"/>
            <w:sz w:val="16"/>
            <w:szCs w:val="16"/>
          </w:rPr>
          <w:t>https://winnetwork.org/vital-conditions#:~:text=Vital%20conditions%20are%20properties%20of,and%20a%20sense%20of%20belonging</w:t>
        </w:r>
      </w:hyperlink>
      <w:r w:rsidRPr="0072001A">
        <w:rPr>
          <w:rStyle w:val="cf01"/>
          <w:rFonts w:asciiTheme="minorHAnsi" w:hAnsiTheme="minorHAnsi" w:cstheme="minorHAnsi"/>
          <w:sz w:val="16"/>
          <w:szCs w:val="16"/>
        </w:rPr>
        <w:t>.</w:t>
      </w:r>
    </w:p>
  </w:endnote>
  <w:endnote w:id="4">
    <w:p w14:paraId="3B9C34D0" w14:textId="0835B912" w:rsidR="006521D1" w:rsidRPr="0072001A" w:rsidRDefault="006521D1" w:rsidP="009E5B13">
      <w:pPr>
        <w:pStyle w:val="EndnoteText"/>
        <w:spacing w:after="240"/>
        <w:rPr>
          <w:rFonts w:cstheme="minorHAnsi"/>
          <w:sz w:val="16"/>
          <w:szCs w:val="16"/>
        </w:rPr>
      </w:pPr>
      <w:r w:rsidRPr="0072001A">
        <w:rPr>
          <w:rStyle w:val="EndnoteReference"/>
          <w:rFonts w:cstheme="minorHAnsi"/>
          <w:sz w:val="16"/>
          <w:szCs w:val="16"/>
        </w:rPr>
        <w:endnoteRef/>
      </w:r>
      <w:r w:rsidRPr="0072001A">
        <w:rPr>
          <w:rFonts w:cstheme="minorHAnsi"/>
          <w:sz w:val="16"/>
          <w:szCs w:val="16"/>
        </w:rPr>
        <w:t xml:space="preserve"> </w:t>
      </w:r>
      <w:proofErr w:type="gramStart"/>
      <w:r w:rsidRPr="0072001A">
        <w:rPr>
          <w:rStyle w:val="cf01"/>
          <w:rFonts w:asciiTheme="minorHAnsi" w:hAnsiTheme="minorHAnsi" w:cstheme="minorHAnsi"/>
          <w:sz w:val="16"/>
          <w:szCs w:val="16"/>
        </w:rPr>
        <w:t>U.S. Department of Health and Human Services.</w:t>
      </w:r>
      <w:proofErr w:type="gramEnd"/>
      <w:r w:rsidRPr="0072001A">
        <w:rPr>
          <w:rStyle w:val="cf01"/>
          <w:rFonts w:asciiTheme="minorHAnsi" w:hAnsiTheme="minorHAnsi" w:cstheme="minorHAnsi"/>
          <w:sz w:val="16"/>
          <w:szCs w:val="16"/>
        </w:rPr>
        <w:t xml:space="preserve"> (2021). Community health and economic prosperity: Engaging businesses as stewards and stakeholders—A report of the Surgeon General. Atlanta, GA: U.S. Department of Health and Human Services, Centers for Disease Control and Prevention, Office of the Associate Director for Policy and Strategy. </w:t>
      </w:r>
      <w:hyperlink r:id="rId5" w:history="1">
        <w:r w:rsidRPr="0072001A">
          <w:rPr>
            <w:rStyle w:val="cf01"/>
            <w:rFonts w:asciiTheme="minorHAnsi" w:hAnsiTheme="minorHAnsi" w:cstheme="minorHAnsi"/>
            <w:color w:val="0000FF"/>
            <w:sz w:val="16"/>
            <w:szCs w:val="16"/>
            <w:u w:val="single"/>
          </w:rPr>
          <w:t>https://www.hhs.gov/sites/default/files/chep-sgr-full-report.pdf</w:t>
        </w:r>
      </w:hyperlink>
      <w:r w:rsidRPr="0072001A">
        <w:rPr>
          <w:rFonts w:cstheme="minorHAnsi"/>
          <w:sz w:val="16"/>
          <w:szCs w:val="16"/>
        </w:rPr>
        <w:t>.</w:t>
      </w:r>
    </w:p>
  </w:endnote>
  <w:endnote w:id="5">
    <w:p w14:paraId="5D026950" w14:textId="24FE3E78" w:rsidR="006521D1" w:rsidRPr="0072001A" w:rsidRDefault="006521D1" w:rsidP="009E5B13">
      <w:pPr>
        <w:pStyle w:val="EndnoteText"/>
        <w:spacing w:after="240"/>
        <w:rPr>
          <w:rFonts w:cstheme="minorHAnsi"/>
          <w:sz w:val="16"/>
          <w:szCs w:val="16"/>
        </w:rPr>
      </w:pPr>
      <w:r w:rsidRPr="0072001A">
        <w:rPr>
          <w:rStyle w:val="EndnoteReference"/>
          <w:rFonts w:cstheme="minorHAnsi"/>
          <w:sz w:val="16"/>
          <w:szCs w:val="16"/>
        </w:rPr>
        <w:endnoteRef/>
      </w:r>
      <w:r w:rsidRPr="0072001A">
        <w:rPr>
          <w:rFonts w:cstheme="minorHAnsi"/>
          <w:sz w:val="16"/>
          <w:szCs w:val="16"/>
        </w:rPr>
        <w:t xml:space="preserve"> </w:t>
      </w:r>
      <w:r w:rsidR="0047351A">
        <w:rPr>
          <w:rFonts w:cstheme="minorHAnsi"/>
          <w:sz w:val="16"/>
          <w:szCs w:val="16"/>
        </w:rPr>
        <w:t xml:space="preserve">Reed, P. </w:t>
      </w:r>
      <w:r w:rsidR="004F3B78">
        <w:rPr>
          <w:rFonts w:cstheme="minorHAnsi"/>
          <w:sz w:val="16"/>
          <w:szCs w:val="16"/>
        </w:rPr>
        <w:t xml:space="preserve">(2022). </w:t>
      </w:r>
      <w:proofErr w:type="gramStart"/>
      <w:r w:rsidR="00BC63F2" w:rsidRPr="00BC63F2">
        <w:rPr>
          <w:rFonts w:cstheme="minorHAnsi"/>
          <w:sz w:val="16"/>
          <w:szCs w:val="16"/>
        </w:rPr>
        <w:t>Equity and Enhanced Individual and Community Resilience Are Integral to a Meaningful Recovery</w:t>
      </w:r>
      <w:r w:rsidR="00BC63F2">
        <w:rPr>
          <w:rFonts w:cstheme="minorHAnsi"/>
          <w:sz w:val="16"/>
          <w:szCs w:val="16"/>
        </w:rPr>
        <w:t>.</w:t>
      </w:r>
      <w:proofErr w:type="gramEnd"/>
      <w:r w:rsidR="00BC63F2">
        <w:rPr>
          <w:rFonts w:cstheme="minorHAnsi"/>
          <w:sz w:val="16"/>
          <w:szCs w:val="16"/>
        </w:rPr>
        <w:t xml:space="preserve"> </w:t>
      </w:r>
      <w:proofErr w:type="gramStart"/>
      <w:r w:rsidR="000C77B9">
        <w:rPr>
          <w:rFonts w:cstheme="minorHAnsi"/>
          <w:sz w:val="16"/>
          <w:szCs w:val="16"/>
        </w:rPr>
        <w:t xml:space="preserve">Health and Well-Being Matter, </w:t>
      </w:r>
      <w:r w:rsidR="004020E6">
        <w:rPr>
          <w:rFonts w:cstheme="minorHAnsi"/>
          <w:sz w:val="16"/>
          <w:szCs w:val="16"/>
        </w:rPr>
        <w:t xml:space="preserve">Office of </w:t>
      </w:r>
      <w:r w:rsidR="004C7871">
        <w:rPr>
          <w:rFonts w:cstheme="minorHAnsi"/>
          <w:sz w:val="16"/>
          <w:szCs w:val="16"/>
        </w:rPr>
        <w:t>Disease Prevention and Health Promotion</w:t>
      </w:r>
      <w:r w:rsidR="00816849">
        <w:rPr>
          <w:rFonts w:cstheme="minorHAnsi"/>
          <w:sz w:val="16"/>
          <w:szCs w:val="16"/>
        </w:rPr>
        <w:t>.</w:t>
      </w:r>
      <w:proofErr w:type="gramEnd"/>
      <w:r w:rsidR="00816849">
        <w:rPr>
          <w:rFonts w:cstheme="minorHAnsi"/>
          <w:sz w:val="16"/>
          <w:szCs w:val="16"/>
        </w:rPr>
        <w:t xml:space="preserve"> </w:t>
      </w:r>
      <w:hyperlink r:id="rId6" w:history="1">
        <w:r w:rsidR="00CF7205" w:rsidRPr="0001514D">
          <w:rPr>
            <w:rStyle w:val="Hyperlink"/>
            <w:rFonts w:cstheme="minorHAnsi"/>
            <w:sz w:val="16"/>
            <w:szCs w:val="16"/>
          </w:rPr>
          <w:t>https://health.gov/news/202201/equity-and-enhanced-individual-and-community-resilience-are-integral-meaningful-recovery</w:t>
        </w:r>
      </w:hyperlink>
    </w:p>
  </w:endnote>
  <w:endnote w:id="6">
    <w:p w14:paraId="0B4048AF" w14:textId="0185AFD7" w:rsidR="00CF20F9" w:rsidRPr="0072001A" w:rsidRDefault="00CF20F9" w:rsidP="009E5B13">
      <w:pPr>
        <w:pStyle w:val="EndnoteText"/>
        <w:spacing w:after="240"/>
        <w:rPr>
          <w:rFonts w:cstheme="minorHAnsi"/>
          <w:sz w:val="16"/>
          <w:szCs w:val="16"/>
        </w:rPr>
      </w:pPr>
      <w:r w:rsidRPr="0072001A">
        <w:rPr>
          <w:rStyle w:val="EndnoteReference"/>
          <w:rFonts w:cstheme="minorHAnsi"/>
          <w:sz w:val="16"/>
          <w:szCs w:val="16"/>
        </w:rPr>
        <w:endnoteRef/>
      </w:r>
      <w:r w:rsidRPr="0072001A">
        <w:rPr>
          <w:rFonts w:cstheme="minorHAnsi"/>
          <w:sz w:val="16"/>
          <w:szCs w:val="16"/>
        </w:rPr>
        <w:t xml:space="preserve"> </w:t>
      </w:r>
      <w:r w:rsidR="00375A5F" w:rsidRPr="00375A5F">
        <w:rPr>
          <w:rFonts w:cstheme="minorHAnsi"/>
          <w:sz w:val="16"/>
          <w:szCs w:val="16"/>
        </w:rPr>
        <w:t xml:space="preserve">Norris, T. </w:t>
      </w:r>
      <w:r w:rsidR="004F3B78">
        <w:rPr>
          <w:rFonts w:cstheme="minorHAnsi"/>
          <w:sz w:val="16"/>
          <w:szCs w:val="16"/>
        </w:rPr>
        <w:t xml:space="preserve">(2019). </w:t>
      </w:r>
      <w:r w:rsidR="00375A5F" w:rsidRPr="00375A5F">
        <w:rPr>
          <w:rFonts w:cstheme="minorHAnsi"/>
          <w:sz w:val="16"/>
          <w:szCs w:val="16"/>
        </w:rPr>
        <w:t xml:space="preserve">Reclaiming Well-Being in America: the vital conditions </w:t>
      </w:r>
      <w:proofErr w:type="gramStart"/>
      <w:r w:rsidR="00375A5F" w:rsidRPr="00375A5F">
        <w:rPr>
          <w:rFonts w:cstheme="minorHAnsi"/>
          <w:sz w:val="16"/>
          <w:szCs w:val="16"/>
        </w:rPr>
        <w:t>that make</w:t>
      </w:r>
      <w:proofErr w:type="gramEnd"/>
      <w:r w:rsidR="00375A5F" w:rsidRPr="00375A5F">
        <w:rPr>
          <w:rFonts w:cstheme="minorHAnsi"/>
          <w:sz w:val="16"/>
          <w:szCs w:val="16"/>
        </w:rPr>
        <w:t xml:space="preserve"> people and places healthier and more resilient. </w:t>
      </w:r>
      <w:proofErr w:type="gramStart"/>
      <w:r w:rsidR="00375A5F" w:rsidRPr="00375A5F">
        <w:rPr>
          <w:rFonts w:cstheme="minorHAnsi"/>
          <w:sz w:val="16"/>
          <w:szCs w:val="16"/>
        </w:rPr>
        <w:t>National Civic Review.</w:t>
      </w:r>
      <w:proofErr w:type="gramEnd"/>
      <w:r w:rsidR="00375A5F" w:rsidRPr="00375A5F">
        <w:rPr>
          <w:rFonts w:cstheme="minorHAnsi"/>
          <w:sz w:val="16"/>
          <w:szCs w:val="16"/>
        </w:rPr>
        <w:t xml:space="preserve"> </w:t>
      </w:r>
      <w:proofErr w:type="gramStart"/>
      <w:r w:rsidR="00375A5F" w:rsidRPr="00375A5F">
        <w:rPr>
          <w:rFonts w:cstheme="minorHAnsi"/>
          <w:sz w:val="16"/>
          <w:szCs w:val="16"/>
        </w:rPr>
        <w:t>Fall; 108(3).</w:t>
      </w:r>
      <w:proofErr w:type="gramEnd"/>
      <w:r w:rsidR="00375A5F" w:rsidRPr="00375A5F">
        <w:rPr>
          <w:rFonts w:cstheme="minorHAnsi"/>
          <w:sz w:val="16"/>
          <w:szCs w:val="16"/>
        </w:rPr>
        <w:t xml:space="preserve"> </w:t>
      </w:r>
      <w:hyperlink r:id="rId7" w:history="1">
        <w:r w:rsidRPr="0072001A">
          <w:rPr>
            <w:rStyle w:val="cf01"/>
            <w:rFonts w:asciiTheme="minorHAnsi" w:hAnsiTheme="minorHAnsi" w:cstheme="minorHAnsi"/>
            <w:color w:val="0000FF"/>
            <w:sz w:val="16"/>
            <w:szCs w:val="16"/>
            <w:u w:val="single"/>
          </w:rPr>
          <w:t>https://www.nationalcivicleague.org/ncr-article/reclaiming-well-being-in-america-the-vital-conditions-that-make-people-and-places-healthier-and-more-resilient/</w:t>
        </w:r>
      </w:hyperlink>
    </w:p>
  </w:endnote>
  <w:endnote w:id="7">
    <w:p w14:paraId="5AE8546E" w14:textId="116E2A83" w:rsidR="00CF20F9" w:rsidRPr="0072001A" w:rsidRDefault="00CF20F9" w:rsidP="009E5B13">
      <w:pPr>
        <w:pStyle w:val="EndnoteText"/>
        <w:spacing w:after="240"/>
        <w:rPr>
          <w:rFonts w:cstheme="minorHAnsi"/>
          <w:sz w:val="16"/>
          <w:szCs w:val="16"/>
        </w:rPr>
      </w:pPr>
      <w:r w:rsidRPr="0072001A">
        <w:rPr>
          <w:rStyle w:val="EndnoteReference"/>
          <w:rFonts w:cstheme="minorHAnsi"/>
          <w:sz w:val="16"/>
          <w:szCs w:val="16"/>
        </w:rPr>
        <w:endnoteRef/>
      </w:r>
      <w:r w:rsidRPr="0072001A">
        <w:rPr>
          <w:rFonts w:cstheme="minorHAnsi"/>
          <w:sz w:val="16"/>
          <w:szCs w:val="16"/>
        </w:rPr>
        <w:t xml:space="preserve"> </w:t>
      </w:r>
      <w:proofErr w:type="gramStart"/>
      <w:r w:rsidRPr="0072001A">
        <w:rPr>
          <w:rStyle w:val="cf01"/>
          <w:rFonts w:asciiTheme="minorHAnsi" w:hAnsiTheme="minorHAnsi" w:cstheme="minorHAnsi"/>
          <w:sz w:val="16"/>
          <w:szCs w:val="16"/>
        </w:rPr>
        <w:t>Deloitte Center for Health Solutions and Deloitte Center for Government Insights.</w:t>
      </w:r>
      <w:proofErr w:type="gramEnd"/>
      <w:r w:rsidRPr="0072001A">
        <w:rPr>
          <w:rStyle w:val="cf01"/>
          <w:rFonts w:asciiTheme="minorHAnsi" w:hAnsiTheme="minorHAnsi" w:cstheme="minorHAnsi"/>
          <w:sz w:val="16"/>
          <w:szCs w:val="16"/>
        </w:rPr>
        <w:t xml:space="preserve"> </w:t>
      </w:r>
      <w:r w:rsidR="004F3B78">
        <w:rPr>
          <w:rStyle w:val="cf01"/>
          <w:rFonts w:asciiTheme="minorHAnsi" w:hAnsiTheme="minorHAnsi" w:cstheme="minorHAnsi"/>
          <w:sz w:val="16"/>
          <w:szCs w:val="16"/>
        </w:rPr>
        <w:t xml:space="preserve">(2021) </w:t>
      </w:r>
      <w:r w:rsidRPr="0072001A">
        <w:rPr>
          <w:rStyle w:val="cf01"/>
          <w:rFonts w:asciiTheme="minorHAnsi" w:hAnsiTheme="minorHAnsi" w:cstheme="minorHAnsi"/>
          <w:sz w:val="16"/>
          <w:szCs w:val="16"/>
        </w:rPr>
        <w:t>The future of the public's health: Reimagining the health ecosystem: Programs, policies, and systems for strengthening public health.</w:t>
      </w:r>
      <w:r w:rsidR="003C02AF" w:rsidRPr="003C02AF">
        <w:rPr>
          <w:rStyle w:val="cf01"/>
          <w:rFonts w:asciiTheme="minorHAnsi" w:hAnsiTheme="minorHAnsi" w:cstheme="minorHAnsi"/>
          <w:sz w:val="16"/>
          <w:szCs w:val="16"/>
        </w:rPr>
        <w:t xml:space="preserve"> </w:t>
      </w:r>
      <w:hyperlink r:id="rId8" w:history="1">
        <w:r w:rsidRPr="0072001A">
          <w:rPr>
            <w:rStyle w:val="cf01"/>
            <w:rFonts w:asciiTheme="minorHAnsi" w:hAnsiTheme="minorHAnsi" w:cstheme="minorHAnsi"/>
            <w:color w:val="0000FF"/>
            <w:sz w:val="16"/>
            <w:szCs w:val="16"/>
            <w:u w:val="single"/>
          </w:rPr>
          <w:t>https://www2.deloitte.com/us/en/insights/industry/health-care/the-future-of-public-health.html</w:t>
        </w:r>
      </w:hyperlink>
      <w:r w:rsidRPr="0072001A">
        <w:rPr>
          <w:rStyle w:val="cf01"/>
          <w:rFonts w:asciiTheme="minorHAnsi" w:hAnsiTheme="minorHAnsi" w:cstheme="minorHAnsi"/>
          <w:sz w:val="16"/>
          <w:szCs w:val="16"/>
        </w:rPr>
        <w:t xml:space="preserve">. </w:t>
      </w:r>
    </w:p>
  </w:endnote>
  <w:endnote w:id="8">
    <w:p w14:paraId="15B7062E" w14:textId="6E912AC7" w:rsidR="00630BBD" w:rsidRPr="0072001A" w:rsidRDefault="00630BBD" w:rsidP="009E5B13">
      <w:pPr>
        <w:pStyle w:val="pf0"/>
        <w:spacing w:after="240" w:afterAutospacing="0"/>
        <w:rPr>
          <w:rFonts w:asciiTheme="minorHAnsi" w:hAnsiTheme="minorHAnsi" w:cstheme="minorHAnsi"/>
          <w:sz w:val="16"/>
          <w:szCs w:val="16"/>
        </w:rPr>
      </w:pPr>
      <w:r w:rsidRPr="0072001A">
        <w:rPr>
          <w:rStyle w:val="EndnoteReference"/>
          <w:rFonts w:asciiTheme="minorHAnsi" w:hAnsiTheme="minorHAnsi" w:cstheme="minorHAnsi"/>
          <w:sz w:val="16"/>
          <w:szCs w:val="16"/>
        </w:rPr>
        <w:endnoteRef/>
      </w:r>
      <w:r w:rsidRPr="0072001A">
        <w:rPr>
          <w:rFonts w:asciiTheme="minorHAnsi" w:hAnsiTheme="minorHAnsi" w:cstheme="minorHAnsi"/>
          <w:sz w:val="16"/>
          <w:szCs w:val="16"/>
        </w:rPr>
        <w:t xml:space="preserve"> </w:t>
      </w:r>
      <w:proofErr w:type="gramStart"/>
      <w:r w:rsidRPr="0072001A">
        <w:rPr>
          <w:rStyle w:val="cf01"/>
          <w:rFonts w:asciiTheme="minorHAnsi" w:hAnsiTheme="minorHAnsi" w:cstheme="minorHAnsi"/>
          <w:sz w:val="16"/>
          <w:szCs w:val="16"/>
        </w:rPr>
        <w:t>University of Wisconsin Population Health Institute.</w:t>
      </w:r>
      <w:proofErr w:type="gramEnd"/>
      <w:r w:rsidRPr="0072001A">
        <w:rPr>
          <w:rStyle w:val="cf01"/>
          <w:rFonts w:asciiTheme="minorHAnsi" w:hAnsiTheme="minorHAnsi" w:cstheme="minorHAnsi"/>
          <w:sz w:val="16"/>
          <w:szCs w:val="16"/>
        </w:rPr>
        <w:t xml:space="preserve"> </w:t>
      </w:r>
      <w:r w:rsidR="004F3B78">
        <w:rPr>
          <w:rStyle w:val="cf01"/>
          <w:rFonts w:asciiTheme="minorHAnsi" w:hAnsiTheme="minorHAnsi" w:cstheme="minorHAnsi"/>
          <w:sz w:val="16"/>
          <w:szCs w:val="16"/>
        </w:rPr>
        <w:t xml:space="preserve">(2018) </w:t>
      </w:r>
      <w:r w:rsidRPr="0072001A">
        <w:rPr>
          <w:rStyle w:val="cf01"/>
          <w:rFonts w:asciiTheme="minorHAnsi" w:hAnsiTheme="minorHAnsi" w:cstheme="minorHAnsi"/>
          <w:sz w:val="16"/>
          <w:szCs w:val="16"/>
        </w:rPr>
        <w:t xml:space="preserve">What Works? </w:t>
      </w:r>
      <w:proofErr w:type="gramStart"/>
      <w:r w:rsidRPr="0072001A">
        <w:rPr>
          <w:rStyle w:val="cf01"/>
          <w:rFonts w:asciiTheme="minorHAnsi" w:hAnsiTheme="minorHAnsi" w:cstheme="minorHAnsi"/>
          <w:sz w:val="16"/>
          <w:szCs w:val="16"/>
        </w:rPr>
        <w:t>Social and Economic Opportunities to Improve Health for All.</w:t>
      </w:r>
      <w:proofErr w:type="gramEnd"/>
      <w:r w:rsidRPr="0072001A">
        <w:rPr>
          <w:rStyle w:val="cf01"/>
          <w:rFonts w:asciiTheme="minorHAnsi" w:hAnsiTheme="minorHAnsi" w:cstheme="minorHAnsi"/>
          <w:sz w:val="16"/>
          <w:szCs w:val="16"/>
        </w:rPr>
        <w:t xml:space="preserve"> </w:t>
      </w:r>
      <w:hyperlink r:id="rId9" w:history="1">
        <w:r w:rsidRPr="0072001A">
          <w:rPr>
            <w:rStyle w:val="cf01"/>
            <w:rFonts w:asciiTheme="minorHAnsi" w:hAnsiTheme="minorHAnsi" w:cstheme="minorHAnsi"/>
            <w:color w:val="0000FF"/>
            <w:sz w:val="16"/>
            <w:szCs w:val="16"/>
            <w:u w:val="single"/>
          </w:rPr>
          <w:t>https://www.countyhealthrankings.org/reports/what-works-social-and-economic-opportunities-to-improve-health-for-all</w:t>
        </w:r>
      </w:hyperlink>
      <w:r w:rsidRPr="0072001A">
        <w:rPr>
          <w:rStyle w:val="cf01"/>
          <w:rFonts w:asciiTheme="minorHAnsi" w:hAnsiTheme="minorHAnsi" w:cstheme="minorHAnsi"/>
          <w:sz w:val="16"/>
          <w:szCs w:val="16"/>
        </w:rPr>
        <w:t xml:space="preserve">; </w:t>
      </w:r>
      <w:hyperlink r:id="rId10" w:history="1">
        <w:r w:rsidRPr="0072001A">
          <w:rPr>
            <w:rStyle w:val="cf01"/>
            <w:rFonts w:asciiTheme="minorHAnsi" w:hAnsiTheme="minorHAnsi" w:cstheme="minorHAnsi"/>
            <w:color w:val="0000FF"/>
            <w:sz w:val="16"/>
            <w:szCs w:val="16"/>
            <w:u w:val="single"/>
          </w:rPr>
          <w:t>https://www.thecommunityguide.org/</w:t>
        </w:r>
      </w:hyperlink>
      <w:r w:rsidRPr="0072001A">
        <w:rPr>
          <w:rStyle w:val="cf01"/>
          <w:rFonts w:asciiTheme="minorHAnsi" w:hAnsiTheme="minorHAnsi" w:cstheme="minorHAnsi"/>
          <w:sz w:val="16"/>
          <w:szCs w:val="16"/>
        </w:rPr>
        <w:t>;</w:t>
      </w:r>
      <w:r w:rsidRPr="0072001A">
        <w:rPr>
          <w:rFonts w:asciiTheme="minorHAnsi" w:hAnsiTheme="minorHAnsi" w:cstheme="minorHAnsi"/>
          <w:sz w:val="16"/>
          <w:szCs w:val="16"/>
        </w:rPr>
        <w:t xml:space="preserve"> </w:t>
      </w:r>
      <w:hyperlink r:id="rId11" w:history="1">
        <w:r w:rsidRPr="0072001A">
          <w:rPr>
            <w:rStyle w:val="Hyperlink"/>
            <w:rFonts w:asciiTheme="minorHAnsi" w:hAnsiTheme="minorHAnsi" w:cstheme="minorHAnsi"/>
            <w:sz w:val="16"/>
            <w:szCs w:val="16"/>
          </w:rPr>
          <w:t>https://www.cdc.gov/policy/hst/hi5/index.html</w:t>
        </w:r>
      </w:hyperlink>
    </w:p>
  </w:endnote>
  <w:endnote w:id="9">
    <w:p w14:paraId="50C2B0B3" w14:textId="19A94CA3" w:rsidR="00630BBD" w:rsidRPr="0072001A" w:rsidRDefault="00630BBD" w:rsidP="009E5B13">
      <w:pPr>
        <w:pStyle w:val="EndnoteText"/>
        <w:spacing w:after="240"/>
        <w:rPr>
          <w:rFonts w:cstheme="minorHAnsi"/>
          <w:sz w:val="16"/>
          <w:szCs w:val="16"/>
        </w:rPr>
      </w:pPr>
      <w:r w:rsidRPr="0072001A">
        <w:rPr>
          <w:rStyle w:val="EndnoteReference"/>
          <w:rFonts w:cstheme="minorHAnsi"/>
          <w:sz w:val="16"/>
          <w:szCs w:val="16"/>
        </w:rPr>
        <w:endnoteRef/>
      </w:r>
      <w:r w:rsidRPr="0072001A">
        <w:rPr>
          <w:rFonts w:cstheme="minorHAnsi"/>
          <w:sz w:val="16"/>
          <w:szCs w:val="16"/>
        </w:rPr>
        <w:t xml:space="preserve"> </w:t>
      </w:r>
      <w:r w:rsidRPr="0072001A">
        <w:rPr>
          <w:rStyle w:val="cf01"/>
          <w:rFonts w:asciiTheme="minorHAnsi" w:hAnsiTheme="minorHAnsi" w:cstheme="minorHAnsi"/>
          <w:sz w:val="16"/>
          <w:szCs w:val="16"/>
        </w:rPr>
        <w:t>Thriving US. (</w:t>
      </w:r>
      <w:proofErr w:type="spellStart"/>
      <w:proofErr w:type="gramStart"/>
      <w:r w:rsidRPr="0072001A">
        <w:rPr>
          <w:rStyle w:val="cf01"/>
          <w:rFonts w:asciiTheme="minorHAnsi" w:hAnsiTheme="minorHAnsi" w:cstheme="minorHAnsi"/>
          <w:sz w:val="16"/>
          <w:szCs w:val="16"/>
        </w:rPr>
        <w:t>n</w:t>
      </w:r>
      <w:proofErr w:type="gramEnd"/>
      <w:r w:rsidRPr="0072001A">
        <w:rPr>
          <w:rStyle w:val="cf01"/>
          <w:rFonts w:asciiTheme="minorHAnsi" w:hAnsiTheme="minorHAnsi" w:cstheme="minorHAnsi"/>
          <w:sz w:val="16"/>
          <w:szCs w:val="16"/>
        </w:rPr>
        <w:t>.d.</w:t>
      </w:r>
      <w:proofErr w:type="spellEnd"/>
      <w:r w:rsidRPr="0072001A">
        <w:rPr>
          <w:rStyle w:val="cf01"/>
          <w:rFonts w:asciiTheme="minorHAnsi" w:hAnsiTheme="minorHAnsi" w:cstheme="minorHAnsi"/>
          <w:sz w:val="16"/>
          <w:szCs w:val="16"/>
        </w:rPr>
        <w:t xml:space="preserve">). Seven Vital Conditions graphic. </w:t>
      </w:r>
      <w:hyperlink r:id="rId12" w:history="1">
        <w:r w:rsidRPr="0072001A">
          <w:rPr>
            <w:rStyle w:val="cf01"/>
            <w:rFonts w:asciiTheme="minorHAnsi" w:hAnsiTheme="minorHAnsi" w:cstheme="minorHAnsi"/>
            <w:color w:val="0000FF"/>
            <w:sz w:val="16"/>
            <w:szCs w:val="16"/>
            <w:u w:val="single"/>
          </w:rPr>
          <w:t>https://thriving.us/share-thriving-together/</w:t>
        </w:r>
      </w:hyperlink>
    </w:p>
  </w:endnote>
  <w:endnote w:id="10">
    <w:p w14:paraId="6E8380CE" w14:textId="33A1A539" w:rsidR="00B131AC" w:rsidRPr="0072001A" w:rsidRDefault="009F2A4E" w:rsidP="009E5B13">
      <w:pPr>
        <w:pStyle w:val="EndnoteText"/>
        <w:spacing w:after="240"/>
        <w:rPr>
          <w:rFonts w:cstheme="minorHAnsi"/>
          <w:sz w:val="16"/>
          <w:szCs w:val="16"/>
        </w:rPr>
      </w:pPr>
      <w:r w:rsidRPr="0072001A">
        <w:rPr>
          <w:rStyle w:val="EndnoteReference"/>
          <w:rFonts w:cstheme="minorHAnsi"/>
          <w:sz w:val="16"/>
          <w:szCs w:val="16"/>
        </w:rPr>
        <w:endnoteRef/>
      </w:r>
      <w:r w:rsidRPr="0072001A">
        <w:rPr>
          <w:rFonts w:cstheme="minorHAnsi"/>
          <w:sz w:val="16"/>
          <w:szCs w:val="16"/>
        </w:rPr>
        <w:t xml:space="preserve"> </w:t>
      </w:r>
      <w:r w:rsidRPr="0072001A">
        <w:rPr>
          <w:rStyle w:val="cf01"/>
          <w:rFonts w:asciiTheme="minorHAnsi" w:hAnsiTheme="minorHAnsi" w:cstheme="minorHAnsi"/>
          <w:sz w:val="16"/>
          <w:szCs w:val="16"/>
        </w:rPr>
        <w:t>National Academies of Sciences, Engineering, and Medicine</w:t>
      </w:r>
      <w:r w:rsidR="00DE14D0">
        <w:rPr>
          <w:rStyle w:val="cf01"/>
          <w:rFonts w:asciiTheme="minorHAnsi" w:hAnsiTheme="minorHAnsi" w:cstheme="minorHAnsi"/>
          <w:sz w:val="16"/>
          <w:szCs w:val="16"/>
        </w:rPr>
        <w:t>.</w:t>
      </w:r>
      <w:r w:rsidRPr="0072001A">
        <w:rPr>
          <w:rStyle w:val="cf01"/>
          <w:rFonts w:asciiTheme="minorHAnsi" w:hAnsiTheme="minorHAnsi" w:cstheme="minorHAnsi"/>
          <w:sz w:val="16"/>
          <w:szCs w:val="16"/>
        </w:rPr>
        <w:t xml:space="preserve"> (2017)</w:t>
      </w:r>
      <w:r w:rsidR="004F3B78">
        <w:rPr>
          <w:rStyle w:val="cf01"/>
          <w:rFonts w:asciiTheme="minorHAnsi" w:hAnsiTheme="minorHAnsi" w:cstheme="minorHAnsi"/>
          <w:sz w:val="16"/>
          <w:szCs w:val="16"/>
        </w:rPr>
        <w:t>.</w:t>
      </w:r>
      <w:r w:rsidRPr="0072001A">
        <w:rPr>
          <w:rStyle w:val="cf01"/>
          <w:rFonts w:asciiTheme="minorHAnsi" w:hAnsiTheme="minorHAnsi" w:cstheme="minorHAnsi"/>
          <w:sz w:val="16"/>
          <w:szCs w:val="16"/>
        </w:rPr>
        <w:t xml:space="preserve"> Communities in Action: Pathways to Health Equity. The National Academies Press: Washington, DC. Available at: </w:t>
      </w:r>
      <w:hyperlink r:id="rId13" w:history="1">
        <w:r w:rsidRPr="0072001A">
          <w:rPr>
            <w:rStyle w:val="cf01"/>
            <w:rFonts w:asciiTheme="minorHAnsi" w:hAnsiTheme="minorHAnsi" w:cstheme="minorHAnsi"/>
            <w:color w:val="0000FF"/>
            <w:sz w:val="16"/>
            <w:szCs w:val="16"/>
            <w:u w:val="single"/>
          </w:rPr>
          <w:t>https://www.nap.edu/read/24624/chapter/1</w:t>
        </w:r>
      </w:hyperlink>
      <w:r w:rsidRPr="0072001A">
        <w:rPr>
          <w:rStyle w:val="cf01"/>
          <w:rFonts w:asciiTheme="minorHAnsi" w:hAnsiTheme="minorHAnsi" w:cstheme="minorHAnsi"/>
          <w:sz w:val="16"/>
          <w:szCs w:val="16"/>
        </w:rPr>
        <w:t xml:space="preserve"> (evidence section p. 191)</w:t>
      </w:r>
    </w:p>
  </w:endnote>
  <w:endnote w:id="11">
    <w:p w14:paraId="229028EA" w14:textId="44E51FB5" w:rsidR="006570E3" w:rsidRPr="0072001A" w:rsidRDefault="006570E3" w:rsidP="006570E3">
      <w:pPr>
        <w:pStyle w:val="pf0"/>
        <w:spacing w:after="240" w:afterAutospacing="0"/>
        <w:rPr>
          <w:rFonts w:asciiTheme="minorHAnsi" w:hAnsiTheme="minorHAnsi" w:cstheme="minorHAnsi"/>
          <w:sz w:val="16"/>
          <w:szCs w:val="16"/>
        </w:rPr>
      </w:pPr>
      <w:r w:rsidRPr="0072001A">
        <w:rPr>
          <w:rStyle w:val="EndnoteReference"/>
          <w:rFonts w:asciiTheme="minorHAnsi" w:hAnsiTheme="minorHAnsi" w:cstheme="minorHAnsi"/>
          <w:sz w:val="16"/>
          <w:szCs w:val="16"/>
        </w:rPr>
        <w:endnoteRef/>
      </w:r>
      <w:r w:rsidRPr="0072001A">
        <w:rPr>
          <w:rFonts w:asciiTheme="minorHAnsi" w:hAnsiTheme="minorHAnsi" w:cstheme="minorHAnsi"/>
          <w:sz w:val="16"/>
          <w:szCs w:val="16"/>
        </w:rPr>
        <w:t xml:space="preserve"> </w:t>
      </w:r>
      <w:r w:rsidRPr="0072001A">
        <w:rPr>
          <w:rStyle w:val="cf01"/>
          <w:rFonts w:asciiTheme="minorHAnsi" w:hAnsiTheme="minorHAnsi" w:cstheme="minorHAnsi"/>
          <w:sz w:val="16"/>
          <w:szCs w:val="16"/>
        </w:rPr>
        <w:t>RAND Healthcare.</w:t>
      </w:r>
      <w:r w:rsidR="00DE14D0">
        <w:rPr>
          <w:rStyle w:val="cf01"/>
          <w:rFonts w:asciiTheme="minorHAnsi" w:hAnsiTheme="minorHAnsi" w:cstheme="minorHAnsi"/>
          <w:sz w:val="16"/>
          <w:szCs w:val="16"/>
        </w:rPr>
        <w:t xml:space="preserve"> (2021).</w:t>
      </w:r>
      <w:r w:rsidRPr="0072001A">
        <w:rPr>
          <w:rStyle w:val="cf01"/>
          <w:rFonts w:asciiTheme="minorHAnsi" w:hAnsiTheme="minorHAnsi" w:cstheme="minorHAnsi"/>
          <w:sz w:val="16"/>
          <w:szCs w:val="16"/>
        </w:rPr>
        <w:t xml:space="preserve"> Building the Evidence Base for Social Determinants of Health Interventions. Prepared for the Office of the Assistant Secretary for Planning and Evaluation (ASPE) at the U.S. Department of Health &amp; Human Services. </w:t>
      </w:r>
      <w:hyperlink r:id="rId14" w:history="1">
        <w:r w:rsidRPr="0072001A">
          <w:rPr>
            <w:rStyle w:val="Hyperlink"/>
            <w:rFonts w:asciiTheme="minorHAnsi" w:hAnsiTheme="minorHAnsi" w:cstheme="minorHAnsi"/>
            <w:sz w:val="16"/>
            <w:szCs w:val="16"/>
          </w:rPr>
          <w:t>https://aspe.hhs.gov/sites/default/files/documents/e400d2ae6a6790287c5176e36fe47040/PR-A1010-1_final.pdf</w:t>
        </w:r>
      </w:hyperlink>
      <w:r w:rsidRPr="0072001A">
        <w:rPr>
          <w:rStyle w:val="cf01"/>
          <w:rFonts w:asciiTheme="minorHAnsi" w:hAnsiTheme="minorHAnsi" w:cstheme="minorHAnsi"/>
          <w:sz w:val="16"/>
          <w:szCs w:val="16"/>
        </w:rPr>
        <w:t>.</w:t>
      </w:r>
    </w:p>
  </w:endnote>
  <w:endnote w:id="12">
    <w:p w14:paraId="27027169" w14:textId="0EF9910B" w:rsidR="00B131AC" w:rsidRPr="0072001A" w:rsidRDefault="009F2A4E" w:rsidP="009E5B13">
      <w:pPr>
        <w:pStyle w:val="EndnoteText"/>
        <w:spacing w:after="240"/>
        <w:rPr>
          <w:rFonts w:cstheme="minorHAnsi"/>
          <w:sz w:val="16"/>
          <w:szCs w:val="16"/>
        </w:rPr>
      </w:pPr>
      <w:r w:rsidRPr="0072001A">
        <w:rPr>
          <w:rStyle w:val="EndnoteReference"/>
          <w:rFonts w:cstheme="minorHAnsi"/>
          <w:sz w:val="16"/>
          <w:szCs w:val="16"/>
        </w:rPr>
        <w:endnoteRef/>
      </w:r>
      <w:r w:rsidRPr="0072001A">
        <w:rPr>
          <w:rFonts w:cstheme="minorHAnsi"/>
          <w:sz w:val="16"/>
          <w:szCs w:val="16"/>
        </w:rPr>
        <w:t xml:space="preserve"> </w:t>
      </w:r>
      <w:r w:rsidR="00D2258E" w:rsidRPr="0072001A">
        <w:rPr>
          <w:rFonts w:cstheme="minorHAnsi"/>
          <w:sz w:val="16"/>
          <w:szCs w:val="16"/>
        </w:rPr>
        <w:t xml:space="preserve">Milstein B, Homer J. </w:t>
      </w:r>
      <w:r w:rsidR="00DE14D0">
        <w:rPr>
          <w:rFonts w:cstheme="minorHAnsi"/>
          <w:sz w:val="16"/>
          <w:szCs w:val="16"/>
        </w:rPr>
        <w:t xml:space="preserve">(2020), </w:t>
      </w:r>
      <w:r w:rsidR="00D2258E" w:rsidRPr="0072001A">
        <w:rPr>
          <w:rFonts w:cstheme="minorHAnsi"/>
          <w:sz w:val="16"/>
          <w:szCs w:val="16"/>
        </w:rPr>
        <w:t>Which Priorities for Health and Well-Being Stand Out After Accounting for Tangled Threats and Costs? Simulating Potential Intervention Portfolios in Large Urban Counties. Milbank Q</w:t>
      </w:r>
      <w:r w:rsidR="008D76C9">
        <w:rPr>
          <w:rFonts w:cstheme="minorHAnsi"/>
          <w:sz w:val="16"/>
          <w:szCs w:val="16"/>
        </w:rPr>
        <w:t>uarterly</w:t>
      </w:r>
      <w:r w:rsidR="00D2258E" w:rsidRPr="0072001A">
        <w:rPr>
          <w:rFonts w:cstheme="minorHAnsi"/>
          <w:sz w:val="16"/>
          <w:szCs w:val="16"/>
        </w:rPr>
        <w:t>. 2020 Jun</w:t>
      </w:r>
      <w:proofErr w:type="gramStart"/>
      <w:r w:rsidR="00D2258E" w:rsidRPr="0072001A">
        <w:rPr>
          <w:rFonts w:cstheme="minorHAnsi"/>
          <w:sz w:val="16"/>
          <w:szCs w:val="16"/>
        </w:rPr>
        <w:t>;98</w:t>
      </w:r>
      <w:proofErr w:type="gramEnd"/>
      <w:r w:rsidR="00D2258E" w:rsidRPr="0072001A">
        <w:rPr>
          <w:rFonts w:cstheme="minorHAnsi"/>
          <w:sz w:val="16"/>
          <w:szCs w:val="16"/>
        </w:rPr>
        <w:t xml:space="preserve">(2):372-398. </w:t>
      </w:r>
      <w:proofErr w:type="spellStart"/>
      <w:proofErr w:type="gramStart"/>
      <w:r w:rsidR="00D2258E" w:rsidRPr="0072001A">
        <w:rPr>
          <w:rFonts w:cstheme="minorHAnsi"/>
          <w:sz w:val="16"/>
          <w:szCs w:val="16"/>
        </w:rPr>
        <w:t>doi</w:t>
      </w:r>
      <w:proofErr w:type="spellEnd"/>
      <w:proofErr w:type="gramEnd"/>
      <w:r w:rsidR="00D2258E" w:rsidRPr="0072001A">
        <w:rPr>
          <w:rFonts w:cstheme="minorHAnsi"/>
          <w:sz w:val="16"/>
          <w:szCs w:val="16"/>
        </w:rPr>
        <w:t xml:space="preserve">: 10.1111/1468-0009.12448. </w:t>
      </w:r>
      <w:proofErr w:type="spellStart"/>
      <w:proofErr w:type="gramStart"/>
      <w:r w:rsidR="00D2258E" w:rsidRPr="0072001A">
        <w:rPr>
          <w:rFonts w:cstheme="minorHAnsi"/>
          <w:sz w:val="16"/>
          <w:szCs w:val="16"/>
        </w:rPr>
        <w:t>Epub</w:t>
      </w:r>
      <w:proofErr w:type="spellEnd"/>
      <w:r w:rsidR="00D2258E" w:rsidRPr="0072001A">
        <w:rPr>
          <w:rFonts w:cstheme="minorHAnsi"/>
          <w:sz w:val="16"/>
          <w:szCs w:val="16"/>
        </w:rPr>
        <w:t xml:space="preserve"> 2020 Feb 6.</w:t>
      </w:r>
      <w:proofErr w:type="gramEnd"/>
      <w:r w:rsidR="00D2258E" w:rsidRPr="0072001A">
        <w:rPr>
          <w:rFonts w:cstheme="minorHAnsi"/>
          <w:sz w:val="16"/>
          <w:szCs w:val="16"/>
        </w:rPr>
        <w:t xml:space="preserve"> PMID: 32027060; PMCID: PMC7296431. </w:t>
      </w:r>
      <w:hyperlink r:id="rId15" w:history="1">
        <w:r w:rsidR="00D2258E" w:rsidRPr="0072001A">
          <w:rPr>
            <w:rStyle w:val="Hyperlink"/>
            <w:rFonts w:cstheme="minorHAnsi"/>
            <w:sz w:val="16"/>
            <w:szCs w:val="16"/>
          </w:rPr>
          <w:t>https://www.milbank.org/quarterly/articles/which-priorities-for-health-and-well%E2%80%90being-stand-out-after-accounting-for-tangled-threats-and-costs-simulating-potential-intervention-portfolios-in-large-urban-counties/</w:t>
        </w:r>
      </w:hyperlink>
    </w:p>
  </w:endnote>
  <w:endnote w:id="13">
    <w:p w14:paraId="7623396E" w14:textId="2F882B5C" w:rsidR="0033211B" w:rsidRPr="00EA5B0D" w:rsidRDefault="0033211B">
      <w:pPr>
        <w:pStyle w:val="EndnoteText"/>
        <w:rPr>
          <w:sz w:val="16"/>
          <w:szCs w:val="16"/>
        </w:rPr>
      </w:pPr>
      <w:r w:rsidRPr="00EA5B0D">
        <w:rPr>
          <w:rStyle w:val="EndnoteReference"/>
          <w:sz w:val="16"/>
          <w:szCs w:val="16"/>
        </w:rPr>
        <w:endnoteRef/>
      </w:r>
      <w:r w:rsidRPr="00EA5B0D">
        <w:rPr>
          <w:sz w:val="16"/>
          <w:szCs w:val="16"/>
        </w:rPr>
        <w:t xml:space="preserve"> </w:t>
      </w:r>
      <w:proofErr w:type="gramStart"/>
      <w:r w:rsidR="00EA5B0D" w:rsidRPr="00EA5B0D">
        <w:rPr>
          <w:sz w:val="16"/>
          <w:szCs w:val="16"/>
        </w:rPr>
        <w:t xml:space="preserve">Scott, V.C., </w:t>
      </w:r>
      <w:proofErr w:type="spellStart"/>
      <w:r w:rsidR="00EA5B0D" w:rsidRPr="00EA5B0D">
        <w:rPr>
          <w:sz w:val="16"/>
          <w:szCs w:val="16"/>
        </w:rPr>
        <w:t>Jillani</w:t>
      </w:r>
      <w:proofErr w:type="spellEnd"/>
      <w:r w:rsidR="00EA5B0D" w:rsidRPr="00EA5B0D">
        <w:rPr>
          <w:sz w:val="16"/>
          <w:szCs w:val="16"/>
        </w:rPr>
        <w:t xml:space="preserve">, Z., </w:t>
      </w:r>
      <w:proofErr w:type="spellStart"/>
      <w:r w:rsidR="00EA5B0D" w:rsidRPr="00EA5B0D">
        <w:rPr>
          <w:sz w:val="16"/>
          <w:szCs w:val="16"/>
        </w:rPr>
        <w:t>Malpert</w:t>
      </w:r>
      <w:proofErr w:type="spellEnd"/>
      <w:r w:rsidR="00EA5B0D" w:rsidRPr="00EA5B0D">
        <w:rPr>
          <w:sz w:val="16"/>
          <w:szCs w:val="16"/>
        </w:rPr>
        <w:t>, A. </w:t>
      </w:r>
      <w:r w:rsidR="00EA5B0D" w:rsidRPr="00EA5B0D">
        <w:rPr>
          <w:i/>
          <w:iCs/>
          <w:sz w:val="16"/>
          <w:szCs w:val="16"/>
        </w:rPr>
        <w:t>et al.</w:t>
      </w:r>
      <w:r w:rsidR="00EA5B0D" w:rsidRPr="00EA5B0D">
        <w:rPr>
          <w:sz w:val="16"/>
          <w:szCs w:val="16"/>
        </w:rPr>
        <w:t> </w:t>
      </w:r>
      <w:r w:rsidR="00DE14D0">
        <w:rPr>
          <w:sz w:val="16"/>
          <w:szCs w:val="16"/>
        </w:rPr>
        <w:t>(2022).</w:t>
      </w:r>
      <w:proofErr w:type="gramEnd"/>
      <w:r w:rsidR="00DE14D0">
        <w:rPr>
          <w:sz w:val="16"/>
          <w:szCs w:val="16"/>
        </w:rPr>
        <w:t xml:space="preserve"> </w:t>
      </w:r>
      <w:proofErr w:type="gramStart"/>
      <w:r w:rsidR="00EA5B0D" w:rsidRPr="00EA5B0D">
        <w:rPr>
          <w:sz w:val="16"/>
          <w:szCs w:val="16"/>
        </w:rPr>
        <w:t>A scoping review of the evaluation and effectiveness of technical assistance.</w:t>
      </w:r>
      <w:proofErr w:type="gramEnd"/>
      <w:r w:rsidR="00EA5B0D" w:rsidRPr="00EA5B0D">
        <w:rPr>
          <w:sz w:val="16"/>
          <w:szCs w:val="16"/>
        </w:rPr>
        <w:t> </w:t>
      </w:r>
      <w:r w:rsidR="00EA5B0D" w:rsidRPr="00EA5B0D">
        <w:rPr>
          <w:i/>
          <w:iCs/>
          <w:sz w:val="16"/>
          <w:szCs w:val="16"/>
        </w:rPr>
        <w:t xml:space="preserve">Implement </w:t>
      </w:r>
      <w:proofErr w:type="spellStart"/>
      <w:r w:rsidR="00EA5B0D" w:rsidRPr="00EA5B0D">
        <w:rPr>
          <w:i/>
          <w:iCs/>
          <w:sz w:val="16"/>
          <w:szCs w:val="16"/>
        </w:rPr>
        <w:t>Sci</w:t>
      </w:r>
      <w:proofErr w:type="spellEnd"/>
      <w:r w:rsidR="00EA5B0D" w:rsidRPr="00EA5B0D">
        <w:rPr>
          <w:i/>
          <w:iCs/>
          <w:sz w:val="16"/>
          <w:szCs w:val="16"/>
        </w:rPr>
        <w:t xml:space="preserve"> </w:t>
      </w:r>
      <w:proofErr w:type="spellStart"/>
      <w:r w:rsidR="00EA5B0D" w:rsidRPr="00EA5B0D">
        <w:rPr>
          <w:i/>
          <w:iCs/>
          <w:sz w:val="16"/>
          <w:szCs w:val="16"/>
        </w:rPr>
        <w:t>Commun</w:t>
      </w:r>
      <w:proofErr w:type="spellEnd"/>
      <w:r w:rsidR="00EA5B0D" w:rsidRPr="00EA5B0D">
        <w:rPr>
          <w:sz w:val="16"/>
          <w:szCs w:val="16"/>
        </w:rPr>
        <w:t> </w:t>
      </w:r>
      <w:r w:rsidR="00EA5B0D" w:rsidRPr="00EA5B0D">
        <w:rPr>
          <w:b/>
          <w:bCs/>
          <w:sz w:val="16"/>
          <w:szCs w:val="16"/>
        </w:rPr>
        <w:t>3</w:t>
      </w:r>
      <w:r w:rsidR="00EA5B0D" w:rsidRPr="00EA5B0D">
        <w:rPr>
          <w:sz w:val="16"/>
          <w:szCs w:val="16"/>
        </w:rPr>
        <w:t xml:space="preserve">, 70. </w:t>
      </w:r>
      <w:hyperlink r:id="rId16" w:history="1">
        <w:r w:rsidR="00D85620" w:rsidRPr="0001514D">
          <w:rPr>
            <w:rStyle w:val="Hyperlink"/>
            <w:sz w:val="16"/>
            <w:szCs w:val="16"/>
          </w:rPr>
          <w:t>https://doi.org/10.1186/s43058-022-00314-1</w:t>
        </w:r>
      </w:hyperlink>
      <w:r w:rsidR="00D85620">
        <w:rPr>
          <w:sz w:val="16"/>
          <w:szCs w:val="16"/>
        </w:rPr>
        <w:t xml:space="preserve"> </w:t>
      </w:r>
    </w:p>
  </w:endnote>
  <w:endnote w:id="14">
    <w:p w14:paraId="5587AF05" w14:textId="4B994BE5" w:rsidR="00B131AC" w:rsidRPr="0072001A" w:rsidRDefault="00B131AC" w:rsidP="009E5B13">
      <w:pPr>
        <w:pStyle w:val="pf0"/>
        <w:spacing w:after="240" w:afterAutospacing="0"/>
        <w:rPr>
          <w:rFonts w:asciiTheme="minorHAnsi" w:hAnsiTheme="minorHAnsi" w:cstheme="minorHAnsi"/>
          <w:sz w:val="16"/>
          <w:szCs w:val="16"/>
        </w:rPr>
      </w:pPr>
      <w:r w:rsidRPr="0072001A">
        <w:rPr>
          <w:rStyle w:val="EndnoteReference"/>
          <w:rFonts w:asciiTheme="minorHAnsi" w:hAnsiTheme="minorHAnsi" w:cstheme="minorHAnsi"/>
          <w:sz w:val="16"/>
          <w:szCs w:val="16"/>
        </w:rPr>
        <w:endnoteRef/>
      </w:r>
      <w:r w:rsidRPr="0072001A">
        <w:rPr>
          <w:rFonts w:asciiTheme="minorHAnsi" w:hAnsiTheme="minorHAnsi" w:cstheme="minorHAnsi"/>
          <w:sz w:val="16"/>
          <w:szCs w:val="16"/>
        </w:rPr>
        <w:t xml:space="preserve"> </w:t>
      </w:r>
      <w:proofErr w:type="gramStart"/>
      <w:r w:rsidR="00CE6D68">
        <w:rPr>
          <w:rFonts w:asciiTheme="minorHAnsi" w:hAnsiTheme="minorHAnsi" w:cstheme="minorHAnsi"/>
          <w:sz w:val="16"/>
          <w:szCs w:val="16"/>
        </w:rPr>
        <w:t>Healthy Communities Delaware.</w:t>
      </w:r>
      <w:proofErr w:type="gramEnd"/>
      <w:r w:rsidR="00CE6D68">
        <w:rPr>
          <w:rFonts w:asciiTheme="minorHAnsi" w:hAnsiTheme="minorHAnsi" w:cstheme="minorHAnsi"/>
          <w:sz w:val="16"/>
          <w:szCs w:val="16"/>
        </w:rPr>
        <w:t xml:space="preserve"> (</w:t>
      </w:r>
      <w:proofErr w:type="spellStart"/>
      <w:proofErr w:type="gramStart"/>
      <w:r w:rsidR="00CE6D68">
        <w:rPr>
          <w:rFonts w:asciiTheme="minorHAnsi" w:hAnsiTheme="minorHAnsi" w:cstheme="minorHAnsi"/>
          <w:sz w:val="16"/>
          <w:szCs w:val="16"/>
        </w:rPr>
        <w:t>n</w:t>
      </w:r>
      <w:proofErr w:type="gramEnd"/>
      <w:r w:rsidR="00CE6D68">
        <w:rPr>
          <w:rFonts w:asciiTheme="minorHAnsi" w:hAnsiTheme="minorHAnsi" w:cstheme="minorHAnsi"/>
          <w:sz w:val="16"/>
          <w:szCs w:val="16"/>
        </w:rPr>
        <w:t>.d.</w:t>
      </w:r>
      <w:proofErr w:type="spellEnd"/>
      <w:r w:rsidR="00CE6D68">
        <w:rPr>
          <w:rFonts w:asciiTheme="minorHAnsi" w:hAnsiTheme="minorHAnsi" w:cstheme="minorHAnsi"/>
          <w:sz w:val="16"/>
          <w:szCs w:val="16"/>
        </w:rPr>
        <w:t xml:space="preserve">). </w:t>
      </w:r>
      <w:hyperlink r:id="rId17" w:history="1">
        <w:r w:rsidR="00CE6D68" w:rsidRPr="0001514D">
          <w:rPr>
            <w:rStyle w:val="Hyperlink"/>
            <w:rFonts w:asciiTheme="minorHAnsi" w:hAnsiTheme="minorHAnsi" w:cstheme="minorHAnsi"/>
            <w:sz w:val="16"/>
            <w:szCs w:val="16"/>
          </w:rPr>
          <w:t>https://healthycommunitiesde.org/network</w:t>
        </w:r>
      </w:hyperlink>
    </w:p>
  </w:endnote>
  <w:endnote w:id="15">
    <w:p w14:paraId="2C830A73" w14:textId="57ED94DC" w:rsidR="00294973" w:rsidRPr="002408A5" w:rsidRDefault="00294973">
      <w:pPr>
        <w:pStyle w:val="EndnoteText"/>
        <w:rPr>
          <w:sz w:val="16"/>
          <w:szCs w:val="16"/>
        </w:rPr>
      </w:pPr>
      <w:r w:rsidRPr="002408A5">
        <w:rPr>
          <w:rStyle w:val="EndnoteReference"/>
          <w:sz w:val="16"/>
          <w:szCs w:val="16"/>
        </w:rPr>
        <w:endnoteRef/>
      </w:r>
      <w:r w:rsidRPr="002408A5">
        <w:rPr>
          <w:sz w:val="16"/>
          <w:szCs w:val="16"/>
        </w:rPr>
        <w:t xml:space="preserve"> </w:t>
      </w:r>
      <w:proofErr w:type="gramStart"/>
      <w:r w:rsidRPr="002408A5">
        <w:rPr>
          <w:sz w:val="16"/>
          <w:szCs w:val="16"/>
        </w:rPr>
        <w:t>Healthy Communities Delaware.</w:t>
      </w:r>
      <w:proofErr w:type="gramEnd"/>
      <w:r w:rsidRPr="002408A5">
        <w:rPr>
          <w:sz w:val="16"/>
          <w:szCs w:val="16"/>
        </w:rPr>
        <w:t xml:space="preserve"> (</w:t>
      </w:r>
      <w:proofErr w:type="spellStart"/>
      <w:proofErr w:type="gramStart"/>
      <w:r w:rsidRPr="002408A5">
        <w:rPr>
          <w:sz w:val="16"/>
          <w:szCs w:val="16"/>
        </w:rPr>
        <w:t>n</w:t>
      </w:r>
      <w:proofErr w:type="gramEnd"/>
      <w:r w:rsidRPr="002408A5">
        <w:rPr>
          <w:sz w:val="16"/>
          <w:szCs w:val="16"/>
        </w:rPr>
        <w:t>.d.</w:t>
      </w:r>
      <w:proofErr w:type="spellEnd"/>
      <w:r w:rsidRPr="002408A5">
        <w:rPr>
          <w:sz w:val="16"/>
          <w:szCs w:val="16"/>
        </w:rPr>
        <w:t xml:space="preserve">). </w:t>
      </w:r>
      <w:hyperlink r:id="rId18" w:history="1">
        <w:r w:rsidR="002408A5" w:rsidRPr="002408A5">
          <w:rPr>
            <w:rStyle w:val="Hyperlink"/>
            <w:sz w:val="16"/>
            <w:szCs w:val="16"/>
          </w:rPr>
          <w:t>https://healthycommunitiesde.org/community-impact-1</w:t>
        </w:r>
      </w:hyperlink>
    </w:p>
    <w:p w14:paraId="2C6922C0" w14:textId="77777777" w:rsidR="002408A5" w:rsidRDefault="002408A5">
      <w:pPr>
        <w:pStyle w:val="EndnoteText"/>
      </w:pPr>
    </w:p>
  </w:endnote>
  <w:endnote w:id="16">
    <w:p w14:paraId="3DE1F7ED" w14:textId="6A2D9903" w:rsidR="004400F6" w:rsidRPr="0072001A" w:rsidRDefault="004400F6" w:rsidP="009E5B13">
      <w:pPr>
        <w:pStyle w:val="EndnoteText"/>
        <w:spacing w:after="240"/>
        <w:rPr>
          <w:rFonts w:cstheme="minorHAnsi"/>
          <w:sz w:val="16"/>
          <w:szCs w:val="16"/>
        </w:rPr>
      </w:pPr>
      <w:r w:rsidRPr="0072001A">
        <w:rPr>
          <w:rStyle w:val="EndnoteReference"/>
          <w:rFonts w:cstheme="minorHAnsi"/>
          <w:sz w:val="16"/>
          <w:szCs w:val="16"/>
        </w:rPr>
        <w:endnoteRef/>
      </w:r>
      <w:r w:rsidRPr="0072001A">
        <w:rPr>
          <w:rFonts w:cstheme="minorHAnsi"/>
          <w:sz w:val="16"/>
          <w:szCs w:val="16"/>
        </w:rPr>
        <w:t xml:space="preserve"> </w:t>
      </w:r>
      <w:r w:rsidR="00CE6D68">
        <w:rPr>
          <w:rFonts w:cstheme="minorHAnsi"/>
          <w:sz w:val="16"/>
          <w:szCs w:val="16"/>
        </w:rPr>
        <w:t xml:space="preserve">Institute for People, Place, </w:t>
      </w:r>
      <w:r w:rsidR="00EF6ACA">
        <w:rPr>
          <w:rFonts w:cstheme="minorHAnsi"/>
          <w:sz w:val="16"/>
          <w:szCs w:val="16"/>
        </w:rPr>
        <w:t>&amp; Possibility. (</w:t>
      </w:r>
      <w:proofErr w:type="spellStart"/>
      <w:proofErr w:type="gramStart"/>
      <w:r w:rsidR="00EF6ACA">
        <w:rPr>
          <w:rFonts w:cstheme="minorHAnsi"/>
          <w:sz w:val="16"/>
          <w:szCs w:val="16"/>
        </w:rPr>
        <w:t>n</w:t>
      </w:r>
      <w:proofErr w:type="gramEnd"/>
      <w:r w:rsidR="00EF6ACA">
        <w:rPr>
          <w:rFonts w:cstheme="minorHAnsi"/>
          <w:sz w:val="16"/>
          <w:szCs w:val="16"/>
        </w:rPr>
        <w:t>.d.</w:t>
      </w:r>
      <w:proofErr w:type="spellEnd"/>
      <w:r w:rsidR="00EF6ACA">
        <w:rPr>
          <w:rFonts w:cstheme="minorHAnsi"/>
          <w:sz w:val="16"/>
          <w:szCs w:val="16"/>
        </w:rPr>
        <w:t xml:space="preserve">). </w:t>
      </w:r>
      <w:hyperlink r:id="rId19" w:history="1">
        <w:r w:rsidR="00EF6ACA" w:rsidRPr="00404B49">
          <w:rPr>
            <w:rStyle w:val="Hyperlink"/>
            <w:rFonts w:cstheme="minorHAnsi"/>
            <w:sz w:val="16"/>
            <w:szCs w:val="16"/>
          </w:rPr>
          <w:t>https://www.i-p3.org/post/a-new-method-for-measuring-thriving-struggling-or-suffering</w:t>
        </w:r>
      </w:hyperlink>
      <w:r w:rsidRPr="0072001A">
        <w:rPr>
          <w:rStyle w:val="cf01"/>
          <w:rFonts w:asciiTheme="minorHAnsi" w:hAnsiTheme="minorHAnsi" w:cstheme="minorHAnsi"/>
          <w:sz w:val="16"/>
          <w:szCs w:val="16"/>
        </w:rPr>
        <w:t xml:space="preserve"> </w:t>
      </w:r>
    </w:p>
  </w:endnote>
  <w:endnote w:id="17">
    <w:p w14:paraId="5BFD2A23" w14:textId="2AA11B0A" w:rsidR="002500DD" w:rsidRPr="0072001A" w:rsidRDefault="002500DD">
      <w:pPr>
        <w:pStyle w:val="EndnoteText"/>
        <w:rPr>
          <w:rFonts w:cstheme="minorHAnsi"/>
          <w:sz w:val="16"/>
          <w:szCs w:val="16"/>
        </w:rPr>
      </w:pPr>
      <w:r w:rsidRPr="0072001A">
        <w:rPr>
          <w:rStyle w:val="EndnoteReference"/>
          <w:rFonts w:cstheme="minorHAnsi"/>
          <w:sz w:val="16"/>
          <w:szCs w:val="16"/>
        </w:rPr>
        <w:endnoteRef/>
      </w:r>
      <w:r w:rsidRPr="0072001A">
        <w:rPr>
          <w:rFonts w:cstheme="minorHAnsi"/>
          <w:sz w:val="16"/>
          <w:szCs w:val="16"/>
        </w:rPr>
        <w:t xml:space="preserve"> </w:t>
      </w:r>
      <w:proofErr w:type="gramStart"/>
      <w:r w:rsidR="00CE6D68">
        <w:rPr>
          <w:rFonts w:cstheme="minorHAnsi"/>
          <w:sz w:val="16"/>
          <w:szCs w:val="16"/>
        </w:rPr>
        <w:t>Healthy Communities Delaware.</w:t>
      </w:r>
      <w:proofErr w:type="gramEnd"/>
      <w:r w:rsidR="00CE6D68">
        <w:rPr>
          <w:rFonts w:cstheme="minorHAnsi"/>
          <w:sz w:val="16"/>
          <w:szCs w:val="16"/>
        </w:rPr>
        <w:t xml:space="preserve"> (</w:t>
      </w:r>
      <w:proofErr w:type="spellStart"/>
      <w:proofErr w:type="gramStart"/>
      <w:r w:rsidR="00CE6D68">
        <w:rPr>
          <w:rFonts w:cstheme="minorHAnsi"/>
          <w:sz w:val="16"/>
          <w:szCs w:val="16"/>
        </w:rPr>
        <w:t>n</w:t>
      </w:r>
      <w:proofErr w:type="gramEnd"/>
      <w:r w:rsidR="00CE6D68">
        <w:rPr>
          <w:rFonts w:cstheme="minorHAnsi"/>
          <w:sz w:val="16"/>
          <w:szCs w:val="16"/>
        </w:rPr>
        <w:t>.d.</w:t>
      </w:r>
      <w:proofErr w:type="spellEnd"/>
      <w:r w:rsidR="00CE6D68">
        <w:rPr>
          <w:rFonts w:cstheme="minorHAnsi"/>
          <w:sz w:val="16"/>
          <w:szCs w:val="16"/>
        </w:rPr>
        <w:t xml:space="preserve">). </w:t>
      </w:r>
      <w:hyperlink r:id="rId20" w:history="1">
        <w:r w:rsidRPr="0072001A">
          <w:rPr>
            <w:rStyle w:val="Hyperlink"/>
            <w:rFonts w:cstheme="minorHAnsi"/>
            <w:sz w:val="16"/>
            <w:szCs w:val="16"/>
          </w:rPr>
          <w:t>https://healthycommunitiesde.org/vital-conditions-data</w:t>
        </w:r>
      </w:hyperlink>
      <w:r w:rsidRPr="0072001A">
        <w:rPr>
          <w:rFonts w:cstheme="minorHAnsi"/>
          <w:sz w:val="16"/>
          <w:szCs w:val="16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3A60A" w14:textId="77777777" w:rsidR="00570FF9" w:rsidRDefault="00570FF9" w:rsidP="00006FD4">
      <w:pPr>
        <w:spacing w:after="0" w:line="240" w:lineRule="auto"/>
      </w:pPr>
      <w:r>
        <w:separator/>
      </w:r>
    </w:p>
  </w:footnote>
  <w:footnote w:type="continuationSeparator" w:id="0">
    <w:p w14:paraId="12F0926C" w14:textId="77777777" w:rsidR="00570FF9" w:rsidRDefault="00570FF9" w:rsidP="00006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46894"/>
    <w:multiLevelType w:val="hybridMultilevel"/>
    <w:tmpl w:val="1122B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63FB1"/>
    <w:multiLevelType w:val="hybridMultilevel"/>
    <w:tmpl w:val="9FC24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35"/>
    <w:rsid w:val="00002698"/>
    <w:rsid w:val="00006FD4"/>
    <w:rsid w:val="00011B0B"/>
    <w:rsid w:val="00014B8B"/>
    <w:rsid w:val="0001516B"/>
    <w:rsid w:val="00020A93"/>
    <w:rsid w:val="00022DDA"/>
    <w:rsid w:val="00023F5A"/>
    <w:rsid w:val="00024E71"/>
    <w:rsid w:val="00026811"/>
    <w:rsid w:val="0003073F"/>
    <w:rsid w:val="0003120E"/>
    <w:rsid w:val="0004081A"/>
    <w:rsid w:val="00041F1F"/>
    <w:rsid w:val="00042B10"/>
    <w:rsid w:val="00045BE3"/>
    <w:rsid w:val="00050C66"/>
    <w:rsid w:val="00055BFA"/>
    <w:rsid w:val="00056072"/>
    <w:rsid w:val="00060D0A"/>
    <w:rsid w:val="000624F2"/>
    <w:rsid w:val="00065EF5"/>
    <w:rsid w:val="000731F4"/>
    <w:rsid w:val="000821C9"/>
    <w:rsid w:val="00084509"/>
    <w:rsid w:val="00090D45"/>
    <w:rsid w:val="00091801"/>
    <w:rsid w:val="00092F7B"/>
    <w:rsid w:val="00093CE0"/>
    <w:rsid w:val="0009711D"/>
    <w:rsid w:val="000A1502"/>
    <w:rsid w:val="000A37D4"/>
    <w:rsid w:val="000A5240"/>
    <w:rsid w:val="000A60EE"/>
    <w:rsid w:val="000A7B93"/>
    <w:rsid w:val="000B2D51"/>
    <w:rsid w:val="000B36E3"/>
    <w:rsid w:val="000B6240"/>
    <w:rsid w:val="000C77B9"/>
    <w:rsid w:val="000C7DF6"/>
    <w:rsid w:val="000D4637"/>
    <w:rsid w:val="000E19FC"/>
    <w:rsid w:val="000E2D9D"/>
    <w:rsid w:val="000E5425"/>
    <w:rsid w:val="000E566D"/>
    <w:rsid w:val="000F0C51"/>
    <w:rsid w:val="00102FC6"/>
    <w:rsid w:val="00113E6C"/>
    <w:rsid w:val="00115173"/>
    <w:rsid w:val="0012198D"/>
    <w:rsid w:val="0012676F"/>
    <w:rsid w:val="00132513"/>
    <w:rsid w:val="00143127"/>
    <w:rsid w:val="001448DD"/>
    <w:rsid w:val="00162DFC"/>
    <w:rsid w:val="0017057C"/>
    <w:rsid w:val="00173FD0"/>
    <w:rsid w:val="00174950"/>
    <w:rsid w:val="00195AB4"/>
    <w:rsid w:val="001A0B05"/>
    <w:rsid w:val="001A3A82"/>
    <w:rsid w:val="001C17A3"/>
    <w:rsid w:val="001C3F34"/>
    <w:rsid w:val="001C4FD0"/>
    <w:rsid w:val="001C5CA6"/>
    <w:rsid w:val="001D434D"/>
    <w:rsid w:val="001E0134"/>
    <w:rsid w:val="001E3A19"/>
    <w:rsid w:val="001E551E"/>
    <w:rsid w:val="00201529"/>
    <w:rsid w:val="00204C7A"/>
    <w:rsid w:val="00207B73"/>
    <w:rsid w:val="00211C64"/>
    <w:rsid w:val="00213D36"/>
    <w:rsid w:val="00213F5A"/>
    <w:rsid w:val="002175CD"/>
    <w:rsid w:val="00226FEA"/>
    <w:rsid w:val="002273C7"/>
    <w:rsid w:val="002408A5"/>
    <w:rsid w:val="00246B62"/>
    <w:rsid w:val="002500DD"/>
    <w:rsid w:val="002522C6"/>
    <w:rsid w:val="00253EDD"/>
    <w:rsid w:val="002602A7"/>
    <w:rsid w:val="00260FD7"/>
    <w:rsid w:val="00275A78"/>
    <w:rsid w:val="0028398F"/>
    <w:rsid w:val="00285E77"/>
    <w:rsid w:val="00291677"/>
    <w:rsid w:val="00294973"/>
    <w:rsid w:val="002A480F"/>
    <w:rsid w:val="002A5F0E"/>
    <w:rsid w:val="002A6009"/>
    <w:rsid w:val="002A7FC0"/>
    <w:rsid w:val="002B321A"/>
    <w:rsid w:val="002C2750"/>
    <w:rsid w:val="002C2A30"/>
    <w:rsid w:val="002C36EC"/>
    <w:rsid w:val="002C3B72"/>
    <w:rsid w:val="002D16E6"/>
    <w:rsid w:val="002D36F4"/>
    <w:rsid w:val="002D394B"/>
    <w:rsid w:val="002D4C8A"/>
    <w:rsid w:val="002D663D"/>
    <w:rsid w:val="002F651F"/>
    <w:rsid w:val="003057BD"/>
    <w:rsid w:val="003139C4"/>
    <w:rsid w:val="00317B3A"/>
    <w:rsid w:val="00330FD4"/>
    <w:rsid w:val="0033211B"/>
    <w:rsid w:val="00332DA0"/>
    <w:rsid w:val="0033336F"/>
    <w:rsid w:val="00334345"/>
    <w:rsid w:val="0034202A"/>
    <w:rsid w:val="0034577A"/>
    <w:rsid w:val="0034619F"/>
    <w:rsid w:val="0034697F"/>
    <w:rsid w:val="0034724C"/>
    <w:rsid w:val="00351A0C"/>
    <w:rsid w:val="0035736C"/>
    <w:rsid w:val="00357CA2"/>
    <w:rsid w:val="00361CD7"/>
    <w:rsid w:val="00366958"/>
    <w:rsid w:val="00371648"/>
    <w:rsid w:val="00371BC3"/>
    <w:rsid w:val="00375A5F"/>
    <w:rsid w:val="00380B49"/>
    <w:rsid w:val="00381863"/>
    <w:rsid w:val="00382AD3"/>
    <w:rsid w:val="00384107"/>
    <w:rsid w:val="00391310"/>
    <w:rsid w:val="00391577"/>
    <w:rsid w:val="003915E8"/>
    <w:rsid w:val="00393A7B"/>
    <w:rsid w:val="003964CA"/>
    <w:rsid w:val="00397736"/>
    <w:rsid w:val="003A0998"/>
    <w:rsid w:val="003A6EC4"/>
    <w:rsid w:val="003A7911"/>
    <w:rsid w:val="003B063E"/>
    <w:rsid w:val="003B5C58"/>
    <w:rsid w:val="003B5FE5"/>
    <w:rsid w:val="003C02AF"/>
    <w:rsid w:val="003C2DDD"/>
    <w:rsid w:val="003C51E8"/>
    <w:rsid w:val="003D60C9"/>
    <w:rsid w:val="003E05E9"/>
    <w:rsid w:val="003E4657"/>
    <w:rsid w:val="003E5886"/>
    <w:rsid w:val="003F72F8"/>
    <w:rsid w:val="00401629"/>
    <w:rsid w:val="004020E6"/>
    <w:rsid w:val="004028A8"/>
    <w:rsid w:val="00402AA7"/>
    <w:rsid w:val="00404B49"/>
    <w:rsid w:val="00405FBE"/>
    <w:rsid w:val="00406213"/>
    <w:rsid w:val="00407E5A"/>
    <w:rsid w:val="00416E94"/>
    <w:rsid w:val="00417D57"/>
    <w:rsid w:val="00417EDD"/>
    <w:rsid w:val="00420941"/>
    <w:rsid w:val="00425898"/>
    <w:rsid w:val="004267C3"/>
    <w:rsid w:val="004372D2"/>
    <w:rsid w:val="004400F6"/>
    <w:rsid w:val="004424DE"/>
    <w:rsid w:val="004443A3"/>
    <w:rsid w:val="00446654"/>
    <w:rsid w:val="0045479B"/>
    <w:rsid w:val="0046704C"/>
    <w:rsid w:val="00470BAD"/>
    <w:rsid w:val="0047351A"/>
    <w:rsid w:val="00483F7D"/>
    <w:rsid w:val="004842A3"/>
    <w:rsid w:val="0048448F"/>
    <w:rsid w:val="0049069E"/>
    <w:rsid w:val="004947F1"/>
    <w:rsid w:val="00496D8F"/>
    <w:rsid w:val="0049715D"/>
    <w:rsid w:val="004A2E49"/>
    <w:rsid w:val="004A5B7D"/>
    <w:rsid w:val="004B05EE"/>
    <w:rsid w:val="004B0C51"/>
    <w:rsid w:val="004B18F3"/>
    <w:rsid w:val="004B2B55"/>
    <w:rsid w:val="004B4404"/>
    <w:rsid w:val="004B6285"/>
    <w:rsid w:val="004B6DC7"/>
    <w:rsid w:val="004C2035"/>
    <w:rsid w:val="004C7871"/>
    <w:rsid w:val="004D2367"/>
    <w:rsid w:val="004D333E"/>
    <w:rsid w:val="004D36F3"/>
    <w:rsid w:val="004D698C"/>
    <w:rsid w:val="004E0186"/>
    <w:rsid w:val="004E0D83"/>
    <w:rsid w:val="004F39BE"/>
    <w:rsid w:val="004F3B78"/>
    <w:rsid w:val="00503757"/>
    <w:rsid w:val="005078AA"/>
    <w:rsid w:val="0051423D"/>
    <w:rsid w:val="005179B5"/>
    <w:rsid w:val="005257B8"/>
    <w:rsid w:val="005375FE"/>
    <w:rsid w:val="00537C6E"/>
    <w:rsid w:val="005477A6"/>
    <w:rsid w:val="005504BA"/>
    <w:rsid w:val="00556753"/>
    <w:rsid w:val="00560261"/>
    <w:rsid w:val="0056167B"/>
    <w:rsid w:val="00561763"/>
    <w:rsid w:val="0056449B"/>
    <w:rsid w:val="00570FF9"/>
    <w:rsid w:val="00580517"/>
    <w:rsid w:val="005810B4"/>
    <w:rsid w:val="00582B28"/>
    <w:rsid w:val="00584DA6"/>
    <w:rsid w:val="00585E80"/>
    <w:rsid w:val="00586DAA"/>
    <w:rsid w:val="00587D9E"/>
    <w:rsid w:val="00594A4E"/>
    <w:rsid w:val="00594EB9"/>
    <w:rsid w:val="00597CB2"/>
    <w:rsid w:val="005A0BE4"/>
    <w:rsid w:val="005A1575"/>
    <w:rsid w:val="005A5CC9"/>
    <w:rsid w:val="005B656D"/>
    <w:rsid w:val="005B75EF"/>
    <w:rsid w:val="005C0BFF"/>
    <w:rsid w:val="005D00D3"/>
    <w:rsid w:val="005D0FC2"/>
    <w:rsid w:val="005E21A0"/>
    <w:rsid w:val="005F2761"/>
    <w:rsid w:val="005F3DF0"/>
    <w:rsid w:val="005F45F6"/>
    <w:rsid w:val="0060159C"/>
    <w:rsid w:val="0062090C"/>
    <w:rsid w:val="00621126"/>
    <w:rsid w:val="0063056F"/>
    <w:rsid w:val="00630BBD"/>
    <w:rsid w:val="00635EE7"/>
    <w:rsid w:val="00637B3F"/>
    <w:rsid w:val="00640442"/>
    <w:rsid w:val="00640926"/>
    <w:rsid w:val="0064092A"/>
    <w:rsid w:val="00641221"/>
    <w:rsid w:val="006429C2"/>
    <w:rsid w:val="00643069"/>
    <w:rsid w:val="00643F38"/>
    <w:rsid w:val="00647557"/>
    <w:rsid w:val="006521D1"/>
    <w:rsid w:val="00656287"/>
    <w:rsid w:val="006570E3"/>
    <w:rsid w:val="00657428"/>
    <w:rsid w:val="00665DB3"/>
    <w:rsid w:val="006818D6"/>
    <w:rsid w:val="00681B0F"/>
    <w:rsid w:val="006838C7"/>
    <w:rsid w:val="00684524"/>
    <w:rsid w:val="00684AB9"/>
    <w:rsid w:val="00684BEC"/>
    <w:rsid w:val="00684F81"/>
    <w:rsid w:val="0068716A"/>
    <w:rsid w:val="00690224"/>
    <w:rsid w:val="00692D20"/>
    <w:rsid w:val="006A219E"/>
    <w:rsid w:val="006B34D3"/>
    <w:rsid w:val="006C4890"/>
    <w:rsid w:val="006C6019"/>
    <w:rsid w:val="006C691A"/>
    <w:rsid w:val="006C7594"/>
    <w:rsid w:val="006C75EA"/>
    <w:rsid w:val="006C7D82"/>
    <w:rsid w:val="006C7E38"/>
    <w:rsid w:val="006E1296"/>
    <w:rsid w:val="006E45BB"/>
    <w:rsid w:val="006F79E5"/>
    <w:rsid w:val="00703E86"/>
    <w:rsid w:val="0070518F"/>
    <w:rsid w:val="00706272"/>
    <w:rsid w:val="007103D2"/>
    <w:rsid w:val="00711D5B"/>
    <w:rsid w:val="00712734"/>
    <w:rsid w:val="0071621B"/>
    <w:rsid w:val="0072001A"/>
    <w:rsid w:val="007208B8"/>
    <w:rsid w:val="00727B81"/>
    <w:rsid w:val="007549B8"/>
    <w:rsid w:val="00754DA5"/>
    <w:rsid w:val="007752DC"/>
    <w:rsid w:val="00775619"/>
    <w:rsid w:val="00775D13"/>
    <w:rsid w:val="00780364"/>
    <w:rsid w:val="00791160"/>
    <w:rsid w:val="00791263"/>
    <w:rsid w:val="00793ADB"/>
    <w:rsid w:val="007941F0"/>
    <w:rsid w:val="0079446C"/>
    <w:rsid w:val="00794FAD"/>
    <w:rsid w:val="007A3048"/>
    <w:rsid w:val="007A3D17"/>
    <w:rsid w:val="007A4225"/>
    <w:rsid w:val="007B4F3D"/>
    <w:rsid w:val="007C3D2C"/>
    <w:rsid w:val="007E3A81"/>
    <w:rsid w:val="007E7103"/>
    <w:rsid w:val="007F522B"/>
    <w:rsid w:val="00801434"/>
    <w:rsid w:val="0080435B"/>
    <w:rsid w:val="00810D44"/>
    <w:rsid w:val="0081149D"/>
    <w:rsid w:val="00812F69"/>
    <w:rsid w:val="00813484"/>
    <w:rsid w:val="0081479F"/>
    <w:rsid w:val="00815AC6"/>
    <w:rsid w:val="00816849"/>
    <w:rsid w:val="0081712B"/>
    <w:rsid w:val="008176A6"/>
    <w:rsid w:val="008208F7"/>
    <w:rsid w:val="008213B5"/>
    <w:rsid w:val="00826FEF"/>
    <w:rsid w:val="00833F37"/>
    <w:rsid w:val="00836A9F"/>
    <w:rsid w:val="0083722C"/>
    <w:rsid w:val="0085127F"/>
    <w:rsid w:val="008530E3"/>
    <w:rsid w:val="00857BA8"/>
    <w:rsid w:val="00863087"/>
    <w:rsid w:val="008641E6"/>
    <w:rsid w:val="008660B2"/>
    <w:rsid w:val="00884311"/>
    <w:rsid w:val="00884A7A"/>
    <w:rsid w:val="00892F0C"/>
    <w:rsid w:val="008A6FC4"/>
    <w:rsid w:val="008A7334"/>
    <w:rsid w:val="008B25BD"/>
    <w:rsid w:val="008B4D0B"/>
    <w:rsid w:val="008C0D0F"/>
    <w:rsid w:val="008C3CA5"/>
    <w:rsid w:val="008D04B7"/>
    <w:rsid w:val="008D3CEC"/>
    <w:rsid w:val="008D76C9"/>
    <w:rsid w:val="008E4595"/>
    <w:rsid w:val="008F233C"/>
    <w:rsid w:val="008F3D7A"/>
    <w:rsid w:val="00916E71"/>
    <w:rsid w:val="00927954"/>
    <w:rsid w:val="00931632"/>
    <w:rsid w:val="00934E3D"/>
    <w:rsid w:val="0094203B"/>
    <w:rsid w:val="00944820"/>
    <w:rsid w:val="00952101"/>
    <w:rsid w:val="00961419"/>
    <w:rsid w:val="0097057F"/>
    <w:rsid w:val="00973B16"/>
    <w:rsid w:val="00980CC6"/>
    <w:rsid w:val="00981A0F"/>
    <w:rsid w:val="009846AC"/>
    <w:rsid w:val="0099212C"/>
    <w:rsid w:val="009A0301"/>
    <w:rsid w:val="009A6674"/>
    <w:rsid w:val="009B088C"/>
    <w:rsid w:val="009B28E6"/>
    <w:rsid w:val="009C5A4D"/>
    <w:rsid w:val="009C686D"/>
    <w:rsid w:val="009C7D17"/>
    <w:rsid w:val="009D790D"/>
    <w:rsid w:val="009E164B"/>
    <w:rsid w:val="009E3FAC"/>
    <w:rsid w:val="009E5B13"/>
    <w:rsid w:val="009F0F10"/>
    <w:rsid w:val="009F2A4E"/>
    <w:rsid w:val="00A034E2"/>
    <w:rsid w:val="00A040C4"/>
    <w:rsid w:val="00A17F0E"/>
    <w:rsid w:val="00A226C7"/>
    <w:rsid w:val="00A23DE8"/>
    <w:rsid w:val="00A25863"/>
    <w:rsid w:val="00A342BC"/>
    <w:rsid w:val="00A36DA4"/>
    <w:rsid w:val="00A46476"/>
    <w:rsid w:val="00A55F42"/>
    <w:rsid w:val="00A5615A"/>
    <w:rsid w:val="00A62BED"/>
    <w:rsid w:val="00A64989"/>
    <w:rsid w:val="00A652D8"/>
    <w:rsid w:val="00A70E7D"/>
    <w:rsid w:val="00A720B7"/>
    <w:rsid w:val="00A7275A"/>
    <w:rsid w:val="00A74970"/>
    <w:rsid w:val="00A77FB3"/>
    <w:rsid w:val="00A87739"/>
    <w:rsid w:val="00AA1C1C"/>
    <w:rsid w:val="00AA399C"/>
    <w:rsid w:val="00AB077A"/>
    <w:rsid w:val="00AB140A"/>
    <w:rsid w:val="00AB2196"/>
    <w:rsid w:val="00AB4135"/>
    <w:rsid w:val="00AB5ADE"/>
    <w:rsid w:val="00AB6DE8"/>
    <w:rsid w:val="00AC4402"/>
    <w:rsid w:val="00AD1B6A"/>
    <w:rsid w:val="00AD2882"/>
    <w:rsid w:val="00AE0B56"/>
    <w:rsid w:val="00AE78A8"/>
    <w:rsid w:val="00AF0773"/>
    <w:rsid w:val="00AF0E3D"/>
    <w:rsid w:val="00AF61DA"/>
    <w:rsid w:val="00AF7613"/>
    <w:rsid w:val="00B0127E"/>
    <w:rsid w:val="00B033DD"/>
    <w:rsid w:val="00B04830"/>
    <w:rsid w:val="00B074FE"/>
    <w:rsid w:val="00B1234F"/>
    <w:rsid w:val="00B131AC"/>
    <w:rsid w:val="00B170DD"/>
    <w:rsid w:val="00B17A9D"/>
    <w:rsid w:val="00B232CC"/>
    <w:rsid w:val="00B25ED7"/>
    <w:rsid w:val="00B267E4"/>
    <w:rsid w:val="00B2712F"/>
    <w:rsid w:val="00B2744A"/>
    <w:rsid w:val="00B33BCC"/>
    <w:rsid w:val="00B40FFD"/>
    <w:rsid w:val="00B4315B"/>
    <w:rsid w:val="00B50E84"/>
    <w:rsid w:val="00B5157A"/>
    <w:rsid w:val="00B51B86"/>
    <w:rsid w:val="00B61074"/>
    <w:rsid w:val="00B803BF"/>
    <w:rsid w:val="00B90F09"/>
    <w:rsid w:val="00B9175C"/>
    <w:rsid w:val="00B92DA8"/>
    <w:rsid w:val="00B936EB"/>
    <w:rsid w:val="00B9460B"/>
    <w:rsid w:val="00BA2478"/>
    <w:rsid w:val="00BB5AEB"/>
    <w:rsid w:val="00BC03DB"/>
    <w:rsid w:val="00BC2C97"/>
    <w:rsid w:val="00BC365C"/>
    <w:rsid w:val="00BC63F2"/>
    <w:rsid w:val="00BD2C90"/>
    <w:rsid w:val="00BD3F10"/>
    <w:rsid w:val="00BD7AF4"/>
    <w:rsid w:val="00BE10EA"/>
    <w:rsid w:val="00BE41F1"/>
    <w:rsid w:val="00BF3C33"/>
    <w:rsid w:val="00C040A9"/>
    <w:rsid w:val="00C04288"/>
    <w:rsid w:val="00C05837"/>
    <w:rsid w:val="00C078B3"/>
    <w:rsid w:val="00C142F6"/>
    <w:rsid w:val="00C229E2"/>
    <w:rsid w:val="00C327D2"/>
    <w:rsid w:val="00C3320D"/>
    <w:rsid w:val="00C35225"/>
    <w:rsid w:val="00C35608"/>
    <w:rsid w:val="00C37733"/>
    <w:rsid w:val="00C4107F"/>
    <w:rsid w:val="00C43539"/>
    <w:rsid w:val="00C66110"/>
    <w:rsid w:val="00C66C78"/>
    <w:rsid w:val="00C72215"/>
    <w:rsid w:val="00C8295E"/>
    <w:rsid w:val="00C851E7"/>
    <w:rsid w:val="00C86FAF"/>
    <w:rsid w:val="00C9464D"/>
    <w:rsid w:val="00CA0F87"/>
    <w:rsid w:val="00CA1DD9"/>
    <w:rsid w:val="00CA39C4"/>
    <w:rsid w:val="00CB0E84"/>
    <w:rsid w:val="00CC0ED6"/>
    <w:rsid w:val="00CC5BEE"/>
    <w:rsid w:val="00CC7A01"/>
    <w:rsid w:val="00CD12BC"/>
    <w:rsid w:val="00CD15E4"/>
    <w:rsid w:val="00CD1AF5"/>
    <w:rsid w:val="00CD2BC5"/>
    <w:rsid w:val="00CE2F93"/>
    <w:rsid w:val="00CE6D68"/>
    <w:rsid w:val="00CF20F9"/>
    <w:rsid w:val="00CF7205"/>
    <w:rsid w:val="00CF7D6C"/>
    <w:rsid w:val="00D022FE"/>
    <w:rsid w:val="00D154FA"/>
    <w:rsid w:val="00D2258E"/>
    <w:rsid w:val="00D25951"/>
    <w:rsid w:val="00D27AB2"/>
    <w:rsid w:val="00D404B6"/>
    <w:rsid w:val="00D44CE2"/>
    <w:rsid w:val="00D47C7A"/>
    <w:rsid w:val="00D561BD"/>
    <w:rsid w:val="00D603AB"/>
    <w:rsid w:val="00D607B6"/>
    <w:rsid w:val="00D63D8F"/>
    <w:rsid w:val="00D66301"/>
    <w:rsid w:val="00D72A63"/>
    <w:rsid w:val="00D744B1"/>
    <w:rsid w:val="00D75E87"/>
    <w:rsid w:val="00D76A9E"/>
    <w:rsid w:val="00D811F8"/>
    <w:rsid w:val="00D831E5"/>
    <w:rsid w:val="00D85620"/>
    <w:rsid w:val="00D867F6"/>
    <w:rsid w:val="00D871CA"/>
    <w:rsid w:val="00D87C26"/>
    <w:rsid w:val="00DA1C79"/>
    <w:rsid w:val="00DB3DEC"/>
    <w:rsid w:val="00DB5E01"/>
    <w:rsid w:val="00DC268B"/>
    <w:rsid w:val="00DC66D3"/>
    <w:rsid w:val="00DD4863"/>
    <w:rsid w:val="00DD4965"/>
    <w:rsid w:val="00DD4C34"/>
    <w:rsid w:val="00DD6099"/>
    <w:rsid w:val="00DD624A"/>
    <w:rsid w:val="00DE14D0"/>
    <w:rsid w:val="00DE2BFC"/>
    <w:rsid w:val="00DF0001"/>
    <w:rsid w:val="00DF38A5"/>
    <w:rsid w:val="00DF3A5B"/>
    <w:rsid w:val="00DF4082"/>
    <w:rsid w:val="00DF4E8A"/>
    <w:rsid w:val="00DF6C36"/>
    <w:rsid w:val="00DF7679"/>
    <w:rsid w:val="00E003A0"/>
    <w:rsid w:val="00E00F36"/>
    <w:rsid w:val="00E046AF"/>
    <w:rsid w:val="00E049FB"/>
    <w:rsid w:val="00E118B3"/>
    <w:rsid w:val="00E135D0"/>
    <w:rsid w:val="00E154AC"/>
    <w:rsid w:val="00E15654"/>
    <w:rsid w:val="00E20B33"/>
    <w:rsid w:val="00E232BA"/>
    <w:rsid w:val="00E252EE"/>
    <w:rsid w:val="00E25BA5"/>
    <w:rsid w:val="00E27E73"/>
    <w:rsid w:val="00E30CCB"/>
    <w:rsid w:val="00E4287C"/>
    <w:rsid w:val="00E46117"/>
    <w:rsid w:val="00E47AA1"/>
    <w:rsid w:val="00E518E0"/>
    <w:rsid w:val="00E55821"/>
    <w:rsid w:val="00E60506"/>
    <w:rsid w:val="00E6150C"/>
    <w:rsid w:val="00E64AC3"/>
    <w:rsid w:val="00E707A3"/>
    <w:rsid w:val="00E71012"/>
    <w:rsid w:val="00E71D3D"/>
    <w:rsid w:val="00E74742"/>
    <w:rsid w:val="00E77435"/>
    <w:rsid w:val="00E82197"/>
    <w:rsid w:val="00E83076"/>
    <w:rsid w:val="00E8466B"/>
    <w:rsid w:val="00E87372"/>
    <w:rsid w:val="00E90F55"/>
    <w:rsid w:val="00E9415C"/>
    <w:rsid w:val="00EA4D8D"/>
    <w:rsid w:val="00EA5B0D"/>
    <w:rsid w:val="00EA60FC"/>
    <w:rsid w:val="00EA7896"/>
    <w:rsid w:val="00EB4F25"/>
    <w:rsid w:val="00ED0701"/>
    <w:rsid w:val="00ED07FD"/>
    <w:rsid w:val="00ED2659"/>
    <w:rsid w:val="00EE489E"/>
    <w:rsid w:val="00EE6E06"/>
    <w:rsid w:val="00EF58A4"/>
    <w:rsid w:val="00EF66F9"/>
    <w:rsid w:val="00EF6ACA"/>
    <w:rsid w:val="00EF6C35"/>
    <w:rsid w:val="00F01548"/>
    <w:rsid w:val="00F03C13"/>
    <w:rsid w:val="00F04DFB"/>
    <w:rsid w:val="00F076B4"/>
    <w:rsid w:val="00F10279"/>
    <w:rsid w:val="00F10F61"/>
    <w:rsid w:val="00F1131B"/>
    <w:rsid w:val="00F12E93"/>
    <w:rsid w:val="00F16784"/>
    <w:rsid w:val="00F16E38"/>
    <w:rsid w:val="00F24E54"/>
    <w:rsid w:val="00F24FBA"/>
    <w:rsid w:val="00F31B3F"/>
    <w:rsid w:val="00F32D87"/>
    <w:rsid w:val="00F36A95"/>
    <w:rsid w:val="00F4373A"/>
    <w:rsid w:val="00F5067C"/>
    <w:rsid w:val="00F5141E"/>
    <w:rsid w:val="00F53611"/>
    <w:rsid w:val="00F543C4"/>
    <w:rsid w:val="00F56B61"/>
    <w:rsid w:val="00F66301"/>
    <w:rsid w:val="00F7690F"/>
    <w:rsid w:val="00F76CCE"/>
    <w:rsid w:val="00F902CF"/>
    <w:rsid w:val="00F905CB"/>
    <w:rsid w:val="00F960BF"/>
    <w:rsid w:val="00F96FDF"/>
    <w:rsid w:val="00FA7412"/>
    <w:rsid w:val="00FA791A"/>
    <w:rsid w:val="00FB2488"/>
    <w:rsid w:val="00FB2626"/>
    <w:rsid w:val="00FB3489"/>
    <w:rsid w:val="00FE0DA1"/>
    <w:rsid w:val="00FF365F"/>
    <w:rsid w:val="00FF71FF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557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3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4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2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52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11F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7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C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C6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6F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F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6FD4"/>
    <w:rPr>
      <w:vertAlign w:val="superscript"/>
    </w:rPr>
  </w:style>
  <w:style w:type="character" w:customStyle="1" w:styleId="cf01">
    <w:name w:val="cf01"/>
    <w:basedOn w:val="DefaultParagraphFont"/>
    <w:rsid w:val="0094203B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3F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C6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5E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5E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5ED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61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1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3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4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2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52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11F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7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C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C6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6F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F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6FD4"/>
    <w:rPr>
      <w:vertAlign w:val="superscript"/>
    </w:rPr>
  </w:style>
  <w:style w:type="character" w:customStyle="1" w:styleId="cf01">
    <w:name w:val="cf01"/>
    <w:basedOn w:val="DefaultParagraphFont"/>
    <w:rsid w:val="0094203B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3F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C6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5E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5E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5ED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61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1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endnotes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countyhealthrankings.org/reports/what-works-social-and-economic-opportunities-to-improve-health-for-all" TargetMode="External"/><Relationship Id="rId20" Type="http://schemas.openxmlformats.org/officeDocument/2006/relationships/hyperlink" Target="https://healthycommunitiesde.org/vital-conditions-data" TargetMode="External"/><Relationship Id="rId10" Type="http://schemas.openxmlformats.org/officeDocument/2006/relationships/hyperlink" Target="https://www.thecommunityguide.org/" TargetMode="External"/><Relationship Id="rId11" Type="http://schemas.openxmlformats.org/officeDocument/2006/relationships/hyperlink" Target="https://www.cdc.gov/policy/hst/hi5/index.html" TargetMode="External"/><Relationship Id="rId12" Type="http://schemas.openxmlformats.org/officeDocument/2006/relationships/hyperlink" Target="https://thriving.us/share-thriving-together/" TargetMode="External"/><Relationship Id="rId13" Type="http://schemas.openxmlformats.org/officeDocument/2006/relationships/hyperlink" Target="https://www.nap.edu/read/24624/chapter/1" TargetMode="External"/><Relationship Id="rId14" Type="http://schemas.openxmlformats.org/officeDocument/2006/relationships/hyperlink" Target="https://aspe.hhs.gov/sites/default/files/documents/e400d2ae6a6790287c5176e36fe47040/PR-A1010-1_final.pdf" TargetMode="External"/><Relationship Id="rId15" Type="http://schemas.openxmlformats.org/officeDocument/2006/relationships/hyperlink" Target="https://www.milbank.org/quarterly/articles/which-priorities-for-health-and-well%E2%80%90being-stand-out-after-accounting-for-tangled-threats-and-costs-simulating-potential-intervention-portfolios-in-large-urban-counties/" TargetMode="External"/><Relationship Id="rId16" Type="http://schemas.openxmlformats.org/officeDocument/2006/relationships/hyperlink" Target="https://doi.org/10.1186/s43058-022-00314-1" TargetMode="External"/><Relationship Id="rId17" Type="http://schemas.openxmlformats.org/officeDocument/2006/relationships/hyperlink" Target="https://healthycommunitiesde.org/network" TargetMode="External"/><Relationship Id="rId18" Type="http://schemas.openxmlformats.org/officeDocument/2006/relationships/hyperlink" Target="https://healthycommunitiesde.org/community-impact-1" TargetMode="External"/><Relationship Id="rId19" Type="http://schemas.openxmlformats.org/officeDocument/2006/relationships/hyperlink" Target="https://www.i-p3.org/post/a-new-method-for-measuring-thriving-struggling-or-suffering" TargetMode="External"/><Relationship Id="rId1" Type="http://schemas.openxmlformats.org/officeDocument/2006/relationships/hyperlink" Target="https://www.bewellpbc.org/blog/impact-reports/2021-impact-report/" TargetMode="External"/><Relationship Id="rId2" Type="http://schemas.openxmlformats.org/officeDocument/2006/relationships/hyperlink" Target="https://www.imaginefoxcities.com/" TargetMode="External"/><Relationship Id="rId3" Type="http://schemas.openxmlformats.org/officeDocument/2006/relationships/hyperlink" Target="https://healthycommunitiesde.org/" TargetMode="External"/><Relationship Id="rId4" Type="http://schemas.openxmlformats.org/officeDocument/2006/relationships/hyperlink" Target="https://winnetwork.org/vital-conditions" TargetMode="External"/><Relationship Id="rId5" Type="http://schemas.openxmlformats.org/officeDocument/2006/relationships/hyperlink" Target="https://www.hhs.gov/sites/default/files/chep-sgr-full-report.pdf" TargetMode="External"/><Relationship Id="rId6" Type="http://schemas.openxmlformats.org/officeDocument/2006/relationships/hyperlink" Target="https://health.gov/news/202201/equity-and-enhanced-individual-and-community-resilience-are-integral-meaningful-recovery" TargetMode="External"/><Relationship Id="rId7" Type="http://schemas.openxmlformats.org/officeDocument/2006/relationships/hyperlink" Target="https://www.nationalcivicleague.org/ncr-article/reclaiming-well-being-in-america-the-vital-conditions-that-make-people-and-places-healthier-and-more-resilient/" TargetMode="External"/><Relationship Id="rId8" Type="http://schemas.openxmlformats.org/officeDocument/2006/relationships/hyperlink" Target="https://www2.deloitte.com/us/en/insights/industry/health-care/the-future-of-public-healt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900E1-A546-1D49-9914-F82ED524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3946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Chaiken</dc:creator>
  <cp:keywords/>
  <dc:description/>
  <cp:lastModifiedBy>PATRICK</cp:lastModifiedBy>
  <cp:revision>2</cp:revision>
  <dcterms:created xsi:type="dcterms:W3CDTF">2022-10-14T14:46:00Z</dcterms:created>
  <dcterms:modified xsi:type="dcterms:W3CDTF">2022-10-14T14:46:00Z</dcterms:modified>
</cp:coreProperties>
</file>