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C33" w:rsidRDefault="00606C33" w:rsidP="00606C33">
      <w:pPr>
        <w:pStyle w:val="NormalWeb"/>
        <w:spacing w:before="0" w:beforeAutospacing="0" w:after="0" w:afterAutospacing="0"/>
        <w:rPr>
          <w:rStyle w:val="x-el"/>
          <w:color w:val="5E5E5E"/>
          <w:sz w:val="28"/>
          <w:szCs w:val="28"/>
        </w:rPr>
      </w:pPr>
      <w:r>
        <w:rPr>
          <w:rStyle w:val="x-el"/>
          <w:color w:val="5E5E5E"/>
          <w:sz w:val="28"/>
          <w:szCs w:val="28"/>
        </w:rPr>
        <w:t>Street Stock Semi</w:t>
      </w:r>
      <w:bookmarkStart w:id="0" w:name="_GoBack"/>
      <w:bookmarkEnd w:id="0"/>
    </w:p>
    <w:p w:rsidR="00606C33" w:rsidRDefault="00606C33" w:rsidP="00606C33">
      <w:pPr>
        <w:pStyle w:val="NormalWeb"/>
        <w:spacing w:before="0" w:beforeAutospacing="0" w:after="0" w:afterAutospacing="0"/>
        <w:rPr>
          <w:rStyle w:val="x-el"/>
          <w:color w:val="5E5E5E"/>
          <w:sz w:val="28"/>
          <w:szCs w:val="28"/>
        </w:rPr>
      </w:pPr>
    </w:p>
    <w:p w:rsidR="00606C33" w:rsidRDefault="00606C33" w:rsidP="00606C33">
      <w:pPr>
        <w:pStyle w:val="NormalWeb"/>
        <w:spacing w:before="0" w:beforeAutospacing="0" w:after="0" w:afterAutospacing="0"/>
        <w:rPr>
          <w:rStyle w:val="x-el"/>
          <w:color w:val="5E5E5E"/>
          <w:sz w:val="28"/>
          <w:szCs w:val="28"/>
        </w:rPr>
      </w:pP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 xml:space="preserve">This is a class for street stock and street licensed </w:t>
      </w:r>
      <w:proofErr w:type="spellStart"/>
      <w:r w:rsidRPr="00606C33">
        <w:rPr>
          <w:rStyle w:val="x-el"/>
          <w:color w:val="5E5E5E"/>
          <w:sz w:val="28"/>
          <w:szCs w:val="28"/>
        </w:rPr>
        <w:t>semi trucks</w:t>
      </w:r>
      <w:proofErr w:type="spellEnd"/>
      <w:r w:rsidRPr="00606C33">
        <w:rPr>
          <w:rStyle w:val="x-el"/>
          <w:color w:val="5E5E5E"/>
          <w:sz w:val="28"/>
          <w:szCs w:val="28"/>
        </w:rPr>
        <w:t>. Trucks in this class are expected to be regularly driven on the highway. Any truck that dominates in the class will be moved up. This is a PURE STOCK class. </w:t>
      </w:r>
    </w:p>
    <w:p w:rsidR="00606C33" w:rsidRPr="00606C33" w:rsidRDefault="00606C33" w:rsidP="00606C33">
      <w:pPr>
        <w:pStyle w:val="NormalWeb"/>
        <w:spacing w:before="0" w:beforeAutospacing="0" w:after="0" w:afterAutospacing="0"/>
        <w:rPr>
          <w:color w:val="5E5E5E"/>
          <w:sz w:val="28"/>
          <w:szCs w:val="28"/>
        </w:rPr>
      </w:pPr>
      <w:r w:rsidRPr="00606C33">
        <w:rPr>
          <w:color w:val="5E5E5E"/>
          <w:sz w:val="28"/>
          <w:szCs w:val="28"/>
        </w:rPr>
        <w:br w:type="textWrapping" w:clear="all"/>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1. Legality of entry: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 xml:space="preserve">a. All entries must be a street licensed </w:t>
      </w:r>
      <w:proofErr w:type="spellStart"/>
      <w:r w:rsidRPr="00606C33">
        <w:rPr>
          <w:rStyle w:val="x-el"/>
          <w:color w:val="5E5E5E"/>
          <w:sz w:val="28"/>
          <w:szCs w:val="28"/>
        </w:rPr>
        <w:t>semi truck</w:t>
      </w:r>
      <w:proofErr w:type="spellEnd"/>
      <w:r w:rsidRPr="00606C33">
        <w:rPr>
          <w:rStyle w:val="x-el"/>
          <w:color w:val="5E5E5E"/>
          <w:sz w:val="28"/>
          <w:szCs w:val="28"/>
        </w:rPr>
        <w:t>.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b. The owner must furnish a current registration card for the vehicle at the time of registration and the driver must have a valid CDL license.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c. Truck must be capable of pulling a trailer on the highway.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d. All trucks must be driven to pulls. </w:t>
      </w:r>
    </w:p>
    <w:p w:rsidR="00606C33" w:rsidRPr="00606C33" w:rsidRDefault="00606C33" w:rsidP="00606C33">
      <w:pPr>
        <w:pStyle w:val="NormalWeb"/>
        <w:spacing w:before="0" w:beforeAutospacing="0" w:after="0" w:afterAutospacing="0"/>
        <w:rPr>
          <w:color w:val="5E5E5E"/>
          <w:sz w:val="28"/>
          <w:szCs w:val="28"/>
        </w:rPr>
      </w:pPr>
      <w:r w:rsidRPr="00606C33">
        <w:rPr>
          <w:color w:val="5E5E5E"/>
          <w:sz w:val="28"/>
          <w:szCs w:val="28"/>
        </w:rPr>
        <w:br w:type="textWrapping" w:clear="all"/>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2. Safety considerations: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a. No riders are permitted in truck during pull attempt.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b. Driver may not leave the driver’s seat while vehicle is on the pulling track. Driver will take all direction from the flagman on the track.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c. Drivers must use a seatbelt and shoulder harness when hooked to the sled. </w:t>
      </w:r>
    </w:p>
    <w:p w:rsidR="00606C33" w:rsidRPr="00606C33" w:rsidRDefault="00606C33" w:rsidP="00606C33">
      <w:pPr>
        <w:pStyle w:val="NormalWeb"/>
        <w:spacing w:before="0" w:beforeAutospacing="0" w:after="0" w:afterAutospacing="0"/>
        <w:rPr>
          <w:color w:val="5E5E5E"/>
          <w:sz w:val="28"/>
          <w:szCs w:val="28"/>
        </w:rPr>
      </w:pPr>
      <w:r w:rsidRPr="00606C33">
        <w:rPr>
          <w:color w:val="5E5E5E"/>
          <w:sz w:val="28"/>
          <w:szCs w:val="28"/>
        </w:rPr>
        <w:br w:type="textWrapping" w:clear="all"/>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3. Hitches: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a. The hitch must work from the 5th wheel with the 5th wheel centered between the two rear axles. The hitch must be adjustable so that the height from the ground to the point of hook is between 18” and 14” + or – 1”.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b. The hitch will be measured immediately before the semi hooks to the sled.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c. The promoter will provide hitches at each event </w:t>
      </w:r>
    </w:p>
    <w:p w:rsidR="00606C33" w:rsidRPr="00606C33" w:rsidRDefault="00606C33" w:rsidP="00606C33">
      <w:pPr>
        <w:pStyle w:val="NormalWeb"/>
        <w:spacing w:before="0" w:beforeAutospacing="0" w:after="0" w:afterAutospacing="0"/>
        <w:rPr>
          <w:color w:val="5E5E5E"/>
          <w:sz w:val="28"/>
          <w:szCs w:val="28"/>
        </w:rPr>
      </w:pPr>
      <w:r w:rsidRPr="00606C33">
        <w:rPr>
          <w:color w:val="5E5E5E"/>
          <w:sz w:val="28"/>
          <w:szCs w:val="28"/>
        </w:rPr>
        <w:br w:type="textWrapping" w:clear="all"/>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4. Airbags: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a. The use of air bags is permitted. However no air may be added to or removed from the airbags while the truck is hooked to the weight transfer machine.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b. The height of the hitch must remain the same from start to finish. Any change in the hitch height will be cause for disqualification. </w:t>
      </w:r>
    </w:p>
    <w:p w:rsidR="00606C33" w:rsidRPr="00606C33" w:rsidRDefault="00606C33" w:rsidP="00606C33">
      <w:pPr>
        <w:pStyle w:val="NormalWeb"/>
        <w:spacing w:before="0" w:beforeAutospacing="0" w:after="0" w:afterAutospacing="0"/>
        <w:rPr>
          <w:color w:val="5E5E5E"/>
          <w:sz w:val="28"/>
          <w:szCs w:val="28"/>
        </w:rPr>
      </w:pPr>
      <w:r w:rsidRPr="00606C33">
        <w:rPr>
          <w:color w:val="5E5E5E"/>
          <w:sz w:val="28"/>
          <w:szCs w:val="28"/>
        </w:rPr>
        <w:br w:type="textWrapping" w:clear="all"/>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5. Weight of Truck (22,000 lb. maximum)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a. The truck shall appear “road ready”.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lastRenderedPageBreak/>
        <w:t>b. No added weight or ballast is permitted.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c. Special trucks, such as oil field trucks that carry additional weight that is not normally found on a “road ready” truck are not permitted in this class.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d. The promoter may weigh any truck at any time.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e. Trucks will triple (3) rear axles are not permitted to participate in this class. </w:t>
      </w:r>
    </w:p>
    <w:p w:rsidR="00606C33" w:rsidRPr="00606C33" w:rsidRDefault="00606C33" w:rsidP="00606C33">
      <w:pPr>
        <w:pStyle w:val="NormalWeb"/>
        <w:spacing w:before="0" w:beforeAutospacing="0" w:after="0" w:afterAutospacing="0"/>
        <w:rPr>
          <w:color w:val="5E5E5E"/>
          <w:sz w:val="28"/>
          <w:szCs w:val="28"/>
        </w:rPr>
      </w:pPr>
      <w:r w:rsidRPr="00606C33">
        <w:rPr>
          <w:color w:val="5E5E5E"/>
          <w:sz w:val="28"/>
          <w:szCs w:val="28"/>
        </w:rPr>
        <w:br w:type="textWrapping" w:clear="all"/>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 xml:space="preserve">6. RPM Limit </w:t>
      </w:r>
      <w:proofErr w:type="gramStart"/>
      <w:r w:rsidRPr="00606C33">
        <w:rPr>
          <w:rStyle w:val="x-el"/>
          <w:color w:val="5E5E5E"/>
          <w:sz w:val="28"/>
          <w:szCs w:val="28"/>
        </w:rPr>
        <w:t>The</w:t>
      </w:r>
      <w:proofErr w:type="gramEnd"/>
      <w:r w:rsidRPr="00606C33">
        <w:rPr>
          <w:rStyle w:val="x-el"/>
          <w:color w:val="5E5E5E"/>
          <w:sz w:val="28"/>
          <w:szCs w:val="28"/>
        </w:rPr>
        <w:t xml:space="preserve"> RPM limit is 2500. </w:t>
      </w:r>
    </w:p>
    <w:p w:rsidR="00606C33" w:rsidRPr="00606C33" w:rsidRDefault="00606C33" w:rsidP="00606C33">
      <w:pPr>
        <w:pStyle w:val="NormalWeb"/>
        <w:spacing w:before="0" w:beforeAutospacing="0" w:after="0" w:afterAutospacing="0"/>
        <w:rPr>
          <w:color w:val="5E5E5E"/>
          <w:sz w:val="28"/>
          <w:szCs w:val="28"/>
        </w:rPr>
      </w:pPr>
      <w:r w:rsidRPr="00606C33">
        <w:rPr>
          <w:color w:val="5E5E5E"/>
          <w:sz w:val="28"/>
          <w:szCs w:val="28"/>
        </w:rPr>
        <w:br w:type="textWrapping" w:clear="all"/>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7. Specialty Rules: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a. RPM limit is 2500.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b. Water injection in any form is not permitted.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c. No ether, alcohol, nitrous or other combustible (propellant) liquid or combustible material may be injected into the turbo-</w:t>
      </w:r>
      <w:proofErr w:type="spellStart"/>
      <w:r w:rsidRPr="00606C33">
        <w:rPr>
          <w:rStyle w:val="x-el"/>
          <w:color w:val="5E5E5E"/>
          <w:sz w:val="28"/>
          <w:szCs w:val="28"/>
        </w:rPr>
        <w:t>charger</w:t>
      </w:r>
      <w:proofErr w:type="spellEnd"/>
      <w:r w:rsidRPr="00606C33">
        <w:rPr>
          <w:rStyle w:val="x-el"/>
          <w:color w:val="5E5E5E"/>
          <w:sz w:val="28"/>
          <w:szCs w:val="28"/>
        </w:rPr>
        <w:t xml:space="preserve"> or any part of the air intake system.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d. Alteration/modification/replacement of the (OEM) original factory fuel pump is not permitted. No pump may be modified with Sigma parts. No Billet fuel pumps. e. Engine must have factory fuel pump for that engine. Example: A Cummins engine must have a Cummins fuel pump - A Detroit must have a Detroit fuel pump – A Cat must have a cat fuel pump.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f. No sigma pumps OR MW pumps are permitted.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g. Normal pump diesel is the only fuel permitted in this class.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h. OEM turbo in OEM location. </w:t>
      </w:r>
    </w:p>
    <w:p w:rsidR="00606C33" w:rsidRPr="00606C33" w:rsidRDefault="00606C33" w:rsidP="00606C33">
      <w:pPr>
        <w:pStyle w:val="NormalWeb"/>
        <w:spacing w:before="0" w:beforeAutospacing="0" w:after="0" w:afterAutospacing="0"/>
        <w:rPr>
          <w:color w:val="5E5E5E"/>
          <w:sz w:val="28"/>
          <w:szCs w:val="28"/>
        </w:rPr>
      </w:pPr>
      <w:proofErr w:type="spellStart"/>
      <w:r w:rsidRPr="00606C33">
        <w:rPr>
          <w:rStyle w:val="x-el"/>
          <w:color w:val="5E5E5E"/>
          <w:sz w:val="28"/>
          <w:szCs w:val="28"/>
        </w:rPr>
        <w:t>i</w:t>
      </w:r>
      <w:proofErr w:type="spellEnd"/>
      <w:r w:rsidRPr="00606C33">
        <w:rPr>
          <w:rStyle w:val="x-el"/>
          <w:color w:val="5E5E5E"/>
          <w:sz w:val="28"/>
          <w:szCs w:val="28"/>
        </w:rPr>
        <w:t>. Fifth Wheel Position- Kingpin/Fifth wheel plate position--No further forward then the center of the front axle and no further back then center between the two axles. j. Tandem axle spacing must be OEM.</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k. Factory air cleaner must be in place and working </w:t>
      </w:r>
    </w:p>
    <w:p w:rsidR="00606C33" w:rsidRPr="00606C33" w:rsidRDefault="00606C33" w:rsidP="00606C33">
      <w:pPr>
        <w:pStyle w:val="NormalWeb"/>
        <w:spacing w:before="0" w:beforeAutospacing="0" w:after="0" w:afterAutospacing="0"/>
        <w:rPr>
          <w:color w:val="5E5E5E"/>
          <w:sz w:val="28"/>
          <w:szCs w:val="28"/>
        </w:rPr>
      </w:pPr>
      <w:r w:rsidRPr="00606C33">
        <w:rPr>
          <w:rStyle w:val="x-el"/>
          <w:color w:val="5E5E5E"/>
          <w:sz w:val="28"/>
          <w:szCs w:val="28"/>
        </w:rPr>
        <w:t>l. See Diagram regarding minimum swing clearanc</w:t>
      </w:r>
      <w:r w:rsidRPr="00606C33">
        <w:rPr>
          <w:rStyle w:val="x-el"/>
          <w:color w:val="5E5E5E"/>
          <w:sz w:val="28"/>
          <w:szCs w:val="28"/>
        </w:rPr>
        <w:t>e</w:t>
      </w:r>
    </w:p>
    <w:p w:rsidR="00106E9F" w:rsidRDefault="00106E9F"/>
    <w:sectPr w:rsidR="00106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33"/>
    <w:rsid w:val="00106E9F"/>
    <w:rsid w:val="0060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0DE1-EC3A-4396-A4E9-83462CD6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60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Minor</dc:creator>
  <cp:keywords/>
  <dc:description/>
  <cp:lastModifiedBy>Mandi Minor</cp:lastModifiedBy>
  <cp:revision>1</cp:revision>
  <dcterms:created xsi:type="dcterms:W3CDTF">2019-12-31T02:19:00Z</dcterms:created>
  <dcterms:modified xsi:type="dcterms:W3CDTF">2019-12-31T02:22:00Z</dcterms:modified>
</cp:coreProperties>
</file>