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9E4DD" w14:textId="77777777" w:rsidR="003F4FA0" w:rsidRPr="003F4FA0" w:rsidRDefault="003F4FA0" w:rsidP="003F4FA0">
      <w:pPr>
        <w:spacing w:before="600" w:after="100" w:afterAutospacing="1" w:line="840" w:lineRule="atLeast"/>
        <w:outlineLvl w:val="0"/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  <w:lang w:eastAsia="en-CA"/>
        </w:rPr>
        <w:t>WHO Information Notice for IVD Users 2020/05</w:t>
      </w:r>
    </w:p>
    <w:p w14:paraId="429DB592" w14:textId="77777777" w:rsidR="003F4FA0" w:rsidRPr="003F4FA0" w:rsidRDefault="003F4FA0" w:rsidP="003F4FA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38"/>
          <w:szCs w:val="38"/>
          <w:lang w:eastAsia="en-CA"/>
        </w:rPr>
        <w:t>Nucleic acid testing (NAT) technologies that use polymerase chain reaction (PCR) for detection of SARS-CoV-2</w:t>
      </w:r>
    </w:p>
    <w:p w14:paraId="374B803A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</w:pPr>
      <w:r w:rsidRPr="003F4FA0">
        <w:rPr>
          <w:rFonts w:ascii="Arial" w:eastAsia="Times New Roman" w:hAnsi="Arial" w:cs="Arial"/>
          <w:color w:val="6A6A6A"/>
          <w:sz w:val="21"/>
          <w:szCs w:val="21"/>
          <w:lang w:eastAsia="en-CA"/>
        </w:rPr>
        <w:t>20 January 2021</w:t>
      </w:r>
      <w:r w:rsidRPr="003F4FA0"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  <w:t> </w:t>
      </w:r>
    </w:p>
    <w:p w14:paraId="6682F0E8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color w:val="6A6A6A"/>
          <w:sz w:val="21"/>
          <w:szCs w:val="21"/>
          <w:lang w:eastAsia="en-CA"/>
        </w:rPr>
      </w:pPr>
      <w:r w:rsidRPr="003F4FA0">
        <w:rPr>
          <w:rFonts w:ascii="Arial" w:eastAsia="Times New Roman" w:hAnsi="Arial" w:cs="Arial"/>
          <w:color w:val="6A6A6A"/>
          <w:sz w:val="21"/>
          <w:szCs w:val="21"/>
          <w:lang w:eastAsia="en-CA"/>
        </w:rPr>
        <w:t>Medical product alert</w:t>
      </w:r>
    </w:p>
    <w:p w14:paraId="4860EB31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  <w:t> </w:t>
      </w:r>
    </w:p>
    <w:p w14:paraId="492B9AC1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color w:val="6A6A6A"/>
          <w:sz w:val="21"/>
          <w:szCs w:val="21"/>
          <w:lang w:eastAsia="en-CA"/>
        </w:rPr>
      </w:pPr>
      <w:r w:rsidRPr="003F4FA0">
        <w:rPr>
          <w:rFonts w:ascii="Arial" w:eastAsia="Times New Roman" w:hAnsi="Arial" w:cs="Arial"/>
          <w:color w:val="6A6A6A"/>
          <w:sz w:val="21"/>
          <w:szCs w:val="21"/>
          <w:lang w:eastAsia="en-CA"/>
        </w:rPr>
        <w:t>Geneva</w:t>
      </w:r>
    </w:p>
    <w:p w14:paraId="28DCC3CB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6A6A6A"/>
          <w:sz w:val="20"/>
          <w:szCs w:val="20"/>
          <w:lang w:eastAsia="en-CA"/>
        </w:rPr>
        <w:t> </w:t>
      </w:r>
    </w:p>
    <w:p w14:paraId="385008E1" w14:textId="77777777" w:rsidR="003F4FA0" w:rsidRPr="003F4FA0" w:rsidRDefault="003F4FA0" w:rsidP="003F4FA0">
      <w:pPr>
        <w:spacing w:after="0" w:line="240" w:lineRule="auto"/>
        <w:rPr>
          <w:rFonts w:ascii="Arial" w:eastAsia="Times New Roman" w:hAnsi="Arial" w:cs="Arial"/>
          <w:color w:val="6A6A6A"/>
          <w:sz w:val="21"/>
          <w:szCs w:val="21"/>
          <w:lang w:eastAsia="en-CA"/>
        </w:rPr>
      </w:pPr>
      <w:r w:rsidRPr="003F4FA0">
        <w:rPr>
          <w:rFonts w:ascii="Arial" w:eastAsia="Times New Roman" w:hAnsi="Arial" w:cs="Arial"/>
          <w:color w:val="6A6A6A"/>
          <w:sz w:val="21"/>
          <w:szCs w:val="21"/>
          <w:lang w:eastAsia="en-CA"/>
        </w:rPr>
        <w:t>Reading time: 1 min (370 words)</w:t>
      </w:r>
    </w:p>
    <w:p w14:paraId="71717A2D" w14:textId="77777777" w:rsidR="003F4FA0" w:rsidRPr="003F4FA0" w:rsidRDefault="003F4FA0" w:rsidP="003F4FA0">
      <w:pPr>
        <w:shd w:val="clear" w:color="auto" w:fill="FFFFFF"/>
        <w:spacing w:after="9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8DC9"/>
          <w:sz w:val="24"/>
          <w:szCs w:val="24"/>
          <w:lang w:eastAsia="en-CA"/>
        </w:rPr>
      </w:pPr>
      <w:hyperlink r:id="rId5" w:history="1">
        <w:proofErr w:type="spellStart"/>
        <w:r w:rsidRPr="003F4FA0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en-CA"/>
          </w:rPr>
          <w:t>Español</w:t>
        </w:r>
        <w:proofErr w:type="spellEnd"/>
      </w:hyperlink>
    </w:p>
    <w:p w14:paraId="2968F368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Product type: 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Nucleic acid testing (NAT) technologies that use polymerase chain reaction (PCR) for detection of SARS-CoV-2</w:t>
      </w:r>
    </w:p>
    <w:p w14:paraId="3A4E955A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Date: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 13 January 2021                                                                      </w:t>
      </w:r>
    </w:p>
    <w:p w14:paraId="73C47CDA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WHO-identifier: 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2020/5, version 2</w:t>
      </w:r>
    </w:p>
    <w:p w14:paraId="53F6AB42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Target audience: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 laboratory professionals and users of IVDs.</w:t>
      </w:r>
    </w:p>
    <w:p w14:paraId="3914EAC1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Purpose of this notice: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 clarify information previously provided by WHO. This notice supersedes WHO Information Notice for In Vitro Diagnostic Medical Device (IVD) Users 2020/05 version 1, issued 14 December 2020.</w:t>
      </w:r>
    </w:p>
    <w:p w14:paraId="727EB78A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Description of the problem: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 WHO requests users to follow the instructions for use (IFU) when interpreting results for specimens tested using PCR methodology.  </w:t>
      </w:r>
    </w:p>
    <w:p w14:paraId="025429A4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Users of IVDs must read and follo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w the IFU carefully to determine if manual adjustment of the PCR positivity threshold is recommended by the manufacturer.</w:t>
      </w:r>
    </w:p>
    <w:p w14:paraId="71CE1978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lastRenderedPageBreak/>
        <w:t>WHO guidance </w:t>
      </w:r>
      <w:hyperlink r:id="rId6" w:tgtFrame="_blank" w:history="1">
        <w:r w:rsidRPr="003F4FA0">
          <w:rPr>
            <w:rFonts w:ascii="Arial" w:eastAsia="Times New Roman" w:hAnsi="Arial" w:cs="Arial"/>
            <w:color w:val="008DC9"/>
            <w:sz w:val="24"/>
            <w:szCs w:val="24"/>
            <w:u w:val="single"/>
            <w:lang w:eastAsia="en-CA"/>
          </w:rPr>
          <w:t>Diagnostic testing for SARS-CoV-2</w:t>
        </w:r>
      </w:hyperlink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 states that careful interpretation of weak positive results is needed (</w:t>
      </w:r>
      <w:r w:rsidRPr="003F4FA0">
        <w:rPr>
          <w:rFonts w:ascii="Arial" w:eastAsia="Times New Roman" w:hAnsi="Arial" w:cs="Arial"/>
          <w:i/>
          <w:iCs/>
          <w:color w:val="3C4245"/>
          <w:sz w:val="24"/>
          <w:szCs w:val="24"/>
          <w:lang w:eastAsia="en-CA"/>
        </w:rPr>
        <w:t>1</w:t>
      </w: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). The cycle threshold (Ct) needed to detect virus is inversely proportional to the patient’s viral load. Where test results do not correspond with the clinical presentation, a new specimen should be taken and retested using the same or different NAT technology.</w:t>
      </w:r>
    </w:p>
    <w:p w14:paraId="0AB406D6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WHO reminds IVD users that disease prevalence alters the predictive value of test results; as disease prevalence decreases, the risk of false positive increases (</w:t>
      </w:r>
      <w:r w:rsidRPr="003F4FA0">
        <w:rPr>
          <w:rFonts w:ascii="Arial" w:eastAsia="Times New Roman" w:hAnsi="Arial" w:cs="Arial"/>
          <w:i/>
          <w:iCs/>
          <w:color w:val="3C4245"/>
          <w:sz w:val="24"/>
          <w:szCs w:val="24"/>
          <w:lang w:eastAsia="en-CA"/>
        </w:rPr>
        <w:t>2</w:t>
      </w:r>
      <w:proofErr w:type="gramStart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).</w:t>
      </w:r>
      <w:proofErr w:type="gramEnd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 xml:space="preserve"> This means that the probability that a person who has a positive result (SARS-CoV-2 detected) is truly infected with SARS-CoV-2 decreases as prevalence decreases, irrespective of the claimed specificity.</w:t>
      </w:r>
    </w:p>
    <w:p w14:paraId="3776FC0F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 xml:space="preserve">Most PCR assays are indicated as an aid for </w:t>
      </w:r>
      <w:proofErr w:type="gramStart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diagnosis,</w:t>
      </w:r>
      <w:proofErr w:type="gramEnd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 xml:space="preserve"> therefore, health care providers must consider any result in combination with timing of sampling, specimen type, assay specifics, clinical observations, patient history, confirmed status of any contacts, and epidemiological information.</w:t>
      </w:r>
    </w:p>
    <w:p w14:paraId="6AB0ADC1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Actions to be taken by IVD users:</w:t>
      </w:r>
    </w:p>
    <w:p w14:paraId="1706AAF2" w14:textId="77777777" w:rsidR="003F4FA0" w:rsidRPr="003F4FA0" w:rsidRDefault="003F4FA0" w:rsidP="003F4F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Please read carefully the IFU in its entirety.</w:t>
      </w:r>
    </w:p>
    <w:p w14:paraId="75D8B39E" w14:textId="77777777" w:rsidR="003F4FA0" w:rsidRPr="003F4FA0" w:rsidRDefault="003F4FA0" w:rsidP="003F4F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Contact your local representative if there is any aspect of the IFU that is unclear to you.</w:t>
      </w:r>
    </w:p>
    <w:p w14:paraId="156FACF6" w14:textId="77777777" w:rsidR="003F4FA0" w:rsidRPr="003F4FA0" w:rsidRDefault="003F4FA0" w:rsidP="003F4F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Check the IFU for each incoming consignment to detect any changes to the IFU.</w:t>
      </w:r>
    </w:p>
    <w:p w14:paraId="784B16E1" w14:textId="77777777" w:rsidR="003F4FA0" w:rsidRPr="003F4FA0" w:rsidRDefault="003F4FA0" w:rsidP="003F4F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Provide the Ct value in the report to the requesting health care provider.</w:t>
      </w:r>
    </w:p>
    <w:p w14:paraId="73B9BACF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Contact person for further information:</w:t>
      </w:r>
    </w:p>
    <w:p w14:paraId="374087D1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Anita SANDS, Regulation and Prequalification, World Health Organization, e-mail: </w:t>
      </w:r>
      <w:hyperlink r:id="rId7" w:tgtFrame="_blank" w:history="1">
        <w:r w:rsidRPr="003F4FA0">
          <w:rPr>
            <w:rFonts w:ascii="Arial" w:eastAsia="Times New Roman" w:hAnsi="Arial" w:cs="Arial"/>
            <w:color w:val="008DC9"/>
            <w:sz w:val="24"/>
            <w:szCs w:val="24"/>
            <w:u w:val="single"/>
            <w:lang w:eastAsia="en-CA"/>
          </w:rPr>
          <w:t>rapidalert@who.int</w:t>
        </w:r>
      </w:hyperlink>
    </w:p>
    <w:p w14:paraId="41A73711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b/>
          <w:bCs/>
          <w:color w:val="3C4245"/>
          <w:sz w:val="24"/>
          <w:szCs w:val="24"/>
          <w:lang w:eastAsia="en-CA"/>
        </w:rPr>
        <w:t>References:</w:t>
      </w:r>
    </w:p>
    <w:p w14:paraId="46F84E5C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1. Diagnostic testing for SARS-CoV-2. Geneva: World Health Organization; 2020, WHO reference number WHO/2019-nCoV/laboratory/2020.6.</w:t>
      </w:r>
    </w:p>
    <w:p w14:paraId="3EE2E854" w14:textId="77777777" w:rsidR="003F4FA0" w:rsidRPr="003F4FA0" w:rsidRDefault="003F4FA0" w:rsidP="003F4FA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en-CA"/>
        </w:rPr>
      </w:pPr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 xml:space="preserve">2. Altman DG, Bland JM. Diagnostic tests 2: Predictive values. BMJ. 1994 Jul 9;309(6947):102. </w:t>
      </w:r>
      <w:proofErr w:type="spellStart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doi</w:t>
      </w:r>
      <w:proofErr w:type="spellEnd"/>
      <w:r w:rsidRPr="003F4FA0">
        <w:rPr>
          <w:rFonts w:ascii="Arial" w:eastAsia="Times New Roman" w:hAnsi="Arial" w:cs="Arial"/>
          <w:color w:val="3C4245"/>
          <w:sz w:val="24"/>
          <w:szCs w:val="24"/>
          <w:lang w:eastAsia="en-CA"/>
        </w:rPr>
        <w:t>: 10.1136/bmj.309.6947.102. </w:t>
      </w:r>
    </w:p>
    <w:p w14:paraId="2C8E14AF" w14:textId="77777777" w:rsidR="00060C1C" w:rsidRDefault="00060C1C"/>
    <w:sectPr w:rsidR="00060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34286"/>
    <w:multiLevelType w:val="multilevel"/>
    <w:tmpl w:val="9DF0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A0"/>
    <w:rsid w:val="00060C1C"/>
    <w:rsid w:val="003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3D7B"/>
  <w15:chartTrackingRefBased/>
  <w15:docId w15:val="{FD6E6D04-3EA2-43DB-A78D-884C980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5771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264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774132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pidalert@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-detail-redirect/diagnostic-testing-for-sars-cov-2" TargetMode="External"/><Relationship Id="rId5" Type="http://schemas.openxmlformats.org/officeDocument/2006/relationships/hyperlink" Target="https://www.who.int/es/news/item/14-12-2020-who-information-notice-for-ivd-us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Friesen</dc:creator>
  <cp:keywords/>
  <dc:description/>
  <cp:lastModifiedBy>Mark Friesen</cp:lastModifiedBy>
  <cp:revision>1</cp:revision>
  <dcterms:created xsi:type="dcterms:W3CDTF">2021-01-20T22:16:00Z</dcterms:created>
  <dcterms:modified xsi:type="dcterms:W3CDTF">2021-01-20T22:17:00Z</dcterms:modified>
</cp:coreProperties>
</file>