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B6F63" w14:textId="77777777" w:rsidR="0023074C" w:rsidRPr="006B5A1F" w:rsidRDefault="0023074C" w:rsidP="0023074C">
      <w:pPr>
        <w:rPr>
          <w:rFonts w:ascii="Arial" w:hAnsi="Arial" w:cs="Arial"/>
          <w:sz w:val="24"/>
          <w:szCs w:val="24"/>
        </w:rPr>
      </w:pPr>
      <w:r w:rsidRPr="006B5A1F">
        <w:rPr>
          <w:rFonts w:ascii="Arial" w:hAnsi="Arial" w:cs="Arial"/>
          <w:sz w:val="24"/>
          <w:szCs w:val="24"/>
        </w:rPr>
        <w:t>IN THE MATTER OF THE ARBITRATION ACT 1996</w:t>
      </w:r>
    </w:p>
    <w:p w14:paraId="088CD720" w14:textId="77777777" w:rsidR="0023074C" w:rsidRPr="006B5A1F" w:rsidRDefault="0023074C" w:rsidP="0023074C">
      <w:pPr>
        <w:rPr>
          <w:rFonts w:ascii="Arial" w:hAnsi="Arial" w:cs="Arial"/>
          <w:sz w:val="24"/>
          <w:szCs w:val="24"/>
        </w:rPr>
      </w:pPr>
      <w:r w:rsidRPr="006B5A1F">
        <w:rPr>
          <w:rFonts w:ascii="Arial" w:hAnsi="Arial" w:cs="Arial"/>
          <w:sz w:val="24"/>
          <w:szCs w:val="24"/>
        </w:rPr>
        <w:t>AND</w:t>
      </w:r>
    </w:p>
    <w:p w14:paraId="1E2595E8" w14:textId="77777777" w:rsidR="0023074C" w:rsidRPr="006B5A1F" w:rsidRDefault="0023074C" w:rsidP="0023074C">
      <w:pPr>
        <w:rPr>
          <w:rFonts w:ascii="Arial" w:hAnsi="Arial" w:cs="Arial"/>
          <w:sz w:val="24"/>
          <w:szCs w:val="24"/>
        </w:rPr>
      </w:pPr>
      <w:r w:rsidRPr="006B5A1F">
        <w:rPr>
          <w:rFonts w:ascii="Arial" w:hAnsi="Arial" w:cs="Arial"/>
          <w:sz w:val="24"/>
          <w:szCs w:val="24"/>
        </w:rPr>
        <w:t>IN THE MATTER OF THE CHILDREN ACT 1989</w:t>
      </w:r>
    </w:p>
    <w:p w14:paraId="22F4B05D" w14:textId="77777777" w:rsidR="0023074C" w:rsidRPr="006B5A1F" w:rsidRDefault="0023074C" w:rsidP="0023074C">
      <w:pPr>
        <w:rPr>
          <w:rFonts w:ascii="Arial" w:hAnsi="Arial" w:cs="Arial"/>
          <w:sz w:val="24"/>
          <w:szCs w:val="24"/>
        </w:rPr>
      </w:pPr>
      <w:r w:rsidRPr="006B5A1F">
        <w:rPr>
          <w:rFonts w:ascii="Arial" w:hAnsi="Arial" w:cs="Arial"/>
          <w:sz w:val="24"/>
          <w:szCs w:val="24"/>
        </w:rPr>
        <w:t>AND</w:t>
      </w:r>
    </w:p>
    <w:p w14:paraId="201E936A" w14:textId="77777777" w:rsidR="0023074C" w:rsidRPr="006B5A1F" w:rsidRDefault="0023074C" w:rsidP="0023074C">
      <w:pPr>
        <w:rPr>
          <w:rFonts w:ascii="Arial" w:hAnsi="Arial" w:cs="Arial"/>
          <w:sz w:val="24"/>
          <w:szCs w:val="24"/>
        </w:rPr>
      </w:pPr>
      <w:r w:rsidRPr="006B5A1F">
        <w:rPr>
          <w:rFonts w:ascii="Arial" w:hAnsi="Arial" w:cs="Arial"/>
          <w:sz w:val="24"/>
          <w:szCs w:val="24"/>
        </w:rPr>
        <w:t xml:space="preserve">IN THE MATTER OF AN ARBITRATION UNDER THE IFLA CHILDREN SCHEME RULES </w:t>
      </w:r>
    </w:p>
    <w:p w14:paraId="500A02C1" w14:textId="77777777" w:rsidR="0023074C" w:rsidRPr="006B5A1F" w:rsidRDefault="0023074C" w:rsidP="0023074C">
      <w:pPr>
        <w:rPr>
          <w:rFonts w:ascii="Arial" w:hAnsi="Arial" w:cs="Arial"/>
          <w:sz w:val="24"/>
          <w:szCs w:val="24"/>
        </w:rPr>
      </w:pPr>
      <w:r w:rsidRPr="006B5A1F">
        <w:rPr>
          <w:rFonts w:ascii="Arial" w:hAnsi="Arial" w:cs="Arial"/>
          <w:sz w:val="24"/>
          <w:szCs w:val="24"/>
        </w:rPr>
        <w:t xml:space="preserve">AND </w:t>
      </w:r>
    </w:p>
    <w:p w14:paraId="2B187743" w14:textId="61919D36" w:rsidR="0023074C" w:rsidRPr="006B5A1F" w:rsidRDefault="0023074C" w:rsidP="0023074C">
      <w:pPr>
        <w:pStyle w:val="BodyText1"/>
        <w:ind w:left="0"/>
        <w:rPr>
          <w:sz w:val="24"/>
          <w:szCs w:val="24"/>
        </w:rPr>
      </w:pPr>
      <w:r w:rsidRPr="006B5A1F">
        <w:rPr>
          <w:sz w:val="24"/>
          <w:szCs w:val="24"/>
        </w:rPr>
        <w:t xml:space="preserve">IN THE MATTER Child DOB </w:t>
      </w:r>
    </w:p>
    <w:p w14:paraId="58A0E775" w14:textId="25935A21" w:rsidR="00993154" w:rsidRPr="006B5A1F" w:rsidRDefault="00993154" w:rsidP="00993154">
      <w:pPr>
        <w:jc w:val="center"/>
        <w:rPr>
          <w:rFonts w:ascii="Arial" w:hAnsi="Arial" w:cs="Arial"/>
          <w:b/>
          <w:bCs/>
          <w:sz w:val="24"/>
          <w:szCs w:val="24"/>
        </w:rPr>
      </w:pPr>
      <w:r w:rsidRPr="006B5A1F">
        <w:rPr>
          <w:rFonts w:ascii="Arial" w:hAnsi="Arial" w:cs="Arial"/>
          <w:b/>
          <w:bCs/>
          <w:sz w:val="24"/>
          <w:szCs w:val="24"/>
        </w:rPr>
        <w:t>DIRECTIONS – CHILDREN ISSUES</w:t>
      </w:r>
    </w:p>
    <w:p w14:paraId="4F79D4E2" w14:textId="77777777" w:rsidR="00993154" w:rsidRPr="006B5A1F" w:rsidRDefault="00993154" w:rsidP="00993154">
      <w:pPr>
        <w:jc w:val="center"/>
        <w:rPr>
          <w:rFonts w:ascii="Arial" w:hAnsi="Arial" w:cs="Arial"/>
          <w:b/>
          <w:bCs/>
          <w:sz w:val="24"/>
          <w:szCs w:val="24"/>
        </w:rPr>
      </w:pPr>
    </w:p>
    <w:p w14:paraId="7078C775" w14:textId="77777777" w:rsidR="00993154" w:rsidRPr="006B5A1F" w:rsidRDefault="00993154" w:rsidP="00993154">
      <w:pPr>
        <w:jc w:val="center"/>
        <w:rPr>
          <w:rFonts w:ascii="Arial" w:hAnsi="Arial" w:cs="Arial"/>
          <w:b/>
          <w:bCs/>
          <w:sz w:val="24"/>
          <w:szCs w:val="24"/>
        </w:rPr>
      </w:pPr>
    </w:p>
    <w:p w14:paraId="70A75311" w14:textId="0A42903A" w:rsidR="00993154" w:rsidRPr="006B5A1F" w:rsidRDefault="00993154" w:rsidP="00993154">
      <w:pPr>
        <w:pStyle w:val="ListParagraph"/>
        <w:numPr>
          <w:ilvl w:val="0"/>
          <w:numId w:val="1"/>
        </w:numPr>
        <w:rPr>
          <w:rFonts w:ascii="Arial" w:hAnsi="Arial" w:cs="Arial"/>
          <w:sz w:val="24"/>
          <w:szCs w:val="24"/>
        </w:rPr>
      </w:pPr>
      <w:r w:rsidRPr="006B5A1F">
        <w:rPr>
          <w:rFonts w:ascii="Arial" w:hAnsi="Arial" w:cs="Arial"/>
          <w:sz w:val="24"/>
          <w:szCs w:val="24"/>
        </w:rPr>
        <w:t>The parties shall jointly instruct</w:t>
      </w:r>
      <w:r w:rsidR="00DE4B1A" w:rsidRPr="006B5A1F">
        <w:rPr>
          <w:rFonts w:ascii="Arial" w:hAnsi="Arial" w:cs="Arial"/>
          <w:sz w:val="24"/>
          <w:szCs w:val="24"/>
        </w:rPr>
        <w:tab/>
      </w:r>
      <w:r w:rsidR="00DE4B1A" w:rsidRPr="006B5A1F">
        <w:rPr>
          <w:rFonts w:ascii="Arial" w:hAnsi="Arial" w:cs="Arial"/>
          <w:sz w:val="24"/>
          <w:szCs w:val="24"/>
        </w:rPr>
        <w:tab/>
      </w:r>
      <w:r w:rsidRPr="006B5A1F">
        <w:rPr>
          <w:rFonts w:ascii="Arial" w:hAnsi="Arial" w:cs="Arial"/>
          <w:sz w:val="24"/>
          <w:szCs w:val="24"/>
        </w:rPr>
        <w:t>, ISW, to prepare a S.7 report in this matter, in accordance with the annexed letter of instruction.   The report shall be sent to the parties’ solicitors simultaneously by 4pm on</w:t>
      </w:r>
      <w:r w:rsidR="0023074C" w:rsidRPr="006B5A1F">
        <w:rPr>
          <w:rFonts w:ascii="Arial" w:hAnsi="Arial" w:cs="Arial"/>
          <w:sz w:val="24"/>
          <w:szCs w:val="24"/>
        </w:rPr>
        <w:tab/>
      </w:r>
      <w:r w:rsidR="0023074C" w:rsidRPr="006B5A1F">
        <w:rPr>
          <w:rFonts w:ascii="Arial" w:hAnsi="Arial" w:cs="Arial"/>
          <w:sz w:val="24"/>
          <w:szCs w:val="24"/>
        </w:rPr>
        <w:tab/>
      </w:r>
      <w:r w:rsidR="003F5A9F" w:rsidRPr="006B5A1F">
        <w:rPr>
          <w:rFonts w:ascii="Arial" w:hAnsi="Arial" w:cs="Arial"/>
          <w:sz w:val="24"/>
          <w:szCs w:val="24"/>
        </w:rPr>
        <w:t xml:space="preserve">. </w:t>
      </w:r>
    </w:p>
    <w:p w14:paraId="0B4E4733" w14:textId="77777777" w:rsidR="00993154" w:rsidRPr="006B5A1F" w:rsidRDefault="00993154" w:rsidP="00993154">
      <w:pPr>
        <w:rPr>
          <w:rFonts w:ascii="Arial" w:hAnsi="Arial" w:cs="Arial"/>
          <w:sz w:val="24"/>
          <w:szCs w:val="24"/>
        </w:rPr>
      </w:pPr>
    </w:p>
    <w:p w14:paraId="67A3C555" w14:textId="44770C52" w:rsidR="00993154" w:rsidRPr="006B5A1F" w:rsidRDefault="00993154" w:rsidP="00993154">
      <w:pPr>
        <w:pStyle w:val="ListParagraph"/>
        <w:numPr>
          <w:ilvl w:val="0"/>
          <w:numId w:val="1"/>
        </w:numPr>
        <w:rPr>
          <w:rFonts w:ascii="Arial" w:hAnsi="Arial" w:cs="Arial"/>
          <w:sz w:val="24"/>
          <w:szCs w:val="24"/>
        </w:rPr>
      </w:pPr>
      <w:r w:rsidRPr="006B5A1F">
        <w:rPr>
          <w:rFonts w:ascii="Arial" w:hAnsi="Arial" w:cs="Arial"/>
          <w:sz w:val="24"/>
          <w:szCs w:val="24"/>
        </w:rPr>
        <w:t xml:space="preserve">Both parties shall serve on the other party a concise narrative statement dealing with the relevant factors </w:t>
      </w:r>
      <w:proofErr w:type="gramStart"/>
      <w:r w:rsidRPr="006B5A1F">
        <w:rPr>
          <w:rFonts w:ascii="Arial" w:hAnsi="Arial" w:cs="Arial"/>
          <w:sz w:val="24"/>
          <w:szCs w:val="24"/>
        </w:rPr>
        <w:t>highlighted  in</w:t>
      </w:r>
      <w:proofErr w:type="gramEnd"/>
      <w:r w:rsidRPr="006B5A1F">
        <w:rPr>
          <w:rFonts w:ascii="Arial" w:hAnsi="Arial" w:cs="Arial"/>
          <w:sz w:val="24"/>
          <w:szCs w:val="24"/>
        </w:rPr>
        <w:t xml:space="preserve"> the ISW report by 4pm on</w:t>
      </w:r>
      <w:r w:rsidR="0023074C" w:rsidRPr="006B5A1F">
        <w:rPr>
          <w:rFonts w:ascii="Arial" w:hAnsi="Arial" w:cs="Arial"/>
          <w:sz w:val="24"/>
          <w:szCs w:val="24"/>
        </w:rPr>
        <w:tab/>
      </w:r>
      <w:r w:rsidR="003F5A9F" w:rsidRPr="006B5A1F">
        <w:rPr>
          <w:rFonts w:ascii="Arial" w:hAnsi="Arial" w:cs="Arial"/>
          <w:sz w:val="24"/>
          <w:szCs w:val="24"/>
        </w:rPr>
        <w:t>.</w:t>
      </w:r>
    </w:p>
    <w:p w14:paraId="6935A144" w14:textId="77777777" w:rsidR="00993154" w:rsidRPr="006B5A1F" w:rsidRDefault="00993154" w:rsidP="00993154">
      <w:pPr>
        <w:pStyle w:val="ListParagraph"/>
        <w:rPr>
          <w:rFonts w:ascii="Arial" w:hAnsi="Arial" w:cs="Arial"/>
          <w:sz w:val="24"/>
          <w:szCs w:val="24"/>
        </w:rPr>
      </w:pPr>
    </w:p>
    <w:p w14:paraId="49053E58" w14:textId="510A9850" w:rsidR="00993154" w:rsidRPr="006B5A1F" w:rsidRDefault="00993154" w:rsidP="00993154">
      <w:pPr>
        <w:pStyle w:val="ListParagraph"/>
        <w:numPr>
          <w:ilvl w:val="0"/>
          <w:numId w:val="1"/>
        </w:numPr>
        <w:rPr>
          <w:rFonts w:ascii="Arial" w:hAnsi="Arial" w:cs="Arial"/>
          <w:sz w:val="24"/>
          <w:szCs w:val="24"/>
        </w:rPr>
      </w:pPr>
      <w:r w:rsidRPr="006B5A1F">
        <w:rPr>
          <w:rFonts w:ascii="Arial" w:hAnsi="Arial" w:cs="Arial"/>
          <w:sz w:val="24"/>
          <w:szCs w:val="24"/>
        </w:rPr>
        <w:t xml:space="preserve">The parties shall exchange open proposals for the resolution of the matters in dispute </w:t>
      </w:r>
      <w:r w:rsidR="005E5486" w:rsidRPr="006B5A1F">
        <w:rPr>
          <w:rFonts w:ascii="Arial" w:hAnsi="Arial" w:cs="Arial"/>
          <w:sz w:val="24"/>
          <w:szCs w:val="24"/>
        </w:rPr>
        <w:t>by 4pm on</w:t>
      </w:r>
      <w:r w:rsidR="0023074C" w:rsidRPr="006B5A1F">
        <w:rPr>
          <w:rFonts w:ascii="Arial" w:hAnsi="Arial" w:cs="Arial"/>
          <w:sz w:val="24"/>
          <w:szCs w:val="24"/>
        </w:rPr>
        <w:tab/>
      </w:r>
      <w:r w:rsidR="0023074C" w:rsidRPr="006B5A1F">
        <w:rPr>
          <w:rFonts w:ascii="Arial" w:hAnsi="Arial" w:cs="Arial"/>
          <w:sz w:val="24"/>
          <w:szCs w:val="24"/>
        </w:rPr>
        <w:tab/>
      </w:r>
      <w:r w:rsidR="005E5486" w:rsidRPr="006B5A1F">
        <w:rPr>
          <w:rFonts w:ascii="Arial" w:hAnsi="Arial" w:cs="Arial"/>
          <w:sz w:val="24"/>
          <w:szCs w:val="24"/>
        </w:rPr>
        <w:t>.</w:t>
      </w:r>
      <w:r w:rsidR="00EF2AE0" w:rsidRPr="006B5A1F">
        <w:rPr>
          <w:rFonts w:ascii="Arial" w:hAnsi="Arial" w:cs="Arial"/>
          <w:sz w:val="24"/>
          <w:szCs w:val="24"/>
        </w:rPr>
        <w:t xml:space="preserve"> </w:t>
      </w:r>
    </w:p>
    <w:p w14:paraId="3B9B1555" w14:textId="77777777" w:rsidR="00993154" w:rsidRPr="006B5A1F" w:rsidRDefault="00993154" w:rsidP="00993154">
      <w:pPr>
        <w:pStyle w:val="ListParagraph"/>
        <w:rPr>
          <w:rFonts w:ascii="Arial" w:hAnsi="Arial" w:cs="Arial"/>
          <w:sz w:val="24"/>
          <w:szCs w:val="24"/>
        </w:rPr>
      </w:pPr>
    </w:p>
    <w:p w14:paraId="1258F365" w14:textId="77777777" w:rsidR="00993154" w:rsidRPr="006B5A1F" w:rsidRDefault="00993154" w:rsidP="00993154">
      <w:pPr>
        <w:pStyle w:val="ListParagraph"/>
        <w:numPr>
          <w:ilvl w:val="0"/>
          <w:numId w:val="1"/>
        </w:numPr>
        <w:rPr>
          <w:rFonts w:ascii="Arial" w:hAnsi="Arial" w:cs="Arial"/>
          <w:sz w:val="24"/>
          <w:szCs w:val="24"/>
        </w:rPr>
      </w:pPr>
    </w:p>
    <w:p w14:paraId="34AC23B0" w14:textId="77777777" w:rsidR="00993154" w:rsidRPr="006B5A1F" w:rsidRDefault="00993154" w:rsidP="00993154">
      <w:pPr>
        <w:numPr>
          <w:ilvl w:val="1"/>
          <w:numId w:val="4"/>
        </w:numPr>
        <w:jc w:val="left"/>
        <w:rPr>
          <w:rFonts w:ascii="Arial" w:eastAsia="Calibri" w:hAnsi="Arial" w:cs="Arial"/>
          <w:bCs/>
          <w:color w:val="000000"/>
          <w:sz w:val="24"/>
          <w:szCs w:val="24"/>
        </w:rPr>
      </w:pPr>
      <w:r w:rsidRPr="006B5A1F">
        <w:rPr>
          <w:rFonts w:ascii="Arial" w:eastAsia="Calibri" w:hAnsi="Arial" w:cs="Arial"/>
          <w:bCs/>
          <w:color w:val="000000"/>
          <w:sz w:val="24"/>
          <w:szCs w:val="24"/>
        </w:rPr>
        <w:t>The parties shall produce an electronic hearing bundle which complies with:</w:t>
      </w:r>
    </w:p>
    <w:p w14:paraId="4AE1D654" w14:textId="77777777" w:rsidR="00993154" w:rsidRPr="006B5A1F" w:rsidRDefault="00993154" w:rsidP="00993154">
      <w:pPr>
        <w:numPr>
          <w:ilvl w:val="2"/>
          <w:numId w:val="2"/>
        </w:numPr>
        <w:contextualSpacing/>
        <w:jc w:val="left"/>
        <w:rPr>
          <w:rFonts w:ascii="Arial" w:hAnsi="Arial" w:cs="Arial"/>
          <w:bCs/>
          <w:color w:val="000000"/>
          <w:sz w:val="24"/>
          <w:szCs w:val="24"/>
        </w:rPr>
      </w:pPr>
      <w:r w:rsidRPr="006B5A1F">
        <w:rPr>
          <w:rFonts w:ascii="Arial" w:hAnsi="Arial" w:cs="Arial"/>
          <w:bCs/>
          <w:color w:val="000000"/>
          <w:sz w:val="24"/>
          <w:szCs w:val="24"/>
        </w:rPr>
        <w:t xml:space="preserve">FPR </w:t>
      </w:r>
      <w:r w:rsidRPr="006B5A1F">
        <w:rPr>
          <w:rFonts w:ascii="Arial" w:hAnsi="Arial" w:cs="Arial"/>
          <w:color w:val="000000"/>
          <w:sz w:val="24"/>
          <w:szCs w:val="24"/>
        </w:rPr>
        <w:t>2010</w:t>
      </w:r>
      <w:r w:rsidRPr="006B5A1F">
        <w:rPr>
          <w:rFonts w:ascii="Arial" w:hAnsi="Arial" w:cs="Arial"/>
          <w:bCs/>
          <w:color w:val="000000"/>
          <w:sz w:val="24"/>
          <w:szCs w:val="24"/>
        </w:rPr>
        <w:t xml:space="preserve"> PD 27A;</w:t>
      </w:r>
    </w:p>
    <w:p w14:paraId="54E8219E" w14:textId="77777777" w:rsidR="00993154" w:rsidRPr="006B5A1F" w:rsidRDefault="00993154" w:rsidP="00993154">
      <w:pPr>
        <w:numPr>
          <w:ilvl w:val="2"/>
          <w:numId w:val="2"/>
        </w:numPr>
        <w:contextualSpacing/>
        <w:jc w:val="left"/>
        <w:rPr>
          <w:rFonts w:ascii="Arial" w:hAnsi="Arial" w:cs="Arial"/>
          <w:bCs/>
          <w:color w:val="000000"/>
          <w:sz w:val="24"/>
          <w:szCs w:val="24"/>
        </w:rPr>
      </w:pPr>
      <w:r w:rsidRPr="006B5A1F">
        <w:rPr>
          <w:rFonts w:ascii="Arial" w:hAnsi="Arial" w:cs="Arial"/>
          <w:bCs/>
          <w:color w:val="000000"/>
          <w:sz w:val="24"/>
          <w:szCs w:val="24"/>
        </w:rPr>
        <w:t xml:space="preserve">The </w:t>
      </w:r>
      <w:r w:rsidRPr="006B5A1F">
        <w:rPr>
          <w:rFonts w:ascii="Arial" w:hAnsi="Arial" w:cs="Arial"/>
          <w:color w:val="000000"/>
          <w:sz w:val="24"/>
          <w:szCs w:val="24"/>
        </w:rPr>
        <w:t>President’s</w:t>
      </w:r>
      <w:r w:rsidRPr="006B5A1F">
        <w:rPr>
          <w:rFonts w:ascii="Arial" w:hAnsi="Arial" w:cs="Arial"/>
          <w:bCs/>
          <w:color w:val="000000"/>
          <w:sz w:val="24"/>
          <w:szCs w:val="24"/>
        </w:rPr>
        <w:t xml:space="preserve"> Guidance on E-Bundles of 21 December 2021;</w:t>
      </w:r>
    </w:p>
    <w:p w14:paraId="685E80B7" w14:textId="77777777" w:rsidR="00993154" w:rsidRPr="006B5A1F" w:rsidRDefault="00993154" w:rsidP="00993154">
      <w:pPr>
        <w:numPr>
          <w:ilvl w:val="2"/>
          <w:numId w:val="2"/>
        </w:numPr>
        <w:contextualSpacing/>
        <w:jc w:val="left"/>
        <w:rPr>
          <w:rFonts w:ascii="Arial" w:hAnsi="Arial" w:cs="Arial"/>
          <w:bCs/>
          <w:color w:val="000000"/>
          <w:sz w:val="24"/>
          <w:szCs w:val="24"/>
        </w:rPr>
      </w:pPr>
      <w:r w:rsidRPr="006B5A1F">
        <w:rPr>
          <w:rFonts w:ascii="Arial" w:hAnsi="Arial" w:cs="Arial"/>
          <w:bCs/>
          <w:color w:val="000000"/>
          <w:sz w:val="24"/>
          <w:szCs w:val="24"/>
        </w:rPr>
        <w:t xml:space="preserve">General </w:t>
      </w:r>
      <w:r w:rsidRPr="006B5A1F">
        <w:rPr>
          <w:rFonts w:ascii="Arial" w:hAnsi="Arial" w:cs="Arial"/>
          <w:color w:val="000000"/>
          <w:sz w:val="24"/>
          <w:szCs w:val="24"/>
        </w:rPr>
        <w:t>Guidance</w:t>
      </w:r>
      <w:r w:rsidRPr="006B5A1F">
        <w:rPr>
          <w:rFonts w:ascii="Arial" w:hAnsi="Arial" w:cs="Arial"/>
          <w:bCs/>
          <w:color w:val="000000"/>
          <w:sz w:val="24"/>
          <w:szCs w:val="24"/>
        </w:rPr>
        <w:t xml:space="preserve"> on Electronic Bundles of 29 November 2021</w:t>
      </w:r>
    </w:p>
    <w:p w14:paraId="2B40F8E9" w14:textId="71C8562F" w:rsidR="00993154" w:rsidRPr="006B5A1F" w:rsidRDefault="00993154" w:rsidP="00993154">
      <w:pPr>
        <w:numPr>
          <w:ilvl w:val="1"/>
          <w:numId w:val="4"/>
        </w:numPr>
        <w:jc w:val="left"/>
        <w:rPr>
          <w:rFonts w:ascii="Arial" w:eastAsia="Calibri" w:hAnsi="Arial" w:cs="Arial"/>
          <w:bCs/>
          <w:color w:val="000000"/>
          <w:sz w:val="24"/>
          <w:szCs w:val="24"/>
        </w:rPr>
      </w:pPr>
      <w:r w:rsidRPr="006B5A1F">
        <w:rPr>
          <w:rFonts w:ascii="Arial" w:eastAsia="Calibri" w:hAnsi="Arial" w:cs="Arial"/>
          <w:color w:val="000000"/>
          <w:sz w:val="24"/>
          <w:szCs w:val="24"/>
        </w:rPr>
        <w:t xml:space="preserve">The </w:t>
      </w:r>
      <w:r w:rsidR="00376BF6" w:rsidRPr="006B5A1F">
        <w:rPr>
          <w:rFonts w:ascii="Arial" w:eastAsia="Calibri" w:hAnsi="Arial" w:cs="Arial"/>
          <w:color w:val="000000"/>
          <w:sz w:val="24"/>
          <w:szCs w:val="24"/>
        </w:rPr>
        <w:t>applicant/respondent’s</w:t>
      </w:r>
      <w:r w:rsidRPr="006B5A1F">
        <w:rPr>
          <w:rFonts w:ascii="Arial" w:eastAsia="Calibri" w:hAnsi="Arial" w:cs="Arial"/>
          <w:color w:val="000000"/>
          <w:sz w:val="24"/>
          <w:szCs w:val="24"/>
        </w:rPr>
        <w:t xml:space="preserve"> solicitors shall prepare a bundle containing:</w:t>
      </w:r>
    </w:p>
    <w:p w14:paraId="034B4529" w14:textId="425B402B" w:rsidR="00993154" w:rsidRPr="006B5A1F" w:rsidRDefault="00993154" w:rsidP="00993154">
      <w:pPr>
        <w:contextualSpacing/>
        <w:jc w:val="left"/>
        <w:rPr>
          <w:rFonts w:ascii="Arial" w:hAnsi="Arial" w:cs="Arial"/>
          <w:bCs/>
          <w:color w:val="000000"/>
          <w:sz w:val="24"/>
          <w:szCs w:val="24"/>
        </w:rPr>
      </w:pPr>
    </w:p>
    <w:p w14:paraId="79A8E4DF" w14:textId="77777777" w:rsidR="00993154" w:rsidRPr="006B5A1F" w:rsidRDefault="00993154" w:rsidP="00993154">
      <w:pPr>
        <w:numPr>
          <w:ilvl w:val="2"/>
          <w:numId w:val="3"/>
        </w:numPr>
        <w:contextualSpacing/>
        <w:jc w:val="left"/>
        <w:rPr>
          <w:rFonts w:ascii="Arial" w:hAnsi="Arial" w:cs="Arial"/>
          <w:bCs/>
          <w:color w:val="000000"/>
          <w:sz w:val="24"/>
          <w:szCs w:val="24"/>
        </w:rPr>
      </w:pPr>
      <w:r w:rsidRPr="006B5A1F">
        <w:rPr>
          <w:rFonts w:ascii="Arial" w:hAnsi="Arial" w:cs="Arial"/>
          <w:bCs/>
          <w:color w:val="000000"/>
          <w:sz w:val="24"/>
          <w:szCs w:val="24"/>
        </w:rPr>
        <w:t xml:space="preserve">A </w:t>
      </w:r>
      <w:r w:rsidRPr="006B5A1F">
        <w:rPr>
          <w:rFonts w:ascii="Arial" w:hAnsi="Arial" w:cs="Arial"/>
          <w:color w:val="000000"/>
          <w:sz w:val="24"/>
          <w:szCs w:val="24"/>
        </w:rPr>
        <w:t>composite</w:t>
      </w:r>
      <w:r w:rsidRPr="006B5A1F">
        <w:rPr>
          <w:rFonts w:ascii="Arial" w:hAnsi="Arial" w:cs="Arial"/>
          <w:bCs/>
          <w:color w:val="000000"/>
          <w:sz w:val="24"/>
          <w:szCs w:val="24"/>
        </w:rPr>
        <w:t xml:space="preserve"> chronology recording in neutral terms the key dates of the parties’ relationship and of the litigation and where any unagreed events are clearly denoted;</w:t>
      </w:r>
    </w:p>
    <w:p w14:paraId="5F613AF2" w14:textId="77777777" w:rsidR="00993154" w:rsidRPr="006B5A1F" w:rsidRDefault="00993154" w:rsidP="00993154">
      <w:pPr>
        <w:numPr>
          <w:ilvl w:val="2"/>
          <w:numId w:val="3"/>
        </w:numPr>
        <w:contextualSpacing/>
        <w:jc w:val="left"/>
        <w:rPr>
          <w:rFonts w:ascii="Arial" w:hAnsi="Arial" w:cs="Arial"/>
          <w:bCs/>
          <w:color w:val="000000"/>
          <w:sz w:val="24"/>
          <w:szCs w:val="24"/>
        </w:rPr>
      </w:pPr>
      <w:r w:rsidRPr="006B5A1F">
        <w:rPr>
          <w:rFonts w:ascii="Arial" w:hAnsi="Arial" w:cs="Arial"/>
          <w:color w:val="000000"/>
          <w:sz w:val="24"/>
          <w:szCs w:val="24"/>
        </w:rPr>
        <w:t>an agreed summary of the issues to be determined;</w:t>
      </w:r>
    </w:p>
    <w:p w14:paraId="301F311A" w14:textId="77777777" w:rsidR="00993154" w:rsidRPr="006B5A1F" w:rsidRDefault="00993154" w:rsidP="00993154">
      <w:pPr>
        <w:numPr>
          <w:ilvl w:val="2"/>
          <w:numId w:val="3"/>
        </w:numPr>
        <w:contextualSpacing/>
        <w:jc w:val="left"/>
        <w:rPr>
          <w:rFonts w:ascii="Arial" w:hAnsi="Arial" w:cs="Arial"/>
          <w:bCs/>
          <w:color w:val="000000"/>
          <w:sz w:val="24"/>
          <w:szCs w:val="24"/>
        </w:rPr>
      </w:pPr>
      <w:r w:rsidRPr="006B5A1F">
        <w:rPr>
          <w:rFonts w:ascii="Arial" w:hAnsi="Arial" w:cs="Arial"/>
          <w:color w:val="000000"/>
          <w:sz w:val="24"/>
          <w:szCs w:val="24"/>
        </w:rPr>
        <w:t>the parties’ open proposals for resolution of the matters.</w:t>
      </w:r>
    </w:p>
    <w:p w14:paraId="37AB8E75" w14:textId="68756659" w:rsidR="00993154" w:rsidRPr="006B5A1F" w:rsidRDefault="00993154" w:rsidP="00993154">
      <w:pPr>
        <w:numPr>
          <w:ilvl w:val="1"/>
          <w:numId w:val="4"/>
        </w:numPr>
        <w:jc w:val="left"/>
        <w:rPr>
          <w:rFonts w:ascii="Arial" w:eastAsia="Calibri" w:hAnsi="Arial" w:cs="Arial"/>
          <w:color w:val="000000"/>
          <w:sz w:val="24"/>
          <w:szCs w:val="24"/>
        </w:rPr>
      </w:pPr>
      <w:r w:rsidRPr="006B5A1F">
        <w:rPr>
          <w:rFonts w:ascii="Arial" w:eastAsia="Calibri" w:hAnsi="Arial" w:cs="Arial"/>
          <w:color w:val="000000"/>
          <w:sz w:val="24"/>
          <w:szCs w:val="24"/>
        </w:rPr>
        <w:t xml:space="preserve">The bundle shall be agreed if </w:t>
      </w:r>
      <w:proofErr w:type="gramStart"/>
      <w:r w:rsidRPr="006B5A1F">
        <w:rPr>
          <w:rFonts w:ascii="Arial" w:eastAsia="Calibri" w:hAnsi="Arial" w:cs="Arial"/>
          <w:color w:val="000000"/>
          <w:sz w:val="24"/>
          <w:szCs w:val="24"/>
        </w:rPr>
        <w:t>possible</w:t>
      </w:r>
      <w:proofErr w:type="gramEnd"/>
      <w:r w:rsidRPr="006B5A1F">
        <w:rPr>
          <w:rFonts w:ascii="Arial" w:eastAsia="Calibri" w:hAnsi="Arial" w:cs="Arial"/>
          <w:color w:val="000000"/>
          <w:sz w:val="24"/>
          <w:szCs w:val="24"/>
        </w:rPr>
        <w:t xml:space="preserve"> by both parties. The </w:t>
      </w:r>
      <w:r w:rsidR="00376BF6" w:rsidRPr="006B5A1F">
        <w:rPr>
          <w:rFonts w:ascii="Arial" w:eastAsia="Calibri" w:hAnsi="Arial" w:cs="Arial"/>
          <w:color w:val="000000"/>
          <w:sz w:val="24"/>
          <w:szCs w:val="24"/>
        </w:rPr>
        <w:tab/>
      </w:r>
      <w:r w:rsidR="00376BF6" w:rsidRPr="006B5A1F">
        <w:rPr>
          <w:rFonts w:ascii="Arial" w:eastAsia="Calibri" w:hAnsi="Arial" w:cs="Arial"/>
          <w:color w:val="000000"/>
          <w:sz w:val="24"/>
          <w:szCs w:val="24"/>
        </w:rPr>
        <w:tab/>
      </w:r>
      <w:r w:rsidRPr="006B5A1F">
        <w:rPr>
          <w:rFonts w:ascii="Arial" w:eastAsia="Calibri" w:hAnsi="Arial" w:cs="Arial"/>
          <w:color w:val="000000"/>
          <w:sz w:val="24"/>
          <w:szCs w:val="24"/>
        </w:rPr>
        <w:t xml:space="preserve">solicitors shall send the </w:t>
      </w:r>
      <w:r w:rsidR="00376BF6" w:rsidRPr="006B5A1F">
        <w:rPr>
          <w:rFonts w:ascii="Arial" w:eastAsia="Calibri" w:hAnsi="Arial" w:cs="Arial"/>
          <w:color w:val="000000"/>
          <w:sz w:val="24"/>
          <w:szCs w:val="24"/>
        </w:rPr>
        <w:tab/>
      </w:r>
      <w:r w:rsidR="00376BF6" w:rsidRPr="006B5A1F">
        <w:rPr>
          <w:rFonts w:ascii="Arial" w:eastAsia="Calibri" w:hAnsi="Arial" w:cs="Arial"/>
          <w:color w:val="000000"/>
          <w:sz w:val="24"/>
          <w:szCs w:val="24"/>
        </w:rPr>
        <w:tab/>
      </w:r>
      <w:r w:rsidRPr="006B5A1F">
        <w:rPr>
          <w:rFonts w:ascii="Arial" w:eastAsia="Calibri" w:hAnsi="Arial" w:cs="Arial"/>
          <w:color w:val="000000"/>
          <w:sz w:val="24"/>
          <w:szCs w:val="24"/>
        </w:rPr>
        <w:t xml:space="preserve"> solicitors a draft index for the bundle by not later than 14 days before the Final Arbitration, and the</w:t>
      </w:r>
      <w:r w:rsidR="00376BF6" w:rsidRPr="006B5A1F">
        <w:rPr>
          <w:rFonts w:ascii="Arial" w:eastAsia="Calibri" w:hAnsi="Arial" w:cs="Arial"/>
          <w:color w:val="000000"/>
          <w:sz w:val="24"/>
          <w:szCs w:val="24"/>
        </w:rPr>
        <w:t xml:space="preserve"> </w:t>
      </w:r>
      <w:r w:rsidR="00376BF6" w:rsidRPr="006B5A1F">
        <w:rPr>
          <w:rFonts w:ascii="Arial" w:eastAsia="Calibri" w:hAnsi="Arial" w:cs="Arial"/>
          <w:color w:val="000000"/>
          <w:sz w:val="24"/>
          <w:szCs w:val="24"/>
        </w:rPr>
        <w:tab/>
      </w:r>
      <w:r w:rsidRPr="006B5A1F">
        <w:rPr>
          <w:rFonts w:ascii="Arial" w:eastAsia="Calibri" w:hAnsi="Arial" w:cs="Arial"/>
          <w:color w:val="000000"/>
          <w:sz w:val="24"/>
          <w:szCs w:val="24"/>
        </w:rPr>
        <w:t xml:space="preserve"> solicitors shall send the </w:t>
      </w:r>
      <w:r w:rsidR="00376BF6" w:rsidRPr="006B5A1F">
        <w:rPr>
          <w:rFonts w:ascii="Arial" w:eastAsia="Calibri" w:hAnsi="Arial" w:cs="Arial"/>
          <w:color w:val="000000"/>
          <w:sz w:val="24"/>
          <w:szCs w:val="24"/>
        </w:rPr>
        <w:tab/>
      </w:r>
      <w:r w:rsidR="00376BF6" w:rsidRPr="006B5A1F">
        <w:rPr>
          <w:rFonts w:ascii="Arial" w:eastAsia="Calibri" w:hAnsi="Arial" w:cs="Arial"/>
          <w:color w:val="000000"/>
          <w:sz w:val="24"/>
          <w:szCs w:val="24"/>
        </w:rPr>
        <w:tab/>
      </w:r>
      <w:r w:rsidRPr="006B5A1F">
        <w:rPr>
          <w:rFonts w:ascii="Arial" w:eastAsia="Calibri" w:hAnsi="Arial" w:cs="Arial"/>
          <w:color w:val="000000"/>
          <w:sz w:val="24"/>
          <w:szCs w:val="24"/>
        </w:rPr>
        <w:t xml:space="preserve"> solicitors any comments on the index by not later than 7 days before the Final Arbitration.</w:t>
      </w:r>
    </w:p>
    <w:p w14:paraId="4B84FA71" w14:textId="77777777" w:rsidR="00993154" w:rsidRPr="006B5A1F" w:rsidRDefault="00993154" w:rsidP="00993154">
      <w:pPr>
        <w:numPr>
          <w:ilvl w:val="1"/>
          <w:numId w:val="4"/>
        </w:numPr>
        <w:jc w:val="left"/>
        <w:rPr>
          <w:rFonts w:ascii="Arial" w:eastAsia="Calibri" w:hAnsi="Arial" w:cs="Arial"/>
          <w:color w:val="000000"/>
          <w:sz w:val="24"/>
          <w:szCs w:val="24"/>
        </w:rPr>
      </w:pPr>
      <w:r w:rsidRPr="006B5A1F">
        <w:rPr>
          <w:rFonts w:ascii="Arial" w:eastAsia="Calibri" w:hAnsi="Arial" w:cs="Arial"/>
          <w:color w:val="000000"/>
          <w:sz w:val="24"/>
          <w:szCs w:val="24"/>
        </w:rPr>
        <w:t xml:space="preserve">The bundle must be paginated. </w:t>
      </w:r>
    </w:p>
    <w:p w14:paraId="47889605" w14:textId="49645ADA" w:rsidR="00993154" w:rsidRPr="006B5A1F" w:rsidRDefault="00993154" w:rsidP="00993154">
      <w:pPr>
        <w:numPr>
          <w:ilvl w:val="1"/>
          <w:numId w:val="4"/>
        </w:numPr>
        <w:jc w:val="left"/>
        <w:rPr>
          <w:rFonts w:ascii="Arial" w:eastAsia="Calibri" w:hAnsi="Arial" w:cs="Arial"/>
          <w:color w:val="000000"/>
          <w:sz w:val="24"/>
          <w:szCs w:val="24"/>
        </w:rPr>
      </w:pPr>
      <w:r w:rsidRPr="006B5A1F">
        <w:rPr>
          <w:rFonts w:ascii="Arial" w:eastAsia="Calibri" w:hAnsi="Arial" w:cs="Arial"/>
          <w:color w:val="000000"/>
          <w:sz w:val="24"/>
          <w:szCs w:val="24"/>
        </w:rPr>
        <w:t xml:space="preserve">The </w:t>
      </w:r>
      <w:r w:rsidR="00376BF6" w:rsidRPr="006B5A1F">
        <w:rPr>
          <w:rFonts w:ascii="Arial" w:eastAsia="Calibri" w:hAnsi="Arial" w:cs="Arial"/>
          <w:color w:val="000000"/>
          <w:sz w:val="24"/>
          <w:szCs w:val="24"/>
        </w:rPr>
        <w:tab/>
      </w:r>
      <w:r w:rsidR="00376BF6" w:rsidRPr="006B5A1F">
        <w:rPr>
          <w:rFonts w:ascii="Arial" w:eastAsia="Calibri" w:hAnsi="Arial" w:cs="Arial"/>
          <w:color w:val="000000"/>
          <w:sz w:val="24"/>
          <w:szCs w:val="24"/>
        </w:rPr>
        <w:tab/>
      </w:r>
      <w:r w:rsidRPr="006B5A1F">
        <w:rPr>
          <w:rFonts w:ascii="Arial" w:eastAsia="Calibri" w:hAnsi="Arial" w:cs="Arial"/>
          <w:color w:val="000000"/>
          <w:sz w:val="24"/>
          <w:szCs w:val="24"/>
        </w:rPr>
        <w:t>solicitors shall send the bundle to the arbitrator by not later than 5 days before the Final Arbitration and shall provide a copy of the bundle to the wife’s solicitors.</w:t>
      </w:r>
    </w:p>
    <w:p w14:paraId="27E8525F" w14:textId="65EBC190" w:rsidR="00EB0B7A" w:rsidRPr="006B5A1F" w:rsidRDefault="00EB0B7A" w:rsidP="00784A01">
      <w:pPr>
        <w:pStyle w:val="ListParagraph"/>
        <w:numPr>
          <w:ilvl w:val="0"/>
          <w:numId w:val="1"/>
        </w:numPr>
        <w:jc w:val="left"/>
        <w:rPr>
          <w:rFonts w:ascii="Arial" w:eastAsia="Calibri" w:hAnsi="Arial" w:cs="Arial"/>
          <w:color w:val="000000"/>
          <w:sz w:val="24"/>
          <w:szCs w:val="24"/>
        </w:rPr>
      </w:pPr>
      <w:r w:rsidRPr="006B5A1F">
        <w:rPr>
          <w:rFonts w:ascii="Arial" w:eastAsia="Calibri" w:hAnsi="Arial" w:cs="Arial"/>
          <w:color w:val="000000"/>
          <w:sz w:val="24"/>
          <w:szCs w:val="24"/>
        </w:rPr>
        <w:t xml:space="preserve"> The ISW will give evidence first on the </w:t>
      </w:r>
      <w:r w:rsidR="00376BF6" w:rsidRPr="006B5A1F">
        <w:rPr>
          <w:rFonts w:ascii="Arial" w:eastAsia="Calibri" w:hAnsi="Arial" w:cs="Arial"/>
          <w:color w:val="000000"/>
          <w:sz w:val="24"/>
          <w:szCs w:val="24"/>
        </w:rPr>
        <w:tab/>
      </w:r>
      <w:r w:rsidR="00376BF6" w:rsidRPr="006B5A1F">
        <w:rPr>
          <w:rFonts w:ascii="Arial" w:eastAsia="Calibri" w:hAnsi="Arial" w:cs="Arial"/>
          <w:color w:val="000000"/>
          <w:sz w:val="24"/>
          <w:szCs w:val="24"/>
        </w:rPr>
        <w:tab/>
      </w:r>
      <w:r w:rsidRPr="006B5A1F">
        <w:rPr>
          <w:rFonts w:ascii="Arial" w:eastAsia="Calibri" w:hAnsi="Arial" w:cs="Arial"/>
          <w:color w:val="000000"/>
          <w:sz w:val="24"/>
          <w:szCs w:val="24"/>
        </w:rPr>
        <w:t xml:space="preserve"> </w:t>
      </w:r>
      <w:r w:rsidR="00784A01" w:rsidRPr="006B5A1F">
        <w:rPr>
          <w:rFonts w:ascii="Arial" w:eastAsia="Calibri" w:hAnsi="Arial" w:cs="Arial"/>
          <w:color w:val="000000"/>
          <w:sz w:val="24"/>
          <w:szCs w:val="24"/>
        </w:rPr>
        <w:t>in person or via zoom video link.</w:t>
      </w:r>
    </w:p>
    <w:p w14:paraId="5DF016E8" w14:textId="77777777" w:rsidR="00993154" w:rsidRPr="006B5A1F" w:rsidRDefault="00993154" w:rsidP="00993154">
      <w:pPr>
        <w:jc w:val="left"/>
        <w:rPr>
          <w:rFonts w:ascii="Arial" w:eastAsia="Calibri" w:hAnsi="Arial" w:cs="Arial"/>
          <w:color w:val="000000"/>
          <w:sz w:val="24"/>
          <w:szCs w:val="24"/>
        </w:rPr>
      </w:pPr>
    </w:p>
    <w:p w14:paraId="412E24CC" w14:textId="0964D2E2" w:rsidR="00BD0BA0" w:rsidRPr="006B5A1F" w:rsidRDefault="00BD0BA0" w:rsidP="00784A01">
      <w:pPr>
        <w:pStyle w:val="ListParagraph"/>
        <w:numPr>
          <w:ilvl w:val="0"/>
          <w:numId w:val="1"/>
        </w:numPr>
        <w:tabs>
          <w:tab w:val="left" w:pos="720"/>
        </w:tabs>
        <w:autoSpaceDE w:val="0"/>
        <w:autoSpaceDN w:val="0"/>
        <w:adjustRightInd w:val="0"/>
        <w:rPr>
          <w:rFonts w:ascii="Arial" w:hAnsi="Arial" w:cs="Arial"/>
          <w:bCs/>
          <w:kern w:val="2"/>
          <w:sz w:val="24"/>
          <w:szCs w:val="24"/>
          <w14:ligatures w14:val="standardContextual"/>
        </w:rPr>
      </w:pPr>
      <w:r w:rsidRPr="006B5A1F">
        <w:rPr>
          <w:rFonts w:ascii="Arial" w:eastAsia="Calibri" w:hAnsi="Arial" w:cs="Arial"/>
          <w:color w:val="000000"/>
          <w:sz w:val="24"/>
          <w:szCs w:val="24"/>
        </w:rPr>
        <w:t xml:space="preserve"> The Final Arbitration shall be on the </w:t>
      </w:r>
      <w:r w:rsidR="006B5A1F" w:rsidRPr="006B5A1F">
        <w:rPr>
          <w:rFonts w:ascii="Arial" w:eastAsia="Calibri" w:hAnsi="Arial" w:cs="Arial"/>
          <w:color w:val="000000"/>
          <w:sz w:val="24"/>
          <w:szCs w:val="24"/>
        </w:rPr>
        <w:tab/>
      </w:r>
      <w:r w:rsidR="006B5A1F" w:rsidRPr="006B5A1F">
        <w:rPr>
          <w:rFonts w:ascii="Arial" w:eastAsia="Calibri" w:hAnsi="Arial" w:cs="Arial"/>
          <w:color w:val="000000"/>
          <w:sz w:val="24"/>
          <w:szCs w:val="24"/>
        </w:rPr>
        <w:tab/>
      </w:r>
      <w:r w:rsidRPr="006B5A1F">
        <w:rPr>
          <w:rFonts w:ascii="Arial" w:eastAsia="Calibri" w:hAnsi="Arial" w:cs="Arial"/>
          <w:color w:val="000000"/>
          <w:sz w:val="24"/>
          <w:szCs w:val="24"/>
        </w:rPr>
        <w:t xml:space="preserve">, </w:t>
      </w:r>
      <w:r w:rsidRPr="006B5A1F">
        <w:rPr>
          <w:rFonts w:ascii="Arial" w:hAnsi="Arial" w:cs="Arial"/>
          <w:color w:val="000000" w:themeColor="text1"/>
          <w:kern w:val="2"/>
          <w:sz w:val="24"/>
          <w:szCs w:val="24"/>
          <w14:ligatures w14:val="standardContextual"/>
        </w:rPr>
        <w:t xml:space="preserve">the parties having agreed to attend an Arbitration in person </w:t>
      </w:r>
      <w:r w:rsidRPr="006B5A1F">
        <w:rPr>
          <w:rFonts w:ascii="Arial" w:hAnsi="Arial" w:cs="Arial"/>
          <w:color w:val="000000" w:themeColor="text1"/>
          <w:kern w:val="2"/>
          <w:sz w:val="24"/>
          <w:szCs w:val="24"/>
          <w14:ligatures w14:val="standardContextual"/>
        </w:rPr>
        <w:tab/>
      </w:r>
    </w:p>
    <w:p w14:paraId="548E6C78" w14:textId="77777777" w:rsidR="00A8138D" w:rsidRPr="006B5A1F" w:rsidRDefault="00A8138D" w:rsidP="00A8138D">
      <w:pPr>
        <w:pStyle w:val="ListParagraph"/>
        <w:rPr>
          <w:rFonts w:ascii="Arial" w:hAnsi="Arial" w:cs="Arial"/>
          <w:bCs/>
          <w:kern w:val="2"/>
          <w:sz w:val="24"/>
          <w:szCs w:val="24"/>
          <w14:ligatures w14:val="standardContextual"/>
        </w:rPr>
      </w:pPr>
    </w:p>
    <w:p w14:paraId="07319BA3" w14:textId="77777777" w:rsidR="00A8138D" w:rsidRPr="006B5A1F" w:rsidRDefault="00A8138D" w:rsidP="00784A01">
      <w:pPr>
        <w:pStyle w:val="ListParagraph"/>
        <w:numPr>
          <w:ilvl w:val="0"/>
          <w:numId w:val="1"/>
        </w:numPr>
        <w:tabs>
          <w:tab w:val="left" w:pos="720"/>
        </w:tabs>
        <w:autoSpaceDE w:val="0"/>
        <w:autoSpaceDN w:val="0"/>
        <w:adjustRightInd w:val="0"/>
        <w:rPr>
          <w:rFonts w:ascii="Arial" w:hAnsi="Arial" w:cs="Arial"/>
          <w:bCs/>
          <w:kern w:val="2"/>
          <w:sz w:val="24"/>
          <w:szCs w:val="24"/>
          <w14:ligatures w14:val="standardContextual"/>
        </w:rPr>
      </w:pPr>
      <w:r w:rsidRPr="006B5A1F">
        <w:rPr>
          <w:rFonts w:ascii="Arial" w:hAnsi="Arial" w:cs="Arial"/>
          <w:sz w:val="24"/>
          <w:szCs w:val="24"/>
        </w:rPr>
        <w:lastRenderedPageBreak/>
        <w:t xml:space="preserve">The arbitrator will determine the substance of the dispute only in accordance with the law of England and Wales. The arbitrator may have regard to, and admit evidence of, the law of another country insofar as, and in the same way as, a Judge exercising the jurisdiction of the High Court would do so. </w:t>
      </w:r>
    </w:p>
    <w:p w14:paraId="152C6AD3" w14:textId="77777777" w:rsidR="00A8138D" w:rsidRPr="006B5A1F" w:rsidRDefault="00A8138D" w:rsidP="00A8138D">
      <w:pPr>
        <w:pStyle w:val="ListParagraph"/>
        <w:rPr>
          <w:rFonts w:ascii="Arial" w:hAnsi="Arial" w:cs="Arial"/>
          <w:sz w:val="24"/>
          <w:szCs w:val="24"/>
        </w:rPr>
      </w:pPr>
    </w:p>
    <w:p w14:paraId="6D6DFD33" w14:textId="77777777" w:rsidR="00A8138D" w:rsidRPr="006B5A1F" w:rsidRDefault="00A8138D" w:rsidP="00784A01">
      <w:pPr>
        <w:pStyle w:val="ListParagraph"/>
        <w:numPr>
          <w:ilvl w:val="0"/>
          <w:numId w:val="1"/>
        </w:numPr>
        <w:tabs>
          <w:tab w:val="left" w:pos="720"/>
        </w:tabs>
        <w:autoSpaceDE w:val="0"/>
        <w:autoSpaceDN w:val="0"/>
        <w:adjustRightInd w:val="0"/>
        <w:jc w:val="left"/>
        <w:rPr>
          <w:rFonts w:ascii="Arial" w:hAnsi="Arial" w:cs="Arial"/>
          <w:bCs/>
          <w:sz w:val="24"/>
          <w:szCs w:val="24"/>
        </w:rPr>
      </w:pPr>
      <w:r w:rsidRPr="006B5A1F">
        <w:rPr>
          <w:rFonts w:ascii="Arial" w:hAnsi="Arial" w:cs="Arial"/>
          <w:sz w:val="24"/>
          <w:szCs w:val="24"/>
        </w:rPr>
        <w:t xml:space="preserve">When determining any question relating to the upbringing of a child, the welfare of the child shall be the arbitrator’s paramount consideration and in considering welfare the arbitrator shall have regard </w:t>
      </w:r>
      <w:proofErr w:type="gramStart"/>
      <w:r w:rsidRPr="006B5A1F">
        <w:rPr>
          <w:rFonts w:ascii="Arial" w:hAnsi="Arial" w:cs="Arial"/>
          <w:sz w:val="24"/>
          <w:szCs w:val="24"/>
        </w:rPr>
        <w:t>in particular to</w:t>
      </w:r>
      <w:proofErr w:type="gramEnd"/>
      <w:r w:rsidRPr="006B5A1F">
        <w:rPr>
          <w:rFonts w:ascii="Arial" w:hAnsi="Arial" w:cs="Arial"/>
          <w:sz w:val="24"/>
          <w:szCs w:val="24"/>
        </w:rPr>
        <w:t xml:space="preserve"> the welfare checklist set out in section 1(3) of the Children Act 1989.</w:t>
      </w:r>
    </w:p>
    <w:p w14:paraId="2F9780D8" w14:textId="77777777" w:rsidR="00A8138D" w:rsidRPr="006B5A1F" w:rsidRDefault="00A8138D" w:rsidP="00A8138D">
      <w:pPr>
        <w:pStyle w:val="ListParagraph"/>
        <w:rPr>
          <w:rFonts w:ascii="Arial" w:hAnsi="Arial" w:cs="Arial"/>
          <w:color w:val="000000" w:themeColor="text1"/>
          <w:sz w:val="24"/>
          <w:szCs w:val="24"/>
        </w:rPr>
      </w:pPr>
    </w:p>
    <w:p w14:paraId="1C39A42C" w14:textId="30E906AA" w:rsidR="00EB0B7A" w:rsidRPr="006B5A1F" w:rsidRDefault="00EB0B7A" w:rsidP="00784A01">
      <w:pPr>
        <w:pStyle w:val="ListParagraph"/>
        <w:numPr>
          <w:ilvl w:val="0"/>
          <w:numId w:val="1"/>
        </w:numPr>
        <w:tabs>
          <w:tab w:val="left" w:pos="720"/>
        </w:tabs>
        <w:autoSpaceDE w:val="0"/>
        <w:autoSpaceDN w:val="0"/>
        <w:adjustRightInd w:val="0"/>
        <w:jc w:val="left"/>
        <w:rPr>
          <w:rFonts w:ascii="Arial" w:hAnsi="Arial" w:cs="Arial"/>
          <w:bCs/>
          <w:sz w:val="24"/>
          <w:szCs w:val="24"/>
        </w:rPr>
      </w:pPr>
      <w:r w:rsidRPr="006B5A1F">
        <w:rPr>
          <w:rFonts w:ascii="Arial" w:hAnsi="Arial" w:cs="Arial"/>
          <w:color w:val="000000" w:themeColor="text1"/>
          <w:sz w:val="24"/>
          <w:szCs w:val="24"/>
        </w:rPr>
        <w:t xml:space="preserve">The Arbitrator will provide a written determination by </w:t>
      </w:r>
      <w:r w:rsidR="006B5A1F" w:rsidRPr="006B5A1F">
        <w:rPr>
          <w:rFonts w:ascii="Arial" w:hAnsi="Arial" w:cs="Arial"/>
          <w:color w:val="000000" w:themeColor="text1"/>
          <w:sz w:val="24"/>
          <w:szCs w:val="24"/>
        </w:rPr>
        <w:tab/>
      </w:r>
      <w:r w:rsidR="006B5A1F" w:rsidRPr="006B5A1F">
        <w:rPr>
          <w:rFonts w:ascii="Arial" w:hAnsi="Arial" w:cs="Arial"/>
          <w:color w:val="000000" w:themeColor="text1"/>
          <w:sz w:val="24"/>
          <w:szCs w:val="24"/>
        </w:rPr>
        <w:tab/>
      </w:r>
      <w:r w:rsidR="006B5A1F" w:rsidRPr="006B5A1F">
        <w:rPr>
          <w:rFonts w:ascii="Arial" w:hAnsi="Arial" w:cs="Arial"/>
          <w:color w:val="000000" w:themeColor="text1"/>
          <w:sz w:val="24"/>
          <w:szCs w:val="24"/>
        </w:rPr>
        <w:tab/>
      </w:r>
      <w:r w:rsidRPr="006B5A1F">
        <w:rPr>
          <w:rFonts w:ascii="Arial" w:hAnsi="Arial" w:cs="Arial"/>
          <w:color w:val="000000" w:themeColor="text1"/>
          <w:sz w:val="24"/>
          <w:szCs w:val="24"/>
        </w:rPr>
        <w:t>, which will be emailed to the solicitors.</w:t>
      </w:r>
    </w:p>
    <w:p w14:paraId="24218A03" w14:textId="77777777" w:rsidR="00EB0B7A" w:rsidRPr="006B5A1F" w:rsidRDefault="00EB0B7A" w:rsidP="00784A01">
      <w:pPr>
        <w:pStyle w:val="ListParagraph"/>
        <w:tabs>
          <w:tab w:val="left" w:pos="720"/>
        </w:tabs>
        <w:autoSpaceDE w:val="0"/>
        <w:autoSpaceDN w:val="0"/>
        <w:adjustRightInd w:val="0"/>
        <w:rPr>
          <w:rFonts w:ascii="Arial" w:hAnsi="Arial" w:cs="Arial"/>
          <w:bCs/>
          <w:kern w:val="2"/>
          <w:sz w:val="24"/>
          <w:szCs w:val="24"/>
          <w14:ligatures w14:val="standardContextual"/>
        </w:rPr>
      </w:pPr>
    </w:p>
    <w:p w14:paraId="09D02CF2" w14:textId="22467A8E" w:rsidR="00993154" w:rsidRPr="006B5A1F" w:rsidRDefault="00993154" w:rsidP="00993154">
      <w:pPr>
        <w:pStyle w:val="ListParagraph"/>
        <w:rPr>
          <w:rFonts w:ascii="Arial" w:hAnsi="Arial" w:cs="Arial"/>
          <w:sz w:val="24"/>
          <w:szCs w:val="24"/>
        </w:rPr>
      </w:pPr>
    </w:p>
    <w:sectPr w:rsidR="00993154" w:rsidRPr="006B5A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591C"/>
    <w:multiLevelType w:val="hybridMultilevel"/>
    <w:tmpl w:val="71E021DA"/>
    <w:lvl w:ilvl="0" w:tplc="6DCEDF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D957A7"/>
    <w:multiLevelType w:val="multilevel"/>
    <w:tmpl w:val="2FC056CA"/>
    <w:lvl w:ilvl="0">
      <w:start w:val="15"/>
      <w:numFmt w:val="decimal"/>
      <w:lvlText w:val="%1."/>
      <w:lvlJc w:val="left"/>
      <w:pPr>
        <w:tabs>
          <w:tab w:val="num" w:pos="567"/>
        </w:tabs>
        <w:ind w:left="567" w:hanging="567"/>
      </w:pPr>
      <w:rPr>
        <w:rFonts w:hint="default"/>
        <w:b w:val="0"/>
        <w:bCs/>
        <w:i w:val="0"/>
        <w:iCs/>
        <w:color w:val="auto"/>
      </w:rPr>
    </w:lvl>
    <w:lvl w:ilvl="1">
      <w:start w:val="1"/>
      <w:numFmt w:val="lowerLetter"/>
      <w:lvlText w:val="%2."/>
      <w:lvlJc w:val="left"/>
      <w:pPr>
        <w:tabs>
          <w:tab w:val="num" w:pos="1134"/>
        </w:tabs>
        <w:ind w:left="1134" w:hanging="567"/>
      </w:pPr>
      <w:rPr>
        <w:rFonts w:hint="default"/>
        <w:color w:val="auto"/>
      </w:rPr>
    </w:lvl>
    <w:lvl w:ilvl="2">
      <w:start w:val="1"/>
      <w:numFmt w:val="lowerLetter"/>
      <w:lvlText w:val="%3."/>
      <w:lvlJc w:val="left"/>
      <w:pPr>
        <w:tabs>
          <w:tab w:val="num" w:pos="1701"/>
        </w:tabs>
        <w:ind w:left="1701" w:hanging="567"/>
      </w:pPr>
      <w:rPr>
        <w:rFonts w:ascii="Times New Roman" w:eastAsia="Calibri" w:hAnsi="Times New Roman" w:cs="Times New Roman"/>
      </w:rPr>
    </w:lvl>
    <w:lvl w:ilvl="3">
      <w:start w:val="1"/>
      <w:numFmt w:val="lowerRoman"/>
      <w:lvlText w:val="%4."/>
      <w:lvlJc w:val="right"/>
      <w:pPr>
        <w:ind w:left="2061" w:hanging="360"/>
      </w:p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 w15:restartNumberingAfterBreak="0">
    <w:nsid w:val="3F7A72F6"/>
    <w:multiLevelType w:val="hybridMultilevel"/>
    <w:tmpl w:val="4AD2ED7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AD56C6"/>
    <w:multiLevelType w:val="multilevel"/>
    <w:tmpl w:val="3E768158"/>
    <w:lvl w:ilvl="0">
      <w:start w:val="1"/>
      <w:numFmt w:val="decimal"/>
      <w:lvlText w:val="%1."/>
      <w:lvlJc w:val="left"/>
      <w:pPr>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num w:numId="1" w16cid:durableId="893933978">
    <w:abstractNumId w:val="0"/>
  </w:num>
  <w:num w:numId="2" w16cid:durableId="1809324334">
    <w:abstractNumId w:val="2"/>
  </w:num>
  <w:num w:numId="3" w16cid:durableId="2099595451">
    <w:abstractNumId w:val="3"/>
  </w:num>
  <w:num w:numId="4" w16cid:durableId="25832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54"/>
    <w:rsid w:val="000409E2"/>
    <w:rsid w:val="000F731E"/>
    <w:rsid w:val="00195936"/>
    <w:rsid w:val="0023074C"/>
    <w:rsid w:val="00376BF6"/>
    <w:rsid w:val="003F5A9F"/>
    <w:rsid w:val="00476003"/>
    <w:rsid w:val="00533563"/>
    <w:rsid w:val="00585A0D"/>
    <w:rsid w:val="00587A06"/>
    <w:rsid w:val="005E5486"/>
    <w:rsid w:val="00624AB9"/>
    <w:rsid w:val="00692845"/>
    <w:rsid w:val="006B5A1F"/>
    <w:rsid w:val="006C5E1B"/>
    <w:rsid w:val="006D52BC"/>
    <w:rsid w:val="00784A01"/>
    <w:rsid w:val="0088000B"/>
    <w:rsid w:val="008D7190"/>
    <w:rsid w:val="00957EED"/>
    <w:rsid w:val="00993154"/>
    <w:rsid w:val="0099495A"/>
    <w:rsid w:val="009F6DA5"/>
    <w:rsid w:val="00A8138D"/>
    <w:rsid w:val="00A90A3E"/>
    <w:rsid w:val="00AB5221"/>
    <w:rsid w:val="00BD0BA0"/>
    <w:rsid w:val="00CE71D0"/>
    <w:rsid w:val="00D046DD"/>
    <w:rsid w:val="00D26B12"/>
    <w:rsid w:val="00DC1D59"/>
    <w:rsid w:val="00DE4B1A"/>
    <w:rsid w:val="00E15169"/>
    <w:rsid w:val="00E84B4B"/>
    <w:rsid w:val="00EB0B7A"/>
    <w:rsid w:val="00EF2AE0"/>
    <w:rsid w:val="00F43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9E6C7"/>
  <w15:chartTrackingRefBased/>
  <w15:docId w15:val="{C7B49396-D3EB-4C4C-88D8-D2739F23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imes New Roman"/>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154"/>
  </w:style>
  <w:style w:type="paragraph" w:styleId="Heading1">
    <w:name w:val="heading 1"/>
    <w:basedOn w:val="Normal"/>
    <w:next w:val="Normal"/>
    <w:link w:val="Heading1Char"/>
    <w:uiPriority w:val="9"/>
    <w:qFormat/>
    <w:rsid w:val="009931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31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315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31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9315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9315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9315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9315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9315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1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31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315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315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9315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9315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9315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9315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9315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931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1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15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315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931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93154"/>
    <w:rPr>
      <w:i/>
      <w:iCs/>
      <w:color w:val="404040" w:themeColor="text1" w:themeTint="BF"/>
    </w:rPr>
  </w:style>
  <w:style w:type="paragraph" w:styleId="ListParagraph">
    <w:name w:val="List Paragraph"/>
    <w:basedOn w:val="Normal"/>
    <w:uiPriority w:val="34"/>
    <w:qFormat/>
    <w:rsid w:val="00993154"/>
    <w:pPr>
      <w:ind w:left="720"/>
      <w:contextualSpacing/>
    </w:pPr>
  </w:style>
  <w:style w:type="character" w:styleId="IntenseEmphasis">
    <w:name w:val="Intense Emphasis"/>
    <w:basedOn w:val="DefaultParagraphFont"/>
    <w:uiPriority w:val="21"/>
    <w:qFormat/>
    <w:rsid w:val="00993154"/>
    <w:rPr>
      <w:i/>
      <w:iCs/>
      <w:color w:val="0F4761" w:themeColor="accent1" w:themeShade="BF"/>
    </w:rPr>
  </w:style>
  <w:style w:type="paragraph" w:styleId="IntenseQuote">
    <w:name w:val="Intense Quote"/>
    <w:basedOn w:val="Normal"/>
    <w:next w:val="Normal"/>
    <w:link w:val="IntenseQuoteChar"/>
    <w:uiPriority w:val="30"/>
    <w:qFormat/>
    <w:rsid w:val="009931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3154"/>
    <w:rPr>
      <w:i/>
      <w:iCs/>
      <w:color w:val="0F4761" w:themeColor="accent1" w:themeShade="BF"/>
    </w:rPr>
  </w:style>
  <w:style w:type="character" w:styleId="IntenseReference">
    <w:name w:val="Intense Reference"/>
    <w:basedOn w:val="DefaultParagraphFont"/>
    <w:uiPriority w:val="32"/>
    <w:qFormat/>
    <w:rsid w:val="00993154"/>
    <w:rPr>
      <w:b/>
      <w:bCs/>
      <w:smallCaps/>
      <w:color w:val="0F4761" w:themeColor="accent1" w:themeShade="BF"/>
      <w:spacing w:val="5"/>
    </w:rPr>
  </w:style>
  <w:style w:type="paragraph" w:customStyle="1" w:styleId="BodyText1">
    <w:name w:val="Body Text 1"/>
    <w:basedOn w:val="BodyText"/>
    <w:rsid w:val="0023074C"/>
    <w:pPr>
      <w:spacing w:after="240" w:line="276" w:lineRule="auto"/>
      <w:ind w:left="720"/>
    </w:pPr>
    <w:rPr>
      <w:rFonts w:ascii="Arial" w:eastAsia="Arial" w:hAnsi="Arial" w:cs="Arial"/>
      <w:sz w:val="20"/>
      <w:szCs w:val="20"/>
      <w:lang w:eastAsia="en-GB"/>
    </w:rPr>
  </w:style>
  <w:style w:type="paragraph" w:styleId="BodyText">
    <w:name w:val="Body Text"/>
    <w:basedOn w:val="Normal"/>
    <w:link w:val="BodyTextChar"/>
    <w:uiPriority w:val="99"/>
    <w:semiHidden/>
    <w:unhideWhenUsed/>
    <w:rsid w:val="0023074C"/>
    <w:pPr>
      <w:spacing w:after="120"/>
    </w:pPr>
  </w:style>
  <w:style w:type="character" w:customStyle="1" w:styleId="BodyTextChar">
    <w:name w:val="Body Text Char"/>
    <w:basedOn w:val="DefaultParagraphFont"/>
    <w:link w:val="BodyText"/>
    <w:uiPriority w:val="99"/>
    <w:semiHidden/>
    <w:rsid w:val="00230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C0247D577D5145BFF2BAAA84CE6A54" ma:contentTypeVersion="18" ma:contentTypeDescription="Create a new document." ma:contentTypeScope="" ma:versionID="596db87677425e9ef28cc54e88a2cf03">
  <xsd:schema xmlns:xsd="http://www.w3.org/2001/XMLSchema" xmlns:xs="http://www.w3.org/2001/XMLSchema" xmlns:p="http://schemas.microsoft.com/office/2006/metadata/properties" xmlns:ns2="2ed62487-99bc-4e7b-af93-c2f5f68d508a" xmlns:ns3="679ff704-bb9c-4ca4-b75e-8ed2e5aa4165" targetNamespace="http://schemas.microsoft.com/office/2006/metadata/properties" ma:root="true" ma:fieldsID="8669311298770f26ec46ee163fe8672e" ns2:_="" ns3:_="">
    <xsd:import namespace="2ed62487-99bc-4e7b-af93-c2f5f68d508a"/>
    <xsd:import namespace="679ff704-bb9c-4ca4-b75e-8ed2e5aa41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62487-99bc-4e7b-af93-c2f5f68d508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5e1a695-0355-4f88-8a8b-5a8b8a911ff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ff704-bb9c-4ca4-b75e-8ed2e5aa416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b3c08-4d53-4f67-a9b7-501adad1852a}" ma:internalName="TaxCatchAll" ma:showField="CatchAllData" ma:web="679ff704-bb9c-4ca4-b75e-8ed2e5aa41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79ff704-bb9c-4ca4-b75e-8ed2e5aa4165" xsi:nil="true"/>
    <lcf76f155ced4ddcb4097134ff3c332f xmlns="2ed62487-99bc-4e7b-af93-c2f5f68d50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27BD69-6E5E-454D-93D0-1345C00BD053}">
  <ds:schemaRefs>
    <ds:schemaRef ds:uri="http://schemas.microsoft.com/sharepoint/v3/contenttype/forms"/>
  </ds:schemaRefs>
</ds:datastoreItem>
</file>

<file path=customXml/itemProps2.xml><?xml version="1.0" encoding="utf-8"?>
<ds:datastoreItem xmlns:ds="http://schemas.openxmlformats.org/officeDocument/2006/customXml" ds:itemID="{B96FCD3D-2CC5-48F5-AF4F-3D497176B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62487-99bc-4e7b-af93-c2f5f68d508a"/>
    <ds:schemaRef ds:uri="679ff704-bb9c-4ca4-b75e-8ed2e5aa4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38F970-748A-4F50-BFCC-96800C7EB29F}">
  <ds:schemaRefs>
    <ds:schemaRef ds:uri="http://schemas.microsoft.com/office/2006/metadata/properties"/>
    <ds:schemaRef ds:uri="http://schemas.microsoft.com/office/infopath/2007/PartnerControls"/>
    <ds:schemaRef ds:uri="679ff704-bb9c-4ca4-b75e-8ed2e5aa4165"/>
    <ds:schemaRef ds:uri="2ed62487-99bc-4e7b-af93-c2f5f68d508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Soper</dc:creator>
  <cp:keywords/>
  <dc:description/>
  <cp:lastModifiedBy>Claire - Family Solutions Now</cp:lastModifiedBy>
  <cp:revision>2</cp:revision>
  <dcterms:created xsi:type="dcterms:W3CDTF">2026-07-31T09:43:00Z</dcterms:created>
  <dcterms:modified xsi:type="dcterms:W3CDTF">2026-07-31T09:43:00Z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0x010100EBC0247D577D5145BFF2BAAA84CE6A54</vt:lpwstr>
  </property>
  <property fmtid="{D5CDD505-2E9C-101B-9397-08002B2CF9AE}" pid="3" name="MediaServiceImageTags">
    <vt:lpwstr/>
  </property>
</Properties>
</file>