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22" w:type="dxa"/>
        <w:tblCellMar>
          <w:top w:w="60" w:type="dxa"/>
          <w:left w:w="60" w:type="dxa"/>
          <w:bottom w:w="60" w:type="dxa"/>
          <w:right w:w="60" w:type="dxa"/>
        </w:tblCellMar>
        <w:tblLook w:val="04A0" w:firstRow="1" w:lastRow="0" w:firstColumn="1" w:lastColumn="0" w:noHBand="0" w:noVBand="1"/>
      </w:tblPr>
      <w:tblGrid>
        <w:gridCol w:w="8638"/>
        <w:gridCol w:w="170"/>
        <w:gridCol w:w="192"/>
      </w:tblGrid>
      <w:tr w:rsidR="00A866CF" w:rsidRPr="00A866CF">
        <w:trPr>
          <w:tblCellSpacing w:w="22" w:type="dxa"/>
        </w:trPr>
        <w:tc>
          <w:tcPr>
            <w:tcW w:w="0" w:type="auto"/>
            <w:gridSpan w:val="3"/>
            <w:shd w:val="clear" w:color="auto" w:fill="5385C7"/>
            <w:vAlign w:val="center"/>
            <w:hideMark/>
          </w:tcPr>
          <w:p w:rsidR="00A866CF" w:rsidRPr="00A866CF" w:rsidRDefault="00A866CF" w:rsidP="00A866CF">
            <w:pPr>
              <w:spacing w:after="0" w:line="240" w:lineRule="auto"/>
              <w:rPr>
                <w:rFonts w:ascii="Arial" w:eastAsia="Times New Roman" w:hAnsi="Arial" w:cs="Arial"/>
                <w:color w:val="000000"/>
                <w:sz w:val="18"/>
                <w:szCs w:val="18"/>
                <w:lang w:eastAsia="es-CL"/>
              </w:rPr>
            </w:pPr>
            <w:bookmarkStart w:id="0" w:name="Cat1"/>
            <w:bookmarkEnd w:id="0"/>
            <w:r w:rsidRPr="00A866CF">
              <w:rPr>
                <w:rFonts w:ascii="Arial" w:eastAsia="Times New Roman" w:hAnsi="Arial" w:cs="Arial"/>
                <w:b/>
                <w:bCs/>
                <w:color w:val="FFFFFF"/>
                <w:sz w:val="20"/>
                <w:lang w:eastAsia="es-CL"/>
              </w:rPr>
              <w:t>Centralisation</w:t>
            </w:r>
          </w:p>
        </w:tc>
      </w:tr>
      <w:tr w:rsidR="00A866CF" w:rsidRPr="00A866CF">
        <w:trPr>
          <w:tblCellSpacing w:w="22" w:type="dxa"/>
        </w:trPr>
        <w:tc>
          <w:tcPr>
            <w:tcW w:w="0" w:type="auto"/>
            <w:vAlign w:val="center"/>
            <w:hideMark/>
          </w:tcPr>
          <w:p w:rsid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Pr>
                <w:rFonts w:ascii="Arial" w:eastAsia="Times New Roman" w:hAnsi="Arial" w:cs="Arial"/>
                <w:color w:val="000000"/>
                <w:sz w:val="18"/>
                <w:szCs w:val="18"/>
                <w:lang w:val="en-US" w:eastAsia="es-CL"/>
              </w:rPr>
              <w:t>Aina</w:t>
            </w:r>
            <w:proofErr w:type="spellEnd"/>
            <w:r>
              <w:rPr>
                <w:rFonts w:ascii="Arial" w:eastAsia="Times New Roman" w:hAnsi="Arial" w:cs="Arial"/>
                <w:color w:val="000000"/>
                <w:sz w:val="18"/>
                <w:szCs w:val="18"/>
                <w:lang w:val="en-US" w:eastAsia="es-CL"/>
              </w:rPr>
              <w:t xml:space="preserve"> A, May S, Clare H. </w:t>
            </w:r>
            <w:r w:rsidRPr="00A866CF">
              <w:rPr>
                <w:rFonts w:ascii="Arial" w:eastAsia="Times New Roman" w:hAnsi="Arial" w:cs="Arial"/>
                <w:color w:val="000000"/>
                <w:sz w:val="18"/>
                <w:szCs w:val="18"/>
                <w:lang w:val="en-US" w:eastAsia="es-CL"/>
              </w:rPr>
              <w:t>The centralization phenomenon of spinal symptoms - a systematic review</w:t>
            </w:r>
            <w:r>
              <w:rPr>
                <w:rFonts w:ascii="Arial" w:eastAsia="Times New Roman" w:hAnsi="Arial" w:cs="Arial"/>
                <w:color w:val="000000"/>
                <w:sz w:val="18"/>
                <w:szCs w:val="18"/>
                <w:lang w:val="en-US" w:eastAsia="es-CL"/>
              </w:rPr>
              <w:t xml:space="preserve">. </w:t>
            </w:r>
            <w:r w:rsidRPr="00A866CF">
              <w:rPr>
                <w:rFonts w:ascii="Arial" w:eastAsia="Times New Roman" w:hAnsi="Arial" w:cs="Arial"/>
                <w:color w:val="000000"/>
                <w:sz w:val="18"/>
                <w:szCs w:val="18"/>
                <w:lang w:val="en-US" w:eastAsia="es-CL"/>
              </w:rPr>
              <w:t>M</w:t>
            </w:r>
            <w:r>
              <w:rPr>
                <w:rFonts w:ascii="Arial" w:eastAsia="Times New Roman" w:hAnsi="Arial" w:cs="Arial"/>
                <w:color w:val="000000"/>
                <w:sz w:val="18"/>
                <w:szCs w:val="18"/>
                <w:lang w:val="en-US" w:eastAsia="es-CL"/>
              </w:rPr>
              <w:t xml:space="preserve">an </w:t>
            </w:r>
            <w:proofErr w:type="spellStart"/>
            <w:r>
              <w:rPr>
                <w:rFonts w:ascii="Arial" w:eastAsia="Times New Roman" w:hAnsi="Arial" w:cs="Arial"/>
                <w:color w:val="000000"/>
                <w:sz w:val="18"/>
                <w:szCs w:val="18"/>
                <w:lang w:val="en-US" w:eastAsia="es-CL"/>
              </w:rPr>
              <w:t>Ther</w:t>
            </w:r>
            <w:proofErr w:type="spellEnd"/>
            <w:r>
              <w:rPr>
                <w:rFonts w:ascii="Arial" w:eastAsia="Times New Roman" w:hAnsi="Arial" w:cs="Arial"/>
                <w:color w:val="000000"/>
                <w:sz w:val="18"/>
                <w:szCs w:val="18"/>
                <w:lang w:val="en-US" w:eastAsia="es-CL"/>
              </w:rPr>
              <w:t>; Aug;9(3):134-143, 2004.</w: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Systematic review of 14 studies into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Prevalence 70% in 731 sub-acute back pain patients and 52% in 325 chronic back pain patients.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reliably assessed (kappa values 0.51 to 1.0).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consistently associated with good outcomes, and failure to </w:t>
            </w:r>
            <w:proofErr w:type="spellStart"/>
            <w:r w:rsidRPr="00A866CF">
              <w:rPr>
                <w:rFonts w:ascii="Arial" w:eastAsia="Times New Roman" w:hAnsi="Arial" w:cs="Arial"/>
                <w:color w:val="000000"/>
                <w:sz w:val="18"/>
                <w:szCs w:val="18"/>
                <w:lang w:val="en-US" w:eastAsia="es-CL"/>
              </w:rPr>
              <w:t>centralise</w:t>
            </w:r>
            <w:proofErr w:type="spellEnd"/>
            <w:r w:rsidRPr="00A866CF">
              <w:rPr>
                <w:rFonts w:ascii="Arial" w:eastAsia="Times New Roman" w:hAnsi="Arial" w:cs="Arial"/>
                <w:color w:val="000000"/>
                <w:sz w:val="18"/>
                <w:szCs w:val="18"/>
                <w:lang w:val="en-US" w:eastAsia="es-CL"/>
              </w:rPr>
              <w:t xml:space="preserve"> with poor outcomes. </w:t>
            </w:r>
            <w:proofErr w:type="spellStart"/>
            <w:r w:rsidRPr="00A866CF">
              <w:rPr>
                <w:rFonts w:ascii="Arial" w:eastAsia="Times New Roman" w:hAnsi="Arial" w:cs="Arial"/>
                <w:color w:val="000000"/>
                <w:sz w:val="18"/>
                <w:szCs w:val="18"/>
                <w:lang w:eastAsia="es-CL"/>
              </w:rPr>
              <w:t>Association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was</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confirmed</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by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high</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quality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studies</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54"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Broetz</w:t>
            </w:r>
            <w:proofErr w:type="spellEnd"/>
            <w:r w:rsidRPr="00A866CF">
              <w:rPr>
                <w:rFonts w:ascii="Arial" w:eastAsia="Times New Roman" w:hAnsi="Arial" w:cs="Arial"/>
                <w:color w:val="000000"/>
                <w:sz w:val="18"/>
                <w:szCs w:val="18"/>
                <w:lang w:val="en-US" w:eastAsia="es-CL"/>
              </w:rPr>
              <w:t xml:space="preserve"> D, Hahn U, </w:t>
            </w:r>
            <w:proofErr w:type="spellStart"/>
            <w:r w:rsidRPr="00A866CF">
              <w:rPr>
                <w:rFonts w:ascii="Arial" w:eastAsia="Times New Roman" w:hAnsi="Arial" w:cs="Arial"/>
                <w:color w:val="000000"/>
                <w:sz w:val="18"/>
                <w:szCs w:val="18"/>
                <w:lang w:val="en-US" w:eastAsia="es-CL"/>
              </w:rPr>
              <w:t>Maschke</w:t>
            </w:r>
            <w:proofErr w:type="spellEnd"/>
            <w:r w:rsidRPr="00A866CF">
              <w:rPr>
                <w:rFonts w:ascii="Arial" w:eastAsia="Times New Roman" w:hAnsi="Arial" w:cs="Arial"/>
                <w:color w:val="000000"/>
                <w:sz w:val="18"/>
                <w:szCs w:val="18"/>
                <w:lang w:val="en-US" w:eastAsia="es-CL"/>
              </w:rPr>
              <w:t xml:space="preserve"> E, Wick W, </w:t>
            </w:r>
            <w:proofErr w:type="spellStart"/>
            <w:r w:rsidRPr="00A866CF">
              <w:rPr>
                <w:rFonts w:ascii="Arial" w:eastAsia="Times New Roman" w:hAnsi="Arial" w:cs="Arial"/>
                <w:color w:val="000000"/>
                <w:sz w:val="18"/>
                <w:szCs w:val="18"/>
                <w:lang w:val="en-US" w:eastAsia="es-CL"/>
              </w:rPr>
              <w:t>Kueker</w:t>
            </w:r>
            <w:proofErr w:type="spellEnd"/>
            <w:r w:rsidRPr="00A866CF">
              <w:rPr>
                <w:rFonts w:ascii="Arial" w:eastAsia="Times New Roman" w:hAnsi="Arial" w:cs="Arial"/>
                <w:color w:val="000000"/>
                <w:sz w:val="18"/>
                <w:szCs w:val="18"/>
                <w:lang w:val="en-US" w:eastAsia="es-CL"/>
              </w:rPr>
              <w:t xml:space="preserve"> W, Weller M; Lumbar disc prolapse: response to mechanical physiotherapy in the absence of changes in magnetic resonance imaging. Report of 11 cases. </w:t>
            </w:r>
            <w:proofErr w:type="spellStart"/>
            <w:r w:rsidRPr="00A866CF">
              <w:rPr>
                <w:rFonts w:ascii="Arial" w:eastAsia="Times New Roman" w:hAnsi="Arial" w:cs="Arial"/>
                <w:color w:val="000000"/>
                <w:sz w:val="18"/>
                <w:szCs w:val="18"/>
                <w:lang w:val="en-US" w:eastAsia="es-CL"/>
              </w:rPr>
              <w:t>NeuroRehab</w:t>
            </w:r>
            <w:proofErr w:type="spellEnd"/>
            <w:r w:rsidRPr="00A866CF">
              <w:rPr>
                <w:rFonts w:ascii="Arial" w:eastAsia="Times New Roman" w:hAnsi="Arial" w:cs="Arial"/>
                <w:color w:val="000000"/>
                <w:sz w:val="18"/>
                <w:szCs w:val="18"/>
                <w:lang w:val="en-US" w:eastAsia="es-CL"/>
              </w:rPr>
              <w:t>; 23.289-294, 2008.</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11 patients with MRI confirmed disc prolapse with over half having weakness and sensory loss were treated with repeated end-range movements and re-evaluated after 5 treatment sessions.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occurred in 8 of 11 and all patients showed improvements in signs and symptoms, but no changes in MRI features.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53"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Pr>
                <w:rFonts w:ascii="Arial" w:eastAsia="Times New Roman" w:hAnsi="Arial" w:cs="Arial"/>
                <w:noProof/>
                <w:color w:val="000000"/>
                <w:sz w:val="18"/>
                <w:szCs w:val="18"/>
                <w:lang w:eastAsia="es-CL"/>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2" name="Imagen 2"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proofErr w:type="spellStart"/>
            <w:r w:rsidRPr="00A866CF">
              <w:rPr>
                <w:rFonts w:ascii="Arial" w:eastAsia="Times New Roman" w:hAnsi="Arial" w:cs="Arial"/>
                <w:color w:val="000000"/>
                <w:sz w:val="18"/>
                <w:szCs w:val="18"/>
                <w:lang w:val="en-US" w:eastAsia="es-CL"/>
              </w:rPr>
              <w:t>Broez</w:t>
            </w:r>
            <w:proofErr w:type="spellEnd"/>
            <w:r w:rsidRPr="00A866CF">
              <w:rPr>
                <w:rFonts w:ascii="Arial" w:eastAsia="Times New Roman" w:hAnsi="Arial" w:cs="Arial"/>
                <w:color w:val="000000"/>
                <w:sz w:val="18"/>
                <w:szCs w:val="18"/>
                <w:lang w:val="en-US" w:eastAsia="es-CL"/>
              </w:rPr>
              <w:t xml:space="preserve"> D, Burkard S, Weller </w:t>
            </w:r>
            <w:proofErr w:type="gramStart"/>
            <w:r w:rsidRPr="00A866CF">
              <w:rPr>
                <w:rFonts w:ascii="Arial" w:eastAsia="Times New Roman" w:hAnsi="Arial" w:cs="Arial"/>
                <w:color w:val="000000"/>
                <w:sz w:val="18"/>
                <w:szCs w:val="18"/>
                <w:lang w:val="en-US" w:eastAsia="es-CL"/>
              </w:rPr>
              <w:t>M ;</w:t>
            </w:r>
            <w:proofErr w:type="gramEnd"/>
            <w:r w:rsidRPr="00A866CF">
              <w:rPr>
                <w:rFonts w:ascii="Arial" w:eastAsia="Times New Roman" w:hAnsi="Arial" w:cs="Arial"/>
                <w:color w:val="000000"/>
                <w:sz w:val="18"/>
                <w:szCs w:val="18"/>
                <w:lang w:val="en-US" w:eastAsia="es-CL"/>
              </w:rPr>
              <w:t xml:space="preserve"> A prospective study of mechanical physiotherapy for lumbar disk prolapse: five year follow-up and final report. </w:t>
            </w:r>
            <w:proofErr w:type="spellStart"/>
            <w:r w:rsidRPr="00A866CF">
              <w:rPr>
                <w:rFonts w:ascii="Arial" w:eastAsia="Times New Roman" w:hAnsi="Arial" w:cs="Arial"/>
                <w:color w:val="000000"/>
                <w:sz w:val="18"/>
                <w:szCs w:val="18"/>
                <w:lang w:val="en-US" w:eastAsia="es-CL"/>
              </w:rPr>
              <w:t>NeuroRehab</w:t>
            </w:r>
            <w:proofErr w:type="spellEnd"/>
            <w:r w:rsidRPr="00A866CF">
              <w:rPr>
                <w:rFonts w:ascii="Arial" w:eastAsia="Times New Roman" w:hAnsi="Arial" w:cs="Arial"/>
                <w:color w:val="000000"/>
                <w:sz w:val="18"/>
                <w:szCs w:val="18"/>
                <w:lang w:val="en-US" w:eastAsia="es-CL"/>
              </w:rPr>
              <w:t>; 26.155-158, 2010.</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Follow-up of previous study in which patients with lumbar herniations and demonstrating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predicted good long-term outcome in the majority of patients.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52"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Bybee F, Olsen D, Cantu-</w:t>
            </w:r>
            <w:proofErr w:type="spellStart"/>
            <w:r w:rsidRPr="00A866CF">
              <w:rPr>
                <w:rFonts w:ascii="Arial" w:eastAsia="Times New Roman" w:hAnsi="Arial" w:cs="Arial"/>
                <w:color w:val="000000"/>
                <w:sz w:val="18"/>
                <w:szCs w:val="18"/>
                <w:lang w:val="en-US" w:eastAsia="es-CL"/>
              </w:rPr>
              <w:t>Boncser</w:t>
            </w:r>
            <w:proofErr w:type="spellEnd"/>
            <w:r w:rsidRPr="00A866CF">
              <w:rPr>
                <w:rFonts w:ascii="Arial" w:eastAsia="Times New Roman" w:hAnsi="Arial" w:cs="Arial"/>
                <w:color w:val="000000"/>
                <w:sz w:val="18"/>
                <w:szCs w:val="18"/>
                <w:lang w:val="en-US" w:eastAsia="es-CL"/>
              </w:rPr>
              <w:t xml:space="preserve"> G, </w:t>
            </w:r>
            <w:proofErr w:type="spellStart"/>
            <w:r w:rsidRPr="00A866CF">
              <w:rPr>
                <w:rFonts w:ascii="Arial" w:eastAsia="Times New Roman" w:hAnsi="Arial" w:cs="Arial"/>
                <w:color w:val="000000"/>
                <w:sz w:val="18"/>
                <w:szCs w:val="18"/>
                <w:lang w:val="en-US" w:eastAsia="es-CL"/>
              </w:rPr>
              <w:t>Condie</w:t>
            </w:r>
            <w:proofErr w:type="spellEnd"/>
            <w:r w:rsidRPr="00A866CF">
              <w:rPr>
                <w:rFonts w:ascii="Arial" w:eastAsia="Times New Roman" w:hAnsi="Arial" w:cs="Arial"/>
                <w:color w:val="000000"/>
                <w:sz w:val="18"/>
                <w:szCs w:val="18"/>
                <w:lang w:val="en-US" w:eastAsia="es-CL"/>
              </w:rPr>
              <w:t xml:space="preserve"> Allen H, and </w:t>
            </w:r>
            <w:proofErr w:type="spellStart"/>
            <w:r w:rsidRPr="00A866CF">
              <w:rPr>
                <w:rFonts w:ascii="Arial" w:eastAsia="Times New Roman" w:hAnsi="Arial" w:cs="Arial"/>
                <w:color w:val="000000"/>
                <w:sz w:val="18"/>
                <w:szCs w:val="18"/>
                <w:lang w:val="en-US" w:eastAsia="es-CL"/>
              </w:rPr>
              <w:t>Byars</w:t>
            </w:r>
            <w:proofErr w:type="spellEnd"/>
            <w:r w:rsidRPr="00A866CF">
              <w:rPr>
                <w:rFonts w:ascii="Arial" w:eastAsia="Times New Roman" w:hAnsi="Arial" w:cs="Arial"/>
                <w:color w:val="000000"/>
                <w:sz w:val="18"/>
                <w:szCs w:val="18"/>
                <w:lang w:val="en-US" w:eastAsia="es-CL"/>
              </w:rPr>
              <w:t xml:space="preserve"> A; Centralization of symptoms and lumbar range of motion in patients with low back pain. Physio Theory </w:t>
            </w:r>
            <w:proofErr w:type="spellStart"/>
            <w:r w:rsidRPr="00A866CF">
              <w:rPr>
                <w:rFonts w:ascii="Arial" w:eastAsia="Times New Roman" w:hAnsi="Arial" w:cs="Arial"/>
                <w:color w:val="000000"/>
                <w:sz w:val="18"/>
                <w:szCs w:val="18"/>
                <w:lang w:val="en-US" w:eastAsia="es-CL"/>
              </w:rPr>
              <w:t>Pract</w:t>
            </w:r>
            <w:proofErr w:type="spellEnd"/>
            <w:r w:rsidRPr="00A866CF">
              <w:rPr>
                <w:rFonts w:ascii="Arial" w:eastAsia="Times New Roman" w:hAnsi="Arial" w:cs="Arial"/>
                <w:color w:val="000000"/>
                <w:sz w:val="18"/>
                <w:szCs w:val="18"/>
                <w:lang w:val="en-US" w:eastAsia="es-CL"/>
              </w:rPr>
              <w:t>; 25:257-267, 2009.</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42 patients with back pain were classified as </w:t>
            </w:r>
            <w:proofErr w:type="spellStart"/>
            <w:r w:rsidRPr="00A866CF">
              <w:rPr>
                <w:rFonts w:ascii="Arial" w:eastAsia="Times New Roman" w:hAnsi="Arial" w:cs="Arial"/>
                <w:color w:val="000000"/>
                <w:sz w:val="18"/>
                <w:szCs w:val="18"/>
                <w:lang w:val="en-US" w:eastAsia="es-CL"/>
              </w:rPr>
              <w:t>centralised</w:t>
            </w:r>
            <w:proofErr w:type="spellEnd"/>
            <w:r w:rsidRPr="00A866CF">
              <w:rPr>
                <w:rFonts w:ascii="Arial" w:eastAsia="Times New Roman" w:hAnsi="Arial" w:cs="Arial"/>
                <w:color w:val="000000"/>
                <w:sz w:val="18"/>
                <w:szCs w:val="18"/>
                <w:lang w:val="en-US" w:eastAsia="es-CL"/>
              </w:rPr>
              <w:t xml:space="preserve"> (30), </w:t>
            </w:r>
            <w:proofErr w:type="spellStart"/>
            <w:r w:rsidRPr="00A866CF">
              <w:rPr>
                <w:rFonts w:ascii="Arial" w:eastAsia="Times New Roman" w:hAnsi="Arial" w:cs="Arial"/>
                <w:color w:val="000000"/>
                <w:sz w:val="18"/>
                <w:szCs w:val="18"/>
                <w:lang w:val="en-US" w:eastAsia="es-CL"/>
              </w:rPr>
              <w:t>centralising</w:t>
            </w:r>
            <w:proofErr w:type="spellEnd"/>
            <w:r w:rsidRPr="00A866CF">
              <w:rPr>
                <w:rFonts w:ascii="Arial" w:eastAsia="Times New Roman" w:hAnsi="Arial" w:cs="Arial"/>
                <w:color w:val="000000"/>
                <w:sz w:val="18"/>
                <w:szCs w:val="18"/>
                <w:lang w:val="en-US" w:eastAsia="es-CL"/>
              </w:rPr>
              <w:t xml:space="preserve"> (3), non-</w:t>
            </w:r>
            <w:proofErr w:type="spellStart"/>
            <w:r w:rsidRPr="00A866CF">
              <w:rPr>
                <w:rFonts w:ascii="Arial" w:eastAsia="Times New Roman" w:hAnsi="Arial" w:cs="Arial"/>
                <w:color w:val="000000"/>
                <w:sz w:val="18"/>
                <w:szCs w:val="18"/>
                <w:lang w:val="en-US" w:eastAsia="es-CL"/>
              </w:rPr>
              <w:t>centralised</w:t>
            </w:r>
            <w:proofErr w:type="spellEnd"/>
            <w:r w:rsidRPr="00A866CF">
              <w:rPr>
                <w:rFonts w:ascii="Arial" w:eastAsia="Times New Roman" w:hAnsi="Arial" w:cs="Arial"/>
                <w:color w:val="000000"/>
                <w:sz w:val="18"/>
                <w:szCs w:val="18"/>
                <w:lang w:val="en-US" w:eastAsia="es-CL"/>
              </w:rPr>
              <w:t xml:space="preserve"> (9); there were significant differences between initial and final extension range in first 2 groups, but not in the latter. Patients who showed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on initial visit also showed an increase of ROM during initial visit.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51"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Bybee R, </w:t>
            </w:r>
            <w:proofErr w:type="spellStart"/>
            <w:r w:rsidRPr="00A866CF">
              <w:rPr>
                <w:rFonts w:ascii="Arial" w:eastAsia="Times New Roman" w:hAnsi="Arial" w:cs="Arial"/>
                <w:color w:val="000000"/>
                <w:sz w:val="18"/>
                <w:szCs w:val="18"/>
                <w:lang w:val="en-US" w:eastAsia="es-CL"/>
              </w:rPr>
              <w:t>Hipple</w:t>
            </w:r>
            <w:proofErr w:type="spellEnd"/>
            <w:r w:rsidRPr="00A866CF">
              <w:rPr>
                <w:rFonts w:ascii="Arial" w:eastAsia="Times New Roman" w:hAnsi="Arial" w:cs="Arial"/>
                <w:color w:val="000000"/>
                <w:sz w:val="18"/>
                <w:szCs w:val="18"/>
                <w:lang w:val="en-US" w:eastAsia="es-CL"/>
              </w:rPr>
              <w:t xml:space="preserve"> L, McConnell R, Crossland P ; The relationship between reported pain during movement and centralization of symptoms in low back pain patients. </w:t>
            </w:r>
            <w:proofErr w:type="spellStart"/>
            <w:r w:rsidRPr="00A866CF">
              <w:rPr>
                <w:rFonts w:ascii="Arial" w:eastAsia="Times New Roman" w:hAnsi="Arial" w:cs="Arial"/>
                <w:color w:val="000000"/>
                <w:sz w:val="18"/>
                <w:szCs w:val="18"/>
                <w:lang w:val="en-US" w:eastAsia="es-CL"/>
              </w:rPr>
              <w:t>Manuelle</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Therapie</w:t>
            </w:r>
            <w:proofErr w:type="spellEnd"/>
            <w:r w:rsidRPr="00A866CF">
              <w:rPr>
                <w:rFonts w:ascii="Arial" w:eastAsia="Times New Roman" w:hAnsi="Arial" w:cs="Arial"/>
                <w:color w:val="000000"/>
                <w:sz w:val="18"/>
                <w:szCs w:val="18"/>
                <w:lang w:val="en-US" w:eastAsia="es-CL"/>
              </w:rPr>
              <w:t>; 9:122-127 (German), 2005.</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Occurrence of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correlated with occurrence of pain during movement in 33 patients with back pain. 22 (67%) reported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8 (24%) </w:t>
            </w:r>
            <w:proofErr w:type="spellStart"/>
            <w:r w:rsidRPr="00A866CF">
              <w:rPr>
                <w:rFonts w:ascii="Arial" w:eastAsia="Times New Roman" w:hAnsi="Arial" w:cs="Arial"/>
                <w:color w:val="000000"/>
                <w:sz w:val="18"/>
                <w:szCs w:val="18"/>
                <w:lang w:val="en-US" w:eastAsia="es-CL"/>
              </w:rPr>
              <w:t>centralising</w:t>
            </w:r>
            <w:proofErr w:type="spellEnd"/>
            <w:r w:rsidRPr="00A866CF">
              <w:rPr>
                <w:rFonts w:ascii="Arial" w:eastAsia="Times New Roman" w:hAnsi="Arial" w:cs="Arial"/>
                <w:color w:val="000000"/>
                <w:sz w:val="18"/>
                <w:szCs w:val="18"/>
                <w:lang w:val="en-US" w:eastAsia="es-CL"/>
              </w:rPr>
              <w:t xml:space="preserve"> symptoms, and 3 (9%) reported no site change in symptoms; and 29 reported pain during movement. 97% of those who reported pain during movement reported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w:t>
            </w:r>
            <w:proofErr w:type="spellStart"/>
            <w:r w:rsidRPr="00A866CF">
              <w:rPr>
                <w:rFonts w:ascii="Arial" w:eastAsia="Times New Roman" w:hAnsi="Arial" w:cs="Arial"/>
                <w:color w:val="000000"/>
                <w:sz w:val="18"/>
                <w:szCs w:val="18"/>
                <w:lang w:val="en-US" w:eastAsia="es-CL"/>
              </w:rPr>
              <w:t>centralising</w:t>
            </w:r>
            <w:proofErr w:type="spellEnd"/>
            <w:r w:rsidRPr="00A866CF">
              <w:rPr>
                <w:rFonts w:ascii="Arial" w:eastAsia="Times New Roman" w:hAnsi="Arial" w:cs="Arial"/>
                <w:color w:val="000000"/>
                <w:sz w:val="18"/>
                <w:szCs w:val="18"/>
                <w:lang w:val="en-US" w:eastAsia="es-CL"/>
              </w:rPr>
              <w:t xml:space="preserve">; and 93% of those who reported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w:t>
            </w:r>
            <w:proofErr w:type="spellStart"/>
            <w:r w:rsidRPr="00A866CF">
              <w:rPr>
                <w:rFonts w:ascii="Arial" w:eastAsia="Times New Roman" w:hAnsi="Arial" w:cs="Arial"/>
                <w:color w:val="000000"/>
                <w:sz w:val="18"/>
                <w:szCs w:val="18"/>
                <w:lang w:val="en-US" w:eastAsia="es-CL"/>
              </w:rPr>
              <w:t>centralising</w:t>
            </w:r>
            <w:proofErr w:type="spellEnd"/>
            <w:r w:rsidRPr="00A866CF">
              <w:rPr>
                <w:rFonts w:ascii="Arial" w:eastAsia="Times New Roman" w:hAnsi="Arial" w:cs="Arial"/>
                <w:color w:val="000000"/>
                <w:sz w:val="18"/>
                <w:szCs w:val="18"/>
                <w:lang w:val="en-US" w:eastAsia="es-CL"/>
              </w:rPr>
              <w:t xml:space="preserve"> reported pain during movement (p=0.001 for both).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50"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Christiansen D, Larsen K, Jensen OK, Nielsen CV; Pain Responses in Repeated End-Range Spinal Movements and Psychological Factors in Sick-Listed Patients with Low Back Pain: is there an Association? J </w:t>
            </w:r>
            <w:proofErr w:type="spellStart"/>
            <w:r w:rsidRPr="00A866CF">
              <w:rPr>
                <w:rFonts w:ascii="Arial" w:eastAsia="Times New Roman" w:hAnsi="Arial" w:cs="Arial"/>
                <w:color w:val="000000"/>
                <w:sz w:val="18"/>
                <w:szCs w:val="18"/>
                <w:lang w:val="en-US" w:eastAsia="es-CL"/>
              </w:rPr>
              <w:t>Rehabil</w:t>
            </w:r>
            <w:proofErr w:type="spellEnd"/>
            <w:r w:rsidRPr="00A866CF">
              <w:rPr>
                <w:rFonts w:ascii="Arial" w:eastAsia="Times New Roman" w:hAnsi="Arial" w:cs="Arial"/>
                <w:color w:val="000000"/>
                <w:sz w:val="18"/>
                <w:szCs w:val="18"/>
                <w:lang w:val="en-US" w:eastAsia="es-CL"/>
              </w:rPr>
              <w:t xml:space="preserve"> Med; 41.545-549, 2009.</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Cross sectional study looking at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status and psychological factors in 331 patients with back pain.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occurred in 30% of their sample. There were significant associations between non-</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and mental distress and depression.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lastRenderedPageBreak/>
              <w:pict>
                <v:rect id="_x0000_i1049"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Donelson R, </w:t>
            </w:r>
            <w:proofErr w:type="spellStart"/>
            <w:r w:rsidRPr="00A866CF">
              <w:rPr>
                <w:rFonts w:ascii="Arial" w:eastAsia="Times New Roman" w:hAnsi="Arial" w:cs="Arial"/>
                <w:color w:val="000000"/>
                <w:sz w:val="18"/>
                <w:szCs w:val="18"/>
                <w:lang w:val="en-US" w:eastAsia="es-CL"/>
              </w:rPr>
              <w:t>Aprill</w:t>
            </w:r>
            <w:proofErr w:type="spellEnd"/>
            <w:r w:rsidRPr="00A866CF">
              <w:rPr>
                <w:rFonts w:ascii="Arial" w:eastAsia="Times New Roman" w:hAnsi="Arial" w:cs="Arial"/>
                <w:color w:val="000000"/>
                <w:sz w:val="18"/>
                <w:szCs w:val="18"/>
                <w:lang w:val="en-US" w:eastAsia="es-CL"/>
              </w:rPr>
              <w:t xml:space="preserve"> C, </w:t>
            </w:r>
            <w:proofErr w:type="spellStart"/>
            <w:r w:rsidRPr="00A866CF">
              <w:rPr>
                <w:rFonts w:ascii="Arial" w:eastAsia="Times New Roman" w:hAnsi="Arial" w:cs="Arial"/>
                <w:color w:val="000000"/>
                <w:sz w:val="18"/>
                <w:szCs w:val="18"/>
                <w:lang w:val="en-US" w:eastAsia="es-CL"/>
              </w:rPr>
              <w:t>Medcalf</w:t>
            </w:r>
            <w:proofErr w:type="spellEnd"/>
            <w:r w:rsidRPr="00A866CF">
              <w:rPr>
                <w:rFonts w:ascii="Arial" w:eastAsia="Times New Roman" w:hAnsi="Arial" w:cs="Arial"/>
                <w:color w:val="000000"/>
                <w:sz w:val="18"/>
                <w:szCs w:val="18"/>
                <w:lang w:val="en-US" w:eastAsia="es-CL"/>
              </w:rPr>
              <w:t xml:space="preserve"> R, Grant W.; A prospective study of centralization of lumbar and referred pain. A predictor of symptomatic discs and </w:t>
            </w:r>
            <w:proofErr w:type="spellStart"/>
            <w:r w:rsidRPr="00A866CF">
              <w:rPr>
                <w:rFonts w:ascii="Arial" w:eastAsia="Times New Roman" w:hAnsi="Arial" w:cs="Arial"/>
                <w:color w:val="000000"/>
                <w:sz w:val="18"/>
                <w:szCs w:val="18"/>
                <w:lang w:val="en-US" w:eastAsia="es-CL"/>
              </w:rPr>
              <w:t>anular</w:t>
            </w:r>
            <w:proofErr w:type="spellEnd"/>
            <w:r w:rsidRPr="00A866CF">
              <w:rPr>
                <w:rFonts w:ascii="Arial" w:eastAsia="Times New Roman" w:hAnsi="Arial" w:cs="Arial"/>
                <w:color w:val="000000"/>
                <w:sz w:val="18"/>
                <w:szCs w:val="18"/>
                <w:lang w:val="en-US" w:eastAsia="es-CL"/>
              </w:rPr>
              <w:t xml:space="preserve"> competence. Spine; May 15;22(10):1115-22, 1997.</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63 chronic patients received a mechanical evaluation and discography, with clinicians blind to the findings of the other assessment.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(74%) and </w:t>
            </w:r>
            <w:proofErr w:type="spellStart"/>
            <w:r w:rsidRPr="00A866CF">
              <w:rPr>
                <w:rFonts w:ascii="Arial" w:eastAsia="Times New Roman" w:hAnsi="Arial" w:cs="Arial"/>
                <w:color w:val="000000"/>
                <w:sz w:val="18"/>
                <w:szCs w:val="18"/>
                <w:lang w:val="en-US" w:eastAsia="es-CL"/>
              </w:rPr>
              <w:t>peripheralisation</w:t>
            </w:r>
            <w:proofErr w:type="spellEnd"/>
            <w:r w:rsidRPr="00A866CF">
              <w:rPr>
                <w:rFonts w:ascii="Arial" w:eastAsia="Times New Roman" w:hAnsi="Arial" w:cs="Arial"/>
                <w:color w:val="000000"/>
                <w:sz w:val="18"/>
                <w:szCs w:val="18"/>
                <w:lang w:val="en-US" w:eastAsia="es-CL"/>
              </w:rPr>
              <w:t xml:space="preserve"> (69%) were strongly associated with discogenic pain, compared to no change in symptoms (12%).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(91%) was strongly associated with a competent annulus compared to </w:t>
            </w:r>
            <w:proofErr w:type="spellStart"/>
            <w:r w:rsidRPr="00A866CF">
              <w:rPr>
                <w:rFonts w:ascii="Arial" w:eastAsia="Times New Roman" w:hAnsi="Arial" w:cs="Arial"/>
                <w:color w:val="000000"/>
                <w:sz w:val="18"/>
                <w:szCs w:val="18"/>
                <w:lang w:val="en-US" w:eastAsia="es-CL"/>
              </w:rPr>
              <w:t>peripheralisation</w:t>
            </w:r>
            <w:proofErr w:type="spellEnd"/>
            <w:r w:rsidRPr="00A866CF">
              <w:rPr>
                <w:rFonts w:ascii="Arial" w:eastAsia="Times New Roman" w:hAnsi="Arial" w:cs="Arial"/>
                <w:color w:val="000000"/>
                <w:sz w:val="18"/>
                <w:szCs w:val="18"/>
                <w:lang w:val="en-US" w:eastAsia="es-CL"/>
              </w:rPr>
              <w:t xml:space="preserve"> (54%).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8"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Donelson R, Grant W, </w:t>
            </w:r>
            <w:proofErr w:type="spellStart"/>
            <w:r w:rsidRPr="00A866CF">
              <w:rPr>
                <w:rFonts w:ascii="Arial" w:eastAsia="Times New Roman" w:hAnsi="Arial" w:cs="Arial"/>
                <w:color w:val="000000"/>
                <w:sz w:val="18"/>
                <w:szCs w:val="18"/>
                <w:lang w:val="en-US" w:eastAsia="es-CL"/>
              </w:rPr>
              <w:t>Kamps</w:t>
            </w:r>
            <w:proofErr w:type="spellEnd"/>
            <w:r w:rsidRPr="00A866CF">
              <w:rPr>
                <w:rFonts w:ascii="Arial" w:eastAsia="Times New Roman" w:hAnsi="Arial" w:cs="Arial"/>
                <w:color w:val="000000"/>
                <w:sz w:val="18"/>
                <w:szCs w:val="18"/>
                <w:lang w:val="en-US" w:eastAsia="es-CL"/>
              </w:rPr>
              <w:t xml:space="preserve"> C, </w:t>
            </w:r>
            <w:proofErr w:type="spellStart"/>
            <w:r w:rsidRPr="00A866CF">
              <w:rPr>
                <w:rFonts w:ascii="Arial" w:eastAsia="Times New Roman" w:hAnsi="Arial" w:cs="Arial"/>
                <w:color w:val="000000"/>
                <w:sz w:val="18"/>
                <w:szCs w:val="18"/>
                <w:lang w:val="en-US" w:eastAsia="es-CL"/>
              </w:rPr>
              <w:t>Medcalf</w:t>
            </w:r>
            <w:proofErr w:type="spellEnd"/>
            <w:r w:rsidRPr="00A866CF">
              <w:rPr>
                <w:rFonts w:ascii="Arial" w:eastAsia="Times New Roman" w:hAnsi="Arial" w:cs="Arial"/>
                <w:color w:val="000000"/>
                <w:sz w:val="18"/>
                <w:szCs w:val="18"/>
                <w:lang w:val="en-US" w:eastAsia="es-CL"/>
              </w:rPr>
              <w:t xml:space="preserve"> R.; Pain response to sagittal end-range spinal motion. A prospective, randomized, multicentered trial. Spine; Jun;16(6 Suppl</w:t>
            </w:r>
            <w:proofErr w:type="gramStart"/>
            <w:r w:rsidRPr="00A866CF">
              <w:rPr>
                <w:rFonts w:ascii="Arial" w:eastAsia="Times New Roman" w:hAnsi="Arial" w:cs="Arial"/>
                <w:color w:val="000000"/>
                <w:sz w:val="18"/>
                <w:szCs w:val="18"/>
                <w:lang w:val="en-US" w:eastAsia="es-CL"/>
              </w:rPr>
              <w:t>):S</w:t>
            </w:r>
            <w:proofErr w:type="gramEnd"/>
            <w:r w:rsidRPr="00A866CF">
              <w:rPr>
                <w:rFonts w:ascii="Arial" w:eastAsia="Times New Roman" w:hAnsi="Arial" w:cs="Arial"/>
                <w:color w:val="000000"/>
                <w:sz w:val="18"/>
                <w:szCs w:val="18"/>
                <w:lang w:val="en-US" w:eastAsia="es-CL"/>
              </w:rPr>
              <w:t>206-12, 1991.</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Donelson found that 47% of low back pain patients with or without referred pain displayed a directional preference to end range </w:t>
            </w:r>
            <w:proofErr w:type="spellStart"/>
            <w:r w:rsidRPr="00A866CF">
              <w:rPr>
                <w:rFonts w:ascii="Arial" w:eastAsia="Times New Roman" w:hAnsi="Arial" w:cs="Arial"/>
                <w:color w:val="000000"/>
                <w:sz w:val="18"/>
                <w:szCs w:val="18"/>
                <w:lang w:val="en-US" w:eastAsia="es-CL"/>
              </w:rPr>
              <w:t>sagital</w:t>
            </w:r>
            <w:proofErr w:type="spellEnd"/>
            <w:r w:rsidRPr="00A866CF">
              <w:rPr>
                <w:rFonts w:ascii="Arial" w:eastAsia="Times New Roman" w:hAnsi="Arial" w:cs="Arial"/>
                <w:color w:val="000000"/>
                <w:sz w:val="18"/>
                <w:szCs w:val="18"/>
                <w:lang w:val="en-US" w:eastAsia="es-CL"/>
              </w:rPr>
              <w:t xml:space="preserve"> spinal movement – 40% preferred extension, 7% preferred flexion.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7"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Donelson R, Silva G, Murphy K.; Centralization phenomenon. Its usefulness in evaluating and treating referred pain. Spine; Mar;15(3):211-3, 1990.</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The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phenomenon is found to be a reliable predictor of good or excellent treatment outcome. In 87 patients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occurred in 87% - with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occurring in 100% of 59 patients with excellent outcomes.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6"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George SZ, Bialosky JE, Donald </w:t>
            </w:r>
            <w:proofErr w:type="gramStart"/>
            <w:r w:rsidRPr="00A866CF">
              <w:rPr>
                <w:rFonts w:ascii="Arial" w:eastAsia="Times New Roman" w:hAnsi="Arial" w:cs="Arial"/>
                <w:color w:val="000000"/>
                <w:sz w:val="18"/>
                <w:szCs w:val="18"/>
                <w:lang w:val="en-US" w:eastAsia="es-CL"/>
              </w:rPr>
              <w:t>DA ;</w:t>
            </w:r>
            <w:proofErr w:type="gramEnd"/>
            <w:r w:rsidRPr="00A866CF">
              <w:rPr>
                <w:rFonts w:ascii="Arial" w:eastAsia="Times New Roman" w:hAnsi="Arial" w:cs="Arial"/>
                <w:color w:val="000000"/>
                <w:sz w:val="18"/>
                <w:szCs w:val="18"/>
                <w:lang w:val="en-US" w:eastAsia="es-CL"/>
              </w:rPr>
              <w:t xml:space="preserve"> The centralization phenomenon and fear-avoidance beliefs as prognostic factors for acute low back pain: a preliminary investigation involving patients classified for specific exercise. J </w:t>
            </w:r>
            <w:proofErr w:type="spellStart"/>
            <w:r w:rsidRPr="00A866CF">
              <w:rPr>
                <w:rFonts w:ascii="Arial" w:eastAsia="Times New Roman" w:hAnsi="Arial" w:cs="Arial"/>
                <w:color w:val="000000"/>
                <w:sz w:val="18"/>
                <w:szCs w:val="18"/>
                <w:lang w:val="en-US" w:eastAsia="es-CL"/>
              </w:rPr>
              <w:t>Orthop</w:t>
            </w:r>
            <w:proofErr w:type="spellEnd"/>
            <w:r w:rsidRPr="00A866CF">
              <w:rPr>
                <w:rFonts w:ascii="Arial" w:eastAsia="Times New Roman" w:hAnsi="Arial" w:cs="Arial"/>
                <w:color w:val="000000"/>
                <w:sz w:val="18"/>
                <w:szCs w:val="18"/>
                <w:lang w:val="en-US" w:eastAsia="es-CL"/>
              </w:rPr>
              <w:t xml:space="preserve"> Sports Phys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35:580-588, 2005.</w:t>
            </w:r>
          </w:p>
          <w:p w:rsidR="00A866CF" w:rsidRPr="00A866CF" w:rsidRDefault="00A866CF" w:rsidP="00A866CF">
            <w:pPr>
              <w:spacing w:after="54" w:line="240" w:lineRule="auto"/>
              <w:rPr>
                <w:rFonts w:ascii="Arial" w:eastAsia="Times New Roman" w:hAnsi="Arial" w:cs="Arial"/>
                <w:color w:val="000000"/>
                <w:sz w:val="18"/>
                <w:szCs w:val="18"/>
                <w:lang w:eastAsia="es-CL"/>
              </w:rPr>
            </w:pPr>
            <w:r w:rsidRPr="00A866CF">
              <w:rPr>
                <w:rFonts w:ascii="Arial" w:eastAsia="Times New Roman" w:hAnsi="Arial" w:cs="Arial"/>
                <w:color w:val="000000"/>
                <w:sz w:val="18"/>
                <w:szCs w:val="18"/>
                <w:lang w:val="en-US" w:eastAsia="es-CL"/>
              </w:rPr>
              <w:t xml:space="preserve">Secondary analysis of 28 patients who were classified as specific exercise category and observed for the effects of prognostic variables at baseline on outcomes at 6 months.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and fear-avoidance at work both independently and significantly predicted disability at 6 months. </w:t>
            </w:r>
            <w:proofErr w:type="spellStart"/>
            <w:r w:rsidRPr="00A866CF">
              <w:rPr>
                <w:rFonts w:ascii="Arial" w:eastAsia="Times New Roman" w:hAnsi="Arial" w:cs="Arial"/>
                <w:color w:val="000000"/>
                <w:sz w:val="18"/>
                <w:szCs w:val="18"/>
                <w:lang w:eastAsia="es-CL"/>
              </w:rPr>
              <w:t>Only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centralisation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significantly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predicted</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pain</w:t>
            </w:r>
            <w:proofErr w:type="spellEnd"/>
            <w:r w:rsidRPr="00A866CF">
              <w:rPr>
                <w:rFonts w:ascii="Arial" w:eastAsia="Times New Roman" w:hAnsi="Arial" w:cs="Arial"/>
                <w:color w:val="000000"/>
                <w:sz w:val="18"/>
                <w:szCs w:val="18"/>
                <w:lang w:eastAsia="es-CL"/>
              </w:rPr>
              <w:t xml:space="preserve"> at 6 </w:t>
            </w:r>
            <w:proofErr w:type="spellStart"/>
            <w:r w:rsidRPr="00A866CF">
              <w:rPr>
                <w:rFonts w:ascii="Arial" w:eastAsia="Times New Roman" w:hAnsi="Arial" w:cs="Arial"/>
                <w:color w:val="000000"/>
                <w:sz w:val="18"/>
                <w:szCs w:val="18"/>
                <w:lang w:eastAsia="es-CL"/>
              </w:rPr>
              <w:t>months</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5"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Heintz</w:t>
            </w:r>
            <w:proofErr w:type="spellEnd"/>
            <w:r w:rsidRPr="00A866CF">
              <w:rPr>
                <w:rFonts w:ascii="Arial" w:eastAsia="Times New Roman" w:hAnsi="Arial" w:cs="Arial"/>
                <w:color w:val="000000"/>
                <w:sz w:val="18"/>
                <w:szCs w:val="18"/>
                <w:lang w:val="en-US" w:eastAsia="es-CL"/>
              </w:rPr>
              <w:t xml:space="preserve"> MM, </w:t>
            </w:r>
            <w:proofErr w:type="spellStart"/>
            <w:r w:rsidRPr="00A866CF">
              <w:rPr>
                <w:rFonts w:ascii="Arial" w:eastAsia="Times New Roman" w:hAnsi="Arial" w:cs="Arial"/>
                <w:color w:val="000000"/>
                <w:sz w:val="18"/>
                <w:szCs w:val="18"/>
                <w:lang w:val="en-US" w:eastAsia="es-CL"/>
              </w:rPr>
              <w:t>Hegedus</w:t>
            </w:r>
            <w:proofErr w:type="spellEnd"/>
            <w:r w:rsidRPr="00A866CF">
              <w:rPr>
                <w:rFonts w:ascii="Arial" w:eastAsia="Times New Roman" w:hAnsi="Arial" w:cs="Arial"/>
                <w:color w:val="000000"/>
                <w:sz w:val="18"/>
                <w:szCs w:val="18"/>
                <w:lang w:val="en-US" w:eastAsia="es-CL"/>
              </w:rPr>
              <w:t xml:space="preserve"> EJ; Multimodal management of mechanical neck pain using a treatment based classification system. J Manual </w:t>
            </w:r>
            <w:proofErr w:type="spellStart"/>
            <w:r w:rsidRPr="00A866CF">
              <w:rPr>
                <w:rFonts w:ascii="Arial" w:eastAsia="Times New Roman" w:hAnsi="Arial" w:cs="Arial"/>
                <w:color w:val="000000"/>
                <w:sz w:val="18"/>
                <w:szCs w:val="18"/>
                <w:lang w:val="en-US" w:eastAsia="es-CL"/>
              </w:rPr>
              <w:t>Manip</w:t>
            </w:r>
            <w:proofErr w:type="spellEnd"/>
            <w:r w:rsidRPr="00A866CF">
              <w:rPr>
                <w:rFonts w:ascii="Arial" w:eastAsia="Times New Roman" w:hAnsi="Arial" w:cs="Arial"/>
                <w:color w:val="000000"/>
                <w:sz w:val="18"/>
                <w:szCs w:val="18"/>
                <w:lang w:val="en-US" w:eastAsia="es-CL"/>
              </w:rPr>
              <w:t xml:space="preserve"> Thera; 16.217-224, 2009.</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Case report of patient with neck pain classified under treatment-based classification system, whose pain </w:t>
            </w:r>
            <w:proofErr w:type="spellStart"/>
            <w:r w:rsidRPr="00A866CF">
              <w:rPr>
                <w:rFonts w:ascii="Arial" w:eastAsia="Times New Roman" w:hAnsi="Arial" w:cs="Arial"/>
                <w:color w:val="000000"/>
                <w:sz w:val="18"/>
                <w:szCs w:val="18"/>
                <w:lang w:val="en-US" w:eastAsia="es-CL"/>
              </w:rPr>
              <w:t>centralised</w:t>
            </w:r>
            <w:proofErr w:type="spellEnd"/>
            <w:r w:rsidRPr="00A866CF">
              <w:rPr>
                <w:rFonts w:ascii="Arial" w:eastAsia="Times New Roman" w:hAnsi="Arial" w:cs="Arial"/>
                <w:color w:val="000000"/>
                <w:sz w:val="18"/>
                <w:szCs w:val="18"/>
                <w:lang w:val="en-US" w:eastAsia="es-CL"/>
              </w:rPr>
              <w:t xml:space="preserve"> with retraction exercises, </w:t>
            </w:r>
            <w:proofErr w:type="spellStart"/>
            <w:r w:rsidRPr="00A866CF">
              <w:rPr>
                <w:rFonts w:ascii="Arial" w:eastAsia="Times New Roman" w:hAnsi="Arial" w:cs="Arial"/>
                <w:color w:val="000000"/>
                <w:sz w:val="18"/>
                <w:szCs w:val="18"/>
                <w:lang w:val="en-US" w:eastAsia="es-CL"/>
              </w:rPr>
              <w:t>mobilisations</w:t>
            </w:r>
            <w:proofErr w:type="spellEnd"/>
            <w:r w:rsidRPr="00A866CF">
              <w:rPr>
                <w:rFonts w:ascii="Arial" w:eastAsia="Times New Roman" w:hAnsi="Arial" w:cs="Arial"/>
                <w:color w:val="000000"/>
                <w:sz w:val="18"/>
                <w:szCs w:val="18"/>
                <w:lang w:val="en-US" w:eastAsia="es-CL"/>
              </w:rPr>
              <w:t xml:space="preserve"> and posture advice.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4"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Karas, R.; McIntosh, G.; Hall, H.; Wilson, L.; </w:t>
            </w:r>
            <w:proofErr w:type="spellStart"/>
            <w:r w:rsidRPr="00A866CF">
              <w:rPr>
                <w:rFonts w:ascii="Arial" w:eastAsia="Times New Roman" w:hAnsi="Arial" w:cs="Arial"/>
                <w:color w:val="000000"/>
                <w:sz w:val="18"/>
                <w:szCs w:val="18"/>
                <w:lang w:val="en-US" w:eastAsia="es-CL"/>
              </w:rPr>
              <w:t>Melles</w:t>
            </w:r>
            <w:proofErr w:type="spellEnd"/>
            <w:r w:rsidRPr="00A866CF">
              <w:rPr>
                <w:rFonts w:ascii="Arial" w:eastAsia="Times New Roman" w:hAnsi="Arial" w:cs="Arial"/>
                <w:color w:val="000000"/>
                <w:sz w:val="18"/>
                <w:szCs w:val="18"/>
                <w:lang w:val="en-US" w:eastAsia="es-CL"/>
              </w:rPr>
              <w:t xml:space="preserve">, T.; The Relationship Between Nonorganic Signs and Centralization of Symptoms in the Prediction of Return to Work for Patients With Low Back Pain Phys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77:354-360, 1997.</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Inability to centralize indicated a decreased probability of returning to work, regardless of the Waddell score. A high Waddell score predicted a poor chance of returning to work regardless of the patients’ ability to centralize symptoms. Waddell scores appear to be a better predictor of poor outcomes.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3"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lastRenderedPageBreak/>
              <w:t>Laslett</w:t>
            </w:r>
            <w:proofErr w:type="spellEnd"/>
            <w:r w:rsidRPr="00A866CF">
              <w:rPr>
                <w:rFonts w:ascii="Arial" w:eastAsia="Times New Roman" w:hAnsi="Arial" w:cs="Arial"/>
                <w:color w:val="000000"/>
                <w:sz w:val="18"/>
                <w:szCs w:val="18"/>
                <w:lang w:val="en-US" w:eastAsia="es-CL"/>
              </w:rPr>
              <w:t xml:space="preserve"> M, Oberg B, </w:t>
            </w:r>
            <w:proofErr w:type="spellStart"/>
            <w:r w:rsidRPr="00A866CF">
              <w:rPr>
                <w:rFonts w:ascii="Arial" w:eastAsia="Times New Roman" w:hAnsi="Arial" w:cs="Arial"/>
                <w:color w:val="000000"/>
                <w:sz w:val="18"/>
                <w:szCs w:val="18"/>
                <w:lang w:val="en-US" w:eastAsia="es-CL"/>
              </w:rPr>
              <w:t>Aprill</w:t>
            </w:r>
            <w:proofErr w:type="spellEnd"/>
            <w:r w:rsidRPr="00A866CF">
              <w:rPr>
                <w:rFonts w:ascii="Arial" w:eastAsia="Times New Roman" w:hAnsi="Arial" w:cs="Arial"/>
                <w:color w:val="000000"/>
                <w:sz w:val="18"/>
                <w:szCs w:val="18"/>
                <w:lang w:val="en-US" w:eastAsia="es-CL"/>
              </w:rPr>
              <w:t xml:space="preserve"> CN, McDonald B ; Centralization as a predictor of provocation discography results in chronic low back pain, and the influence of disability and distress on diagnostic power. Spine J; 5:370-380, 2005.</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83 patients with chronic low back pain underwent a full or partial mechanical examination and discography and the results were compared. The prevalence of positive discography was 75%, and of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32%. Sensitivity of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to predict discogenic pain was weak (about 40%), but specificity was high and 100% in patients without severe distress or disability.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2"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Lisi</w:t>
            </w:r>
            <w:proofErr w:type="spellEnd"/>
            <w:r w:rsidRPr="00A866CF">
              <w:rPr>
                <w:rFonts w:ascii="Arial" w:eastAsia="Times New Roman" w:hAnsi="Arial" w:cs="Arial"/>
                <w:color w:val="000000"/>
                <w:sz w:val="18"/>
                <w:szCs w:val="18"/>
                <w:lang w:val="en-US" w:eastAsia="es-CL"/>
              </w:rPr>
              <w:t xml:space="preserve"> AJ.; The centralization phenomenon in chiropractic spinal manipulation of discogenic low back pain and sciatica J Manipulative </w:t>
            </w:r>
            <w:proofErr w:type="spellStart"/>
            <w:r w:rsidRPr="00A866CF">
              <w:rPr>
                <w:rFonts w:ascii="Arial" w:eastAsia="Times New Roman" w:hAnsi="Arial" w:cs="Arial"/>
                <w:color w:val="000000"/>
                <w:sz w:val="18"/>
                <w:szCs w:val="18"/>
                <w:lang w:val="en-US" w:eastAsia="es-CL"/>
              </w:rPr>
              <w:t>Physiol</w:t>
            </w:r>
            <w:proofErr w:type="spellEnd"/>
            <w:r w:rsidRPr="00A866CF">
              <w:rPr>
                <w:rFonts w:ascii="Arial" w:eastAsia="Times New Roman" w:hAnsi="Arial" w:cs="Arial"/>
                <w:color w:val="000000"/>
                <w:sz w:val="18"/>
                <w:szCs w:val="18"/>
                <w:lang w:val="en-US" w:eastAsia="es-CL"/>
              </w:rPr>
              <w:t xml:space="preserve"> </w:t>
            </w:r>
            <w:proofErr w:type="spellStart"/>
            <w:proofErr w:type="gram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xml:space="preserve"> ;</w:t>
            </w:r>
            <w:proofErr w:type="gramEnd"/>
            <w:r w:rsidRPr="00A866CF">
              <w:rPr>
                <w:rFonts w:ascii="Arial" w:eastAsia="Times New Roman" w:hAnsi="Arial" w:cs="Arial"/>
                <w:color w:val="000000"/>
                <w:sz w:val="18"/>
                <w:szCs w:val="18"/>
                <w:lang w:val="en-US" w:eastAsia="es-CL"/>
              </w:rPr>
              <w:t xml:space="preserve"> Nov-Dec;24(9):596-602, 2001.</w:t>
            </w:r>
          </w:p>
          <w:p w:rsidR="00A866CF" w:rsidRPr="00A866CF" w:rsidRDefault="00A866CF" w:rsidP="00A866CF">
            <w:pPr>
              <w:spacing w:after="54" w:line="240" w:lineRule="auto"/>
              <w:rPr>
                <w:rFonts w:ascii="Arial" w:eastAsia="Times New Roman" w:hAnsi="Arial" w:cs="Arial"/>
                <w:color w:val="000000"/>
                <w:sz w:val="18"/>
                <w:szCs w:val="18"/>
                <w:lang w:eastAsia="es-CL"/>
              </w:rPr>
            </w:pPr>
            <w:r w:rsidRPr="00A866CF">
              <w:rPr>
                <w:rFonts w:ascii="Arial" w:eastAsia="Times New Roman" w:hAnsi="Arial" w:cs="Arial"/>
                <w:color w:val="000000"/>
                <w:sz w:val="18"/>
                <w:szCs w:val="18"/>
                <w:lang w:val="en-US" w:eastAsia="es-CL"/>
              </w:rPr>
              <w:t xml:space="preserve">3 case studies demonstrating value of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2 patients displayed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and responded to </w:t>
            </w:r>
            <w:proofErr w:type="spellStart"/>
            <w:r w:rsidRPr="00A866CF">
              <w:rPr>
                <w:rFonts w:ascii="Arial" w:eastAsia="Times New Roman" w:hAnsi="Arial" w:cs="Arial"/>
                <w:color w:val="000000"/>
                <w:sz w:val="18"/>
                <w:szCs w:val="18"/>
                <w:lang w:val="en-US" w:eastAsia="es-CL"/>
              </w:rPr>
              <w:t>mobilisation</w:t>
            </w:r>
            <w:proofErr w:type="spellEnd"/>
            <w:r w:rsidRPr="00A866CF">
              <w:rPr>
                <w:rFonts w:ascii="Arial" w:eastAsia="Times New Roman" w:hAnsi="Arial" w:cs="Arial"/>
                <w:color w:val="000000"/>
                <w:sz w:val="18"/>
                <w:szCs w:val="18"/>
                <w:lang w:val="en-US" w:eastAsia="es-CL"/>
              </w:rPr>
              <w:t xml:space="preserve"> / manipulation treatment. </w:t>
            </w:r>
            <w:proofErr w:type="spellStart"/>
            <w:r w:rsidRPr="00A866CF">
              <w:rPr>
                <w:rFonts w:ascii="Arial" w:eastAsia="Times New Roman" w:hAnsi="Arial" w:cs="Arial"/>
                <w:color w:val="000000"/>
                <w:sz w:val="18"/>
                <w:szCs w:val="18"/>
                <w:lang w:eastAsia="es-CL"/>
              </w:rPr>
              <w:t>One</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patient</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only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able</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to</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peripheralise</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came</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to</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surgery</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1"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Long A; The centralization phenomenon: its usefulness as a predictor of outcome in conservative treatment of chronic low back pain (a pilot study Spine; 20(23):2513-2521, 1995.</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A pilot study indicating that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is useful as an outcome predictor in chronic patients. There was a superior outcome comparing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to non-</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in an interdisciplinary work-hardening </w:t>
            </w:r>
            <w:proofErr w:type="spellStart"/>
            <w:r w:rsidRPr="00A866CF">
              <w:rPr>
                <w:rFonts w:ascii="Arial" w:eastAsia="Times New Roman" w:hAnsi="Arial" w:cs="Arial"/>
                <w:color w:val="000000"/>
                <w:sz w:val="18"/>
                <w:szCs w:val="18"/>
                <w:lang w:val="en-US" w:eastAsia="es-CL"/>
              </w:rPr>
              <w:t>programme</w:t>
            </w:r>
            <w:proofErr w:type="spellEnd"/>
            <w:r w:rsidRPr="00A866CF">
              <w:rPr>
                <w:rFonts w:ascii="Arial" w:eastAsia="Times New Roman" w:hAnsi="Arial" w:cs="Arial"/>
                <w:color w:val="000000"/>
                <w:sz w:val="18"/>
                <w:szCs w:val="18"/>
                <w:lang w:val="en-US"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40"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Long A, May S, Fung </w:t>
            </w:r>
            <w:proofErr w:type="gramStart"/>
            <w:r w:rsidRPr="00A866CF">
              <w:rPr>
                <w:rFonts w:ascii="Arial" w:eastAsia="Times New Roman" w:hAnsi="Arial" w:cs="Arial"/>
                <w:color w:val="000000"/>
                <w:sz w:val="18"/>
                <w:szCs w:val="18"/>
                <w:lang w:val="en-US" w:eastAsia="es-CL"/>
              </w:rPr>
              <w:t>T ;</w:t>
            </w:r>
            <w:proofErr w:type="gramEnd"/>
            <w:r w:rsidRPr="00A866CF">
              <w:rPr>
                <w:rFonts w:ascii="Arial" w:eastAsia="Times New Roman" w:hAnsi="Arial" w:cs="Arial"/>
                <w:color w:val="000000"/>
                <w:sz w:val="18"/>
                <w:szCs w:val="18"/>
                <w:lang w:val="en-US" w:eastAsia="es-CL"/>
              </w:rPr>
              <w:t xml:space="preserve"> The comparative prognostic value of directional preference and centralization: a useful tool for front-line clinicians? J Manual </w:t>
            </w:r>
            <w:proofErr w:type="spellStart"/>
            <w:r w:rsidRPr="00A866CF">
              <w:rPr>
                <w:rFonts w:ascii="Arial" w:eastAsia="Times New Roman" w:hAnsi="Arial" w:cs="Arial"/>
                <w:color w:val="000000"/>
                <w:sz w:val="18"/>
                <w:szCs w:val="18"/>
                <w:lang w:val="en-US" w:eastAsia="es-CL"/>
              </w:rPr>
              <w:t>Manip</w:t>
            </w:r>
            <w:proofErr w:type="spellEnd"/>
            <w:r w:rsidRPr="00A866CF">
              <w:rPr>
                <w:rFonts w:ascii="Arial" w:eastAsia="Times New Roman" w:hAnsi="Arial" w:cs="Arial"/>
                <w:color w:val="000000"/>
                <w:sz w:val="18"/>
                <w:szCs w:val="18"/>
                <w:lang w:val="en-US" w:eastAsia="es-CL"/>
              </w:rPr>
              <w:t xml:space="preserve"> Thera; 16.248-254, 2008.</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Secondary analysis from a previous trial (Long et al 2004) of 312 patients who received a mechanical evaluation at baseline, 84 were deemed to have a good outcome (defined as at least 30% reduction in baseline Roland-Morris score). Factors that were predictive of a good outcome were </w:t>
            </w:r>
            <w:proofErr w:type="spellStart"/>
            <w:r w:rsidRPr="00A866CF">
              <w:rPr>
                <w:rFonts w:ascii="Arial" w:eastAsia="Times New Roman" w:hAnsi="Arial" w:cs="Arial"/>
                <w:color w:val="000000"/>
                <w:sz w:val="18"/>
                <w:szCs w:val="18"/>
                <w:lang w:val="en-US" w:eastAsia="es-CL"/>
              </w:rPr>
              <w:t>analysed</w:t>
            </w:r>
            <w:proofErr w:type="spellEnd"/>
            <w:r w:rsidRPr="00A866CF">
              <w:rPr>
                <w:rFonts w:ascii="Arial" w:eastAsia="Times New Roman" w:hAnsi="Arial" w:cs="Arial"/>
                <w:color w:val="000000"/>
                <w:sz w:val="18"/>
                <w:szCs w:val="18"/>
                <w:lang w:val="en-US" w:eastAsia="es-CL"/>
              </w:rPr>
              <w:t xml:space="preserve"> using multivariate analysis. Only leg </w:t>
            </w:r>
            <w:proofErr w:type="spellStart"/>
            <w:r w:rsidRPr="00A866CF">
              <w:rPr>
                <w:rFonts w:ascii="Arial" w:eastAsia="Times New Roman" w:hAnsi="Arial" w:cs="Arial"/>
                <w:color w:val="000000"/>
                <w:sz w:val="18"/>
                <w:szCs w:val="18"/>
                <w:lang w:val="en-US" w:eastAsia="es-CL"/>
              </w:rPr>
              <w:t>bothersomeness</w:t>
            </w:r>
            <w:proofErr w:type="spellEnd"/>
            <w:r w:rsidRPr="00A866CF">
              <w:rPr>
                <w:rFonts w:ascii="Arial" w:eastAsia="Times New Roman" w:hAnsi="Arial" w:cs="Arial"/>
                <w:color w:val="000000"/>
                <w:sz w:val="18"/>
                <w:szCs w:val="18"/>
                <w:lang w:val="en-US" w:eastAsia="es-CL"/>
              </w:rPr>
              <w:t xml:space="preserve"> rating and treatment assignment survived multivariate analysis. Subjects with directional preference who received matched directional treatment were 7.8 times more likely to have a good outcome, which was a stronger predictor than a range of other biopsychosocial factors.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9"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Pr>
                <w:rFonts w:ascii="Arial" w:eastAsia="Times New Roman" w:hAnsi="Arial" w:cs="Arial"/>
                <w:noProof/>
                <w:color w:val="000000"/>
                <w:sz w:val="18"/>
                <w:szCs w:val="18"/>
                <w:lang w:eastAsia="es-C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3" name="Imagen 3"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A866CF">
              <w:rPr>
                <w:rFonts w:ascii="Arial" w:eastAsia="Times New Roman" w:hAnsi="Arial" w:cs="Arial"/>
                <w:color w:val="000000"/>
                <w:sz w:val="18"/>
                <w:szCs w:val="18"/>
                <w:lang w:val="en-US" w:eastAsia="es-CL"/>
              </w:rPr>
              <w:t xml:space="preserve">Murphy DR, Hurwitz EL, McGovern EE; Outcome of pregnancy-related lumbopelvic pain treated according to a diagnosis-based decision rule: a prospective observational cohort study. J </w:t>
            </w:r>
            <w:proofErr w:type="spellStart"/>
            <w:r w:rsidRPr="00A866CF">
              <w:rPr>
                <w:rFonts w:ascii="Arial" w:eastAsia="Times New Roman" w:hAnsi="Arial" w:cs="Arial"/>
                <w:color w:val="000000"/>
                <w:sz w:val="18"/>
                <w:szCs w:val="18"/>
                <w:lang w:val="en-US" w:eastAsia="es-CL"/>
              </w:rPr>
              <w:t>Manip</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Physiol</w:t>
            </w:r>
            <w:proofErr w:type="spellEnd"/>
            <w:r w:rsidRPr="00A866CF">
              <w:rPr>
                <w:rFonts w:ascii="Arial" w:eastAsia="Times New Roman" w:hAnsi="Arial" w:cs="Arial"/>
                <w:color w:val="000000"/>
                <w:sz w:val="18"/>
                <w:szCs w:val="18"/>
                <w:lang w:val="en-US" w:eastAsia="es-CL"/>
              </w:rPr>
              <w:t xml:space="preserve"> </w:t>
            </w:r>
            <w:proofErr w:type="spellStart"/>
            <w:proofErr w:type="gram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xml:space="preserve"> ;</w:t>
            </w:r>
            <w:proofErr w:type="gramEnd"/>
            <w:r w:rsidRPr="00A866CF">
              <w:rPr>
                <w:rFonts w:ascii="Arial" w:eastAsia="Times New Roman" w:hAnsi="Arial" w:cs="Arial"/>
                <w:color w:val="000000"/>
                <w:sz w:val="18"/>
                <w:szCs w:val="18"/>
                <w:lang w:val="en-US" w:eastAsia="es-CL"/>
              </w:rPr>
              <w:t xml:space="preserve"> 32:616-624, 2010.</w:t>
            </w:r>
          </w:p>
          <w:p w:rsidR="00A866CF" w:rsidRPr="00A866CF" w:rsidRDefault="00A866CF" w:rsidP="00A866CF">
            <w:pPr>
              <w:spacing w:after="54" w:line="240" w:lineRule="auto"/>
              <w:rPr>
                <w:rFonts w:ascii="Arial" w:eastAsia="Times New Roman" w:hAnsi="Arial" w:cs="Arial"/>
                <w:color w:val="000000"/>
                <w:sz w:val="18"/>
                <w:szCs w:val="18"/>
                <w:lang w:eastAsia="es-CL"/>
              </w:rPr>
            </w:pPr>
            <w:r w:rsidRPr="00A866CF">
              <w:rPr>
                <w:rFonts w:ascii="Arial" w:eastAsia="Times New Roman" w:hAnsi="Arial" w:cs="Arial"/>
                <w:color w:val="000000"/>
                <w:sz w:val="18"/>
                <w:szCs w:val="18"/>
                <w:lang w:val="en-US" w:eastAsia="es-CL"/>
              </w:rPr>
              <w:t xml:space="preserve">Use of a classification system that included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as initial part of algorithm, after exclusion of serious pathology, in a cohort with pregnancy related back pain, of which 58% was pelvic pain, 20% back pain and the rest a mixture. </w:t>
            </w:r>
            <w:proofErr w:type="spellStart"/>
            <w:r w:rsidRPr="00A866CF">
              <w:rPr>
                <w:rFonts w:ascii="Arial" w:eastAsia="Times New Roman" w:hAnsi="Arial" w:cs="Arial"/>
                <w:color w:val="000000"/>
                <w:sz w:val="18"/>
                <w:szCs w:val="18"/>
                <w:lang w:eastAsia="es-CL"/>
              </w:rPr>
              <w:t>Proportion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with</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each</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classification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is</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not</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given</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8"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Murphy DR, Hurwitz EL, McGovern EE.; A nonsurgical approach to the management of patients with lumbar radiculopathy secondary to herniated disk: a prospective observational cohort study with follow-up. J </w:t>
            </w:r>
            <w:proofErr w:type="spellStart"/>
            <w:r w:rsidRPr="00A866CF">
              <w:rPr>
                <w:rFonts w:ascii="Arial" w:eastAsia="Times New Roman" w:hAnsi="Arial" w:cs="Arial"/>
                <w:color w:val="000000"/>
                <w:sz w:val="18"/>
                <w:szCs w:val="18"/>
                <w:lang w:val="en-US" w:eastAsia="es-CL"/>
              </w:rPr>
              <w:t>Manip</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Physiol</w:t>
            </w:r>
            <w:proofErr w:type="spellEnd"/>
            <w:r w:rsidRPr="00A866CF">
              <w:rPr>
                <w:rFonts w:ascii="Arial" w:eastAsia="Times New Roman" w:hAnsi="Arial" w:cs="Arial"/>
                <w:color w:val="000000"/>
                <w:sz w:val="18"/>
                <w:szCs w:val="18"/>
                <w:lang w:val="en-US" w:eastAsia="es-CL"/>
              </w:rPr>
              <w:t xml:space="preserve"> Thera; 32.723-733, 2009.</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Report on consecutive cohort study of patients with lumbar radiculopathy of who 62% demonstrated </w:t>
            </w:r>
            <w:proofErr w:type="spellStart"/>
            <w:r w:rsidRPr="00A866CF">
              <w:rPr>
                <w:rFonts w:ascii="Arial" w:eastAsia="Times New Roman" w:hAnsi="Arial" w:cs="Arial"/>
                <w:color w:val="000000"/>
                <w:sz w:val="18"/>
                <w:szCs w:val="18"/>
                <w:lang w:val="en-US" w:eastAsia="es-CL"/>
              </w:rPr>
              <w:lastRenderedPageBreak/>
              <w:t>centralisation</w:t>
            </w:r>
            <w:proofErr w:type="spellEnd"/>
            <w:r w:rsidRPr="00A866CF">
              <w:rPr>
                <w:rFonts w:ascii="Arial" w:eastAsia="Times New Roman" w:hAnsi="Arial" w:cs="Arial"/>
                <w:color w:val="000000"/>
                <w:sz w:val="18"/>
                <w:szCs w:val="18"/>
                <w:lang w:val="en-US" w:eastAsia="es-CL"/>
              </w:rPr>
              <w:t xml:space="preserve"> with repeated movements, and 8% </w:t>
            </w:r>
            <w:proofErr w:type="spellStart"/>
            <w:r w:rsidRPr="00A866CF">
              <w:rPr>
                <w:rFonts w:ascii="Arial" w:eastAsia="Times New Roman" w:hAnsi="Arial" w:cs="Arial"/>
                <w:color w:val="000000"/>
                <w:sz w:val="18"/>
                <w:szCs w:val="18"/>
                <w:lang w:val="en-US" w:eastAsia="es-CL"/>
              </w:rPr>
              <w:t>peripheralisation</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associated with functional improvement, especially at long-term follow-up.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7"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Rathore S; Use of McKenzie cervical protocol in the treatment of radicular neck pain in a machine operator. J Can </w:t>
            </w:r>
            <w:proofErr w:type="spellStart"/>
            <w:r w:rsidRPr="00A866CF">
              <w:rPr>
                <w:rFonts w:ascii="Arial" w:eastAsia="Times New Roman" w:hAnsi="Arial" w:cs="Arial"/>
                <w:color w:val="000000"/>
                <w:sz w:val="18"/>
                <w:szCs w:val="18"/>
                <w:lang w:val="en-US" w:eastAsia="es-CL"/>
              </w:rPr>
              <w:t>Chiropr</w:t>
            </w:r>
            <w:proofErr w:type="spellEnd"/>
            <w:r w:rsidRPr="00A866CF">
              <w:rPr>
                <w:rFonts w:ascii="Arial" w:eastAsia="Times New Roman" w:hAnsi="Arial" w:cs="Arial"/>
                <w:color w:val="000000"/>
                <w:sz w:val="18"/>
                <w:szCs w:val="18"/>
                <w:lang w:val="en-US" w:eastAsia="es-CL"/>
              </w:rPr>
              <w:t xml:space="preserve"> Assoc; 47:291-297, 2003.</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Case study of patient with cervical radicular pain, demonstrating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in response to retraction and extension, </w:t>
            </w:r>
            <w:proofErr w:type="spellStart"/>
            <w:r w:rsidRPr="00A866CF">
              <w:rPr>
                <w:rFonts w:ascii="Arial" w:eastAsia="Times New Roman" w:hAnsi="Arial" w:cs="Arial"/>
                <w:color w:val="000000"/>
                <w:sz w:val="18"/>
                <w:szCs w:val="18"/>
                <w:lang w:val="en-US" w:eastAsia="es-CL"/>
              </w:rPr>
              <w:t>categorised</w:t>
            </w:r>
            <w:proofErr w:type="spellEnd"/>
            <w:r w:rsidRPr="00A866CF">
              <w:rPr>
                <w:rFonts w:ascii="Arial" w:eastAsia="Times New Roman" w:hAnsi="Arial" w:cs="Arial"/>
                <w:color w:val="000000"/>
                <w:sz w:val="18"/>
                <w:szCs w:val="18"/>
                <w:lang w:val="en-US" w:eastAsia="es-CL"/>
              </w:rPr>
              <w:t xml:space="preserve"> as derangement and treated with retraction and extension exercises.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6"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Schenk R, </w:t>
            </w:r>
            <w:proofErr w:type="spellStart"/>
            <w:r w:rsidRPr="00A866CF">
              <w:rPr>
                <w:rFonts w:ascii="Arial" w:eastAsia="Times New Roman" w:hAnsi="Arial" w:cs="Arial"/>
                <w:color w:val="000000"/>
                <w:sz w:val="18"/>
                <w:szCs w:val="18"/>
                <w:lang w:val="en-US" w:eastAsia="es-CL"/>
              </w:rPr>
              <w:t>Bhaidani</w:t>
            </w:r>
            <w:proofErr w:type="spellEnd"/>
            <w:r w:rsidRPr="00A866CF">
              <w:rPr>
                <w:rFonts w:ascii="Arial" w:eastAsia="Times New Roman" w:hAnsi="Arial" w:cs="Arial"/>
                <w:color w:val="000000"/>
                <w:sz w:val="18"/>
                <w:szCs w:val="18"/>
                <w:lang w:val="en-US" w:eastAsia="es-CL"/>
              </w:rPr>
              <w:t xml:space="preserve"> T, Boswell M, Kelley J, </w:t>
            </w:r>
            <w:proofErr w:type="spellStart"/>
            <w:r w:rsidRPr="00A866CF">
              <w:rPr>
                <w:rFonts w:ascii="Arial" w:eastAsia="Times New Roman" w:hAnsi="Arial" w:cs="Arial"/>
                <w:color w:val="000000"/>
                <w:sz w:val="18"/>
                <w:szCs w:val="18"/>
                <w:lang w:val="en-US" w:eastAsia="es-CL"/>
              </w:rPr>
              <w:t>Kruchowsky</w:t>
            </w:r>
            <w:proofErr w:type="spellEnd"/>
            <w:r w:rsidRPr="00A866CF">
              <w:rPr>
                <w:rFonts w:ascii="Arial" w:eastAsia="Times New Roman" w:hAnsi="Arial" w:cs="Arial"/>
                <w:color w:val="000000"/>
                <w:sz w:val="18"/>
                <w:szCs w:val="18"/>
                <w:lang w:val="en-US" w:eastAsia="es-CL"/>
              </w:rPr>
              <w:t xml:space="preserve"> T; Inclusion of mechanical diagnosis and therapy (MDT) in the management of cervical radiculopathy: a case report. J Manual </w:t>
            </w:r>
            <w:proofErr w:type="spellStart"/>
            <w:r w:rsidRPr="00A866CF">
              <w:rPr>
                <w:rFonts w:ascii="Arial" w:eastAsia="Times New Roman" w:hAnsi="Arial" w:cs="Arial"/>
                <w:color w:val="000000"/>
                <w:sz w:val="18"/>
                <w:szCs w:val="18"/>
                <w:lang w:val="en-US" w:eastAsia="es-CL"/>
              </w:rPr>
              <w:t>Manip</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16:E2-E8, 2008.</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Case report of patients with cervical radiculopathy whose symptoms </w:t>
            </w:r>
            <w:proofErr w:type="spellStart"/>
            <w:r w:rsidRPr="00A866CF">
              <w:rPr>
                <w:rFonts w:ascii="Arial" w:eastAsia="Times New Roman" w:hAnsi="Arial" w:cs="Arial"/>
                <w:color w:val="000000"/>
                <w:sz w:val="18"/>
                <w:szCs w:val="18"/>
                <w:lang w:val="en-US" w:eastAsia="es-CL"/>
              </w:rPr>
              <w:t>centralise</w:t>
            </w:r>
            <w:proofErr w:type="spellEnd"/>
            <w:r w:rsidRPr="00A866CF">
              <w:rPr>
                <w:rFonts w:ascii="Arial" w:eastAsia="Times New Roman" w:hAnsi="Arial" w:cs="Arial"/>
                <w:color w:val="000000"/>
                <w:sz w:val="18"/>
                <w:szCs w:val="18"/>
                <w:lang w:val="en-US" w:eastAsia="es-CL"/>
              </w:rPr>
              <w:t xml:space="preserve"> with repeated retraction and rotation, and then are abolished with repeated retraction and extension. Numeric pain rating scale and Neck Disability Index are reduced to zero at discharge and 3 month follow-up.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5"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Skytte</w:t>
            </w:r>
            <w:proofErr w:type="spellEnd"/>
            <w:r w:rsidRPr="00A866CF">
              <w:rPr>
                <w:rFonts w:ascii="Arial" w:eastAsia="Times New Roman" w:hAnsi="Arial" w:cs="Arial"/>
                <w:color w:val="000000"/>
                <w:sz w:val="18"/>
                <w:szCs w:val="18"/>
                <w:lang w:val="en-US" w:eastAsia="es-CL"/>
              </w:rPr>
              <w:t xml:space="preserve"> L, May S, Petersen P; Centralization: Its prognostic value in patients with referred symptoms and sciatica Spine; 30:E293-E299, 2005.</w:t>
            </w:r>
          </w:p>
          <w:p w:rsidR="00A866CF" w:rsidRPr="00A866CF" w:rsidRDefault="00A866CF" w:rsidP="00A866CF">
            <w:pPr>
              <w:spacing w:after="54" w:line="240" w:lineRule="auto"/>
              <w:rPr>
                <w:rFonts w:ascii="Arial" w:eastAsia="Times New Roman" w:hAnsi="Arial" w:cs="Arial"/>
                <w:color w:val="000000"/>
                <w:sz w:val="18"/>
                <w:szCs w:val="18"/>
                <w:lang w:eastAsia="es-CL"/>
              </w:rPr>
            </w:pPr>
            <w:r w:rsidRPr="00A866CF">
              <w:rPr>
                <w:rFonts w:ascii="Arial" w:eastAsia="Times New Roman" w:hAnsi="Arial" w:cs="Arial"/>
                <w:color w:val="000000"/>
                <w:sz w:val="18"/>
                <w:szCs w:val="18"/>
                <w:lang w:val="en-US" w:eastAsia="es-CL"/>
              </w:rPr>
              <w:t xml:space="preserve">60 patients with referred symptoms and sciatica following a mechanical evaluation were classified as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(25) or non-</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(35). Patients then followed a </w:t>
            </w:r>
            <w:proofErr w:type="spellStart"/>
            <w:r w:rsidRPr="00A866CF">
              <w:rPr>
                <w:rFonts w:ascii="Arial" w:eastAsia="Times New Roman" w:hAnsi="Arial" w:cs="Arial"/>
                <w:color w:val="000000"/>
                <w:sz w:val="18"/>
                <w:szCs w:val="18"/>
                <w:lang w:val="en-US" w:eastAsia="es-CL"/>
              </w:rPr>
              <w:t>standardised</w:t>
            </w:r>
            <w:proofErr w:type="spellEnd"/>
            <w:r w:rsidRPr="00A866CF">
              <w:rPr>
                <w:rFonts w:ascii="Arial" w:eastAsia="Times New Roman" w:hAnsi="Arial" w:cs="Arial"/>
                <w:color w:val="000000"/>
                <w:sz w:val="18"/>
                <w:szCs w:val="18"/>
                <w:lang w:val="en-US" w:eastAsia="es-CL"/>
              </w:rPr>
              <w:t xml:space="preserve"> management pathway that involved surgery if there was a failure to improve. Both short and long-term the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group had significantly better outcomes for pain and disability. </w:t>
            </w:r>
            <w:r w:rsidRPr="00A866CF">
              <w:rPr>
                <w:rFonts w:ascii="Arial" w:eastAsia="Times New Roman" w:hAnsi="Arial" w:cs="Arial"/>
                <w:color w:val="000000"/>
                <w:sz w:val="18"/>
                <w:szCs w:val="18"/>
                <w:lang w:eastAsia="es-CL"/>
              </w:rPr>
              <w:t>Non-</w:t>
            </w:r>
            <w:proofErr w:type="spellStart"/>
            <w:r w:rsidRPr="00A866CF">
              <w:rPr>
                <w:rFonts w:ascii="Arial" w:eastAsia="Times New Roman" w:hAnsi="Arial" w:cs="Arial"/>
                <w:color w:val="000000"/>
                <w:sz w:val="18"/>
                <w:szCs w:val="18"/>
                <w:lang w:eastAsia="es-CL"/>
              </w:rPr>
              <w:t>centralisers</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were</w:t>
            </w:r>
            <w:proofErr w:type="spellEnd"/>
            <w:r w:rsidRPr="00A866CF">
              <w:rPr>
                <w:rFonts w:ascii="Arial" w:eastAsia="Times New Roman" w:hAnsi="Arial" w:cs="Arial"/>
                <w:color w:val="000000"/>
                <w:sz w:val="18"/>
                <w:szCs w:val="18"/>
                <w:lang w:eastAsia="es-CL"/>
              </w:rPr>
              <w:t xml:space="preserve"> 6 times more </w:t>
            </w:r>
            <w:proofErr w:type="spellStart"/>
            <w:r w:rsidRPr="00A866CF">
              <w:rPr>
                <w:rFonts w:ascii="Arial" w:eastAsia="Times New Roman" w:hAnsi="Arial" w:cs="Arial"/>
                <w:color w:val="000000"/>
                <w:sz w:val="18"/>
                <w:szCs w:val="18"/>
                <w:lang w:eastAsia="es-CL"/>
              </w:rPr>
              <w:t>likely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to</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have</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surgery</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4"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Sufka</w:t>
            </w:r>
            <w:proofErr w:type="spellEnd"/>
            <w:r w:rsidRPr="00A866CF">
              <w:rPr>
                <w:rFonts w:ascii="Arial" w:eastAsia="Times New Roman" w:hAnsi="Arial" w:cs="Arial"/>
                <w:color w:val="000000"/>
                <w:sz w:val="18"/>
                <w:szCs w:val="18"/>
                <w:lang w:val="en-US" w:eastAsia="es-CL"/>
              </w:rPr>
              <w:t xml:space="preserve"> A, </w:t>
            </w:r>
            <w:proofErr w:type="spellStart"/>
            <w:r w:rsidRPr="00A866CF">
              <w:rPr>
                <w:rFonts w:ascii="Arial" w:eastAsia="Times New Roman" w:hAnsi="Arial" w:cs="Arial"/>
                <w:color w:val="000000"/>
                <w:sz w:val="18"/>
                <w:szCs w:val="18"/>
                <w:lang w:val="en-US" w:eastAsia="es-CL"/>
              </w:rPr>
              <w:t>Hauger</w:t>
            </w:r>
            <w:proofErr w:type="spellEnd"/>
            <w:r w:rsidRPr="00A866CF">
              <w:rPr>
                <w:rFonts w:ascii="Arial" w:eastAsia="Times New Roman" w:hAnsi="Arial" w:cs="Arial"/>
                <w:color w:val="000000"/>
                <w:sz w:val="18"/>
                <w:szCs w:val="18"/>
                <w:lang w:val="en-US" w:eastAsia="es-CL"/>
              </w:rPr>
              <w:t xml:space="preserve"> B, </w:t>
            </w:r>
            <w:proofErr w:type="spellStart"/>
            <w:r w:rsidRPr="00A866CF">
              <w:rPr>
                <w:rFonts w:ascii="Arial" w:eastAsia="Times New Roman" w:hAnsi="Arial" w:cs="Arial"/>
                <w:color w:val="000000"/>
                <w:sz w:val="18"/>
                <w:szCs w:val="18"/>
                <w:lang w:val="en-US" w:eastAsia="es-CL"/>
              </w:rPr>
              <w:t>Trenary</w:t>
            </w:r>
            <w:proofErr w:type="spellEnd"/>
            <w:r w:rsidRPr="00A866CF">
              <w:rPr>
                <w:rFonts w:ascii="Arial" w:eastAsia="Times New Roman" w:hAnsi="Arial" w:cs="Arial"/>
                <w:color w:val="000000"/>
                <w:sz w:val="18"/>
                <w:szCs w:val="18"/>
                <w:lang w:val="en-US" w:eastAsia="es-CL"/>
              </w:rPr>
              <w:t xml:space="preserve"> M, Bishop B, Hagen A, </w:t>
            </w:r>
            <w:proofErr w:type="spellStart"/>
            <w:r w:rsidRPr="00A866CF">
              <w:rPr>
                <w:rFonts w:ascii="Arial" w:eastAsia="Times New Roman" w:hAnsi="Arial" w:cs="Arial"/>
                <w:color w:val="000000"/>
                <w:sz w:val="18"/>
                <w:szCs w:val="18"/>
                <w:lang w:val="en-US" w:eastAsia="es-CL"/>
              </w:rPr>
              <w:t>Lozon</w:t>
            </w:r>
            <w:proofErr w:type="spellEnd"/>
            <w:r w:rsidRPr="00A866CF">
              <w:rPr>
                <w:rFonts w:ascii="Arial" w:eastAsia="Times New Roman" w:hAnsi="Arial" w:cs="Arial"/>
                <w:color w:val="000000"/>
                <w:sz w:val="18"/>
                <w:szCs w:val="18"/>
                <w:lang w:val="en-US" w:eastAsia="es-CL"/>
              </w:rPr>
              <w:t xml:space="preserve"> R, Martens B.; Centralization of low back pain and perceived functional outcome. J </w:t>
            </w:r>
            <w:proofErr w:type="spellStart"/>
            <w:r w:rsidRPr="00A866CF">
              <w:rPr>
                <w:rFonts w:ascii="Arial" w:eastAsia="Times New Roman" w:hAnsi="Arial" w:cs="Arial"/>
                <w:color w:val="000000"/>
                <w:sz w:val="18"/>
                <w:szCs w:val="18"/>
                <w:lang w:val="en-US" w:eastAsia="es-CL"/>
              </w:rPr>
              <w:t>Orthop</w:t>
            </w:r>
            <w:proofErr w:type="spellEnd"/>
            <w:r w:rsidRPr="00A866CF">
              <w:rPr>
                <w:rFonts w:ascii="Arial" w:eastAsia="Times New Roman" w:hAnsi="Arial" w:cs="Arial"/>
                <w:color w:val="000000"/>
                <w:sz w:val="18"/>
                <w:szCs w:val="18"/>
                <w:lang w:val="en-US" w:eastAsia="es-CL"/>
              </w:rPr>
              <w:t xml:space="preserve"> Sports Phys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Mar;27(3):205-12, 1998.</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Of 36 patients 70% </w:t>
            </w:r>
            <w:proofErr w:type="spellStart"/>
            <w:r w:rsidRPr="00A866CF">
              <w:rPr>
                <w:rFonts w:ascii="Arial" w:eastAsia="Times New Roman" w:hAnsi="Arial" w:cs="Arial"/>
                <w:color w:val="000000"/>
                <w:sz w:val="18"/>
                <w:szCs w:val="18"/>
                <w:lang w:val="en-US" w:eastAsia="es-CL"/>
              </w:rPr>
              <w:t>centralised</w:t>
            </w:r>
            <w:proofErr w:type="spellEnd"/>
            <w:r w:rsidRPr="00A866CF">
              <w:rPr>
                <w:rFonts w:ascii="Arial" w:eastAsia="Times New Roman" w:hAnsi="Arial" w:cs="Arial"/>
                <w:color w:val="000000"/>
                <w:sz w:val="18"/>
                <w:szCs w:val="18"/>
                <w:lang w:val="en-US" w:eastAsia="es-CL"/>
              </w:rPr>
              <w:t xml:space="preserve"> within 14-day test period –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less amongst those with chronic symptoms and those with more referred pain.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associated with significantly more improvement on one of the functional outcome measures used.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3"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Tuttle N; Is it reasonable to use an individual patient’s progress after treatment as a guide to ongoing clinical reasoning? J </w:t>
            </w:r>
            <w:proofErr w:type="spellStart"/>
            <w:r w:rsidRPr="00A866CF">
              <w:rPr>
                <w:rFonts w:ascii="Arial" w:eastAsia="Times New Roman" w:hAnsi="Arial" w:cs="Arial"/>
                <w:color w:val="000000"/>
                <w:sz w:val="18"/>
                <w:szCs w:val="18"/>
                <w:lang w:val="en-US" w:eastAsia="es-CL"/>
              </w:rPr>
              <w:t>Manip</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Physiol</w:t>
            </w:r>
            <w:proofErr w:type="spellEnd"/>
            <w:r w:rsidRPr="00A866CF">
              <w:rPr>
                <w:rFonts w:ascii="Arial" w:eastAsia="Times New Roman" w:hAnsi="Arial" w:cs="Arial"/>
                <w:color w:val="000000"/>
                <w:sz w:val="18"/>
                <w:szCs w:val="18"/>
                <w:lang w:val="en-US" w:eastAsia="es-CL"/>
              </w:rPr>
              <w:t xml:space="preserve">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32.396-403, 2009.</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Review and commentary about using patient responses as a guide to clinical reasoning. Changes in range of movement and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of symptoms are better indicators of treatment effectiveness than changes in pain intensity or changes in joint position. Limited evidence to support the use of changes in segmental stiffness to guide management.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2"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 Hart DL, Cook D; A descriptive study of the centralization phenomenon. A prospective analysis. Spine; Apr 1;24(7):676-83, 1999.</w:t>
            </w:r>
          </w:p>
          <w:p w:rsidR="00A866CF" w:rsidRPr="00A866CF" w:rsidRDefault="00A866CF" w:rsidP="00A866CF">
            <w:pPr>
              <w:spacing w:after="54" w:line="240" w:lineRule="auto"/>
              <w:rPr>
                <w:rFonts w:ascii="Arial" w:eastAsia="Times New Roman" w:hAnsi="Arial" w:cs="Arial"/>
                <w:color w:val="000000"/>
                <w:sz w:val="18"/>
                <w:szCs w:val="18"/>
                <w:lang w:eastAsia="es-CL"/>
              </w:rPr>
            </w:pPr>
            <w:r w:rsidRPr="00A866CF">
              <w:rPr>
                <w:rFonts w:ascii="Arial" w:eastAsia="Times New Roman" w:hAnsi="Arial" w:cs="Arial"/>
                <w:color w:val="000000"/>
                <w:sz w:val="18"/>
                <w:szCs w:val="18"/>
                <w:lang w:val="en-US" w:eastAsia="es-CL"/>
              </w:rPr>
              <w:t xml:space="preserve">Of 289 patients with acute neck and back pain 31% </w:t>
            </w:r>
            <w:proofErr w:type="spellStart"/>
            <w:r w:rsidRPr="00A866CF">
              <w:rPr>
                <w:rFonts w:ascii="Arial" w:eastAsia="Times New Roman" w:hAnsi="Arial" w:cs="Arial"/>
                <w:color w:val="000000"/>
                <w:sz w:val="18"/>
                <w:szCs w:val="18"/>
                <w:lang w:val="en-US" w:eastAsia="es-CL"/>
              </w:rPr>
              <w:t>centralised</w:t>
            </w:r>
            <w:proofErr w:type="spellEnd"/>
            <w:r w:rsidRPr="00A866CF">
              <w:rPr>
                <w:rFonts w:ascii="Arial" w:eastAsia="Times New Roman" w:hAnsi="Arial" w:cs="Arial"/>
                <w:color w:val="000000"/>
                <w:sz w:val="18"/>
                <w:szCs w:val="18"/>
                <w:lang w:val="en-US" w:eastAsia="es-CL"/>
              </w:rPr>
              <w:t xml:space="preserve"> during repeated movement testing in the clinic and achieved abolition of symptoms on an average of 4 sessions; 46% showed some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t>
            </w:r>
            <w:r w:rsidRPr="00A866CF">
              <w:rPr>
                <w:rFonts w:ascii="Arial" w:eastAsia="Times New Roman" w:hAnsi="Arial" w:cs="Arial"/>
                <w:color w:val="000000"/>
                <w:sz w:val="18"/>
                <w:szCs w:val="18"/>
                <w:lang w:val="en-US" w:eastAsia="es-CL"/>
              </w:rPr>
              <w:lastRenderedPageBreak/>
              <w:t xml:space="preserve">or reduction of symptoms on an average of 8 sessions (partial response); 23% showed no change in symptom site or intensity over an average of 8 sessions. The authors question whether in the partial response group changes were a product of the natural history or exercise </w:t>
            </w:r>
            <w:proofErr w:type="spellStart"/>
            <w:r w:rsidRPr="00A866CF">
              <w:rPr>
                <w:rFonts w:ascii="Arial" w:eastAsia="Times New Roman" w:hAnsi="Arial" w:cs="Arial"/>
                <w:color w:val="000000"/>
                <w:sz w:val="18"/>
                <w:szCs w:val="18"/>
                <w:lang w:val="en-US" w:eastAsia="es-CL"/>
              </w:rPr>
              <w:t>programme</w:t>
            </w:r>
            <w:proofErr w:type="spellEnd"/>
            <w:r w:rsidRPr="00A866CF">
              <w:rPr>
                <w:rFonts w:ascii="Arial" w:eastAsia="Times New Roman" w:hAnsi="Arial" w:cs="Arial"/>
                <w:color w:val="000000"/>
                <w:sz w:val="18"/>
                <w:szCs w:val="18"/>
                <w:lang w:val="en-US" w:eastAsia="es-CL"/>
              </w:rPr>
              <w:t xml:space="preserve">. Both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and partial responders showed significant improvement in pain intensity and function, whilst the non-response group did not. </w:t>
            </w:r>
            <w:proofErr w:type="spellStart"/>
            <w:r w:rsidRPr="00A866CF">
              <w:rPr>
                <w:rFonts w:ascii="Arial" w:eastAsia="Times New Roman" w:hAnsi="Arial" w:cs="Arial"/>
                <w:color w:val="000000"/>
                <w:sz w:val="18"/>
                <w:szCs w:val="18"/>
                <w:lang w:eastAsia="es-CL"/>
              </w:rPr>
              <w:t>Assessment</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of</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initial</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pain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location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was</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reliably</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assessed</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1"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 Hart DL, Resnik L, Stratford PW, Reyes A; Centralization: prevalence and effect on treatment outcomes using a standardized operational definition and measurement method. J </w:t>
            </w:r>
            <w:proofErr w:type="spellStart"/>
            <w:r w:rsidRPr="00A866CF">
              <w:rPr>
                <w:rFonts w:ascii="Arial" w:eastAsia="Times New Roman" w:hAnsi="Arial" w:cs="Arial"/>
                <w:color w:val="000000"/>
                <w:sz w:val="18"/>
                <w:szCs w:val="18"/>
                <w:lang w:val="en-US" w:eastAsia="es-CL"/>
              </w:rPr>
              <w:t>Orthop</w:t>
            </w:r>
            <w:proofErr w:type="spellEnd"/>
            <w:r w:rsidRPr="00A866CF">
              <w:rPr>
                <w:rFonts w:ascii="Arial" w:eastAsia="Times New Roman" w:hAnsi="Arial" w:cs="Arial"/>
                <w:color w:val="000000"/>
                <w:sz w:val="18"/>
                <w:szCs w:val="18"/>
                <w:lang w:val="en-US" w:eastAsia="es-CL"/>
              </w:rPr>
              <w:t xml:space="preserve"> Sports Phys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38:116-125, 2008.</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Report of over 350 spine patients; 76% lumbar, 53% chronic symptoms (&gt; 3 months), mean age 58 years. Overall rate of centralization at intake as measured on a body chart template was 17%, with higher rates in more acute and younger patients. For instance rates were 29% and 24% for acute (&lt; 3 weeks) lumbar and cervical patients, and 32% and 30% for lumbar and cervical patients aged between 18 and 44. Centralization was much less common in those with chronic symptoms and those over 64 for lumbar problems and over 44 for those with cervical problems. Outcomes were better amongst centralizers and outcomes were worse amongst non-centralizers.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30"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 Hart DL.; Centralization phenomenon as a prognostic factor for chronic low back pain and disability. Spine; Apr 1;26(7):758-</w:t>
            </w:r>
            <w:proofErr w:type="gramStart"/>
            <w:r w:rsidRPr="00A866CF">
              <w:rPr>
                <w:rFonts w:ascii="Arial" w:eastAsia="Times New Roman" w:hAnsi="Arial" w:cs="Arial"/>
                <w:color w:val="000000"/>
                <w:sz w:val="18"/>
                <w:szCs w:val="18"/>
                <w:lang w:val="en-US" w:eastAsia="es-CL"/>
              </w:rPr>
              <w:t>65 ,</w:t>
            </w:r>
            <w:proofErr w:type="gramEnd"/>
            <w:r w:rsidRPr="00A866CF">
              <w:rPr>
                <w:rFonts w:ascii="Arial" w:eastAsia="Times New Roman" w:hAnsi="Arial" w:cs="Arial"/>
                <w:color w:val="000000"/>
                <w:sz w:val="18"/>
                <w:szCs w:val="18"/>
                <w:lang w:val="en-US" w:eastAsia="es-CL"/>
              </w:rPr>
              <w:t xml:space="preserve"> 2001.</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In 225 patients with acute back pain 24 psychosocial, somatic and demographic variables were recorded at initial assessment. Patient outcomes at one year were predicted by a range of independent variables. When all these variables were entered in a multivariate analysis only pain pattern classification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or partial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v non-</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and leg pain at intake were significant predictors of chronic pain and disability.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29"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 Hart </w:t>
            </w:r>
            <w:proofErr w:type="gramStart"/>
            <w:r w:rsidRPr="00A866CF">
              <w:rPr>
                <w:rFonts w:ascii="Arial" w:eastAsia="Times New Roman" w:hAnsi="Arial" w:cs="Arial"/>
                <w:color w:val="000000"/>
                <w:sz w:val="18"/>
                <w:szCs w:val="18"/>
                <w:lang w:val="en-US" w:eastAsia="es-CL"/>
              </w:rPr>
              <w:t>DL:;</w:t>
            </w:r>
            <w:proofErr w:type="gramEnd"/>
            <w:r w:rsidRPr="00A866CF">
              <w:rPr>
                <w:rFonts w:ascii="Arial" w:eastAsia="Times New Roman" w:hAnsi="Arial" w:cs="Arial"/>
                <w:color w:val="000000"/>
                <w:sz w:val="18"/>
                <w:szCs w:val="18"/>
                <w:lang w:val="en-US" w:eastAsia="es-CL"/>
              </w:rPr>
              <w:t xml:space="preserve"> Discriminant validity and relative precision for classifying patients with non-specific neck and back pain by anatomical pain patterns Spine; 28(2), 161-166, 2003.</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Re-analysis of data from earlier study comparing prognostic usefulness of classifying patients as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on the first visit compared to during subsequent visits. At first visit 130 (45%) were classified as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only 4 became non-</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but 43 became partial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At first visit 157 (55%) were classified as non-</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 of these 95 (60%) became partial or full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at later sessions.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28"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MW, Hart DL, George SZ, Stratford PW, Matheson JW, Reyes A ; Clinical outcomes for patients classified by fear-avoidance beliefs and centralization phenomenon Arch Phys Med Rehab; 90:768-777, 2009.</w:t>
            </w:r>
          </w:p>
          <w:p w:rsidR="00A866CF" w:rsidRPr="00A866CF" w:rsidRDefault="00A866CF" w:rsidP="00A866CF">
            <w:pPr>
              <w:spacing w:after="54" w:line="240" w:lineRule="auto"/>
              <w:rPr>
                <w:rFonts w:ascii="Arial" w:eastAsia="Times New Roman" w:hAnsi="Arial" w:cs="Arial"/>
                <w:color w:val="000000"/>
                <w:sz w:val="18"/>
                <w:szCs w:val="18"/>
                <w:lang w:eastAsia="es-CL"/>
              </w:rPr>
            </w:pPr>
            <w:r w:rsidRPr="00A866CF">
              <w:rPr>
                <w:rFonts w:ascii="Arial" w:eastAsia="Times New Roman" w:hAnsi="Arial" w:cs="Arial"/>
                <w:color w:val="000000"/>
                <w:sz w:val="18"/>
                <w:szCs w:val="18"/>
                <w:lang w:val="en-US" w:eastAsia="es-CL"/>
              </w:rPr>
              <w:t xml:space="preserve">Secondary analysis looking at predictors of outcome in 238 patients with back pain: 18% </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52% non-</w:t>
            </w:r>
            <w:proofErr w:type="spellStart"/>
            <w:r w:rsidRPr="00A866CF">
              <w:rPr>
                <w:rFonts w:ascii="Arial" w:eastAsia="Times New Roman" w:hAnsi="Arial" w:cs="Arial"/>
                <w:color w:val="000000"/>
                <w:sz w:val="18"/>
                <w:szCs w:val="18"/>
                <w:lang w:val="en-US" w:eastAsia="es-CL"/>
              </w:rPr>
              <w:t>centralisers</w:t>
            </w:r>
            <w:proofErr w:type="spellEnd"/>
            <w:r w:rsidRPr="00A866CF">
              <w:rPr>
                <w:rFonts w:ascii="Arial" w:eastAsia="Times New Roman" w:hAnsi="Arial" w:cs="Arial"/>
                <w:color w:val="000000"/>
                <w:sz w:val="18"/>
                <w:szCs w:val="18"/>
                <w:lang w:val="en-US" w:eastAsia="es-CL"/>
              </w:rPr>
              <w:t xml:space="preserve">, and 30% could not be classified; 56% had low fear avoidance, 44% had high fear avoidance. Treatments depended on classification according to these variables. Patients who demonstrated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improved most whatever their levels of fear avoidance; those with high levels of fear avoidance improved least. </w:t>
            </w:r>
            <w:proofErr w:type="spellStart"/>
            <w:r w:rsidRPr="00A866CF">
              <w:rPr>
                <w:rFonts w:ascii="Arial" w:eastAsia="Times New Roman" w:hAnsi="Arial" w:cs="Arial"/>
                <w:color w:val="000000"/>
                <w:sz w:val="18"/>
                <w:szCs w:val="18"/>
                <w:lang w:eastAsia="es-CL"/>
              </w:rPr>
              <w:t>Both</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centralisation</w:t>
            </w:r>
            <w:proofErr w:type="spellEnd"/>
            <w:r w:rsidRPr="00A866CF">
              <w:rPr>
                <w:rFonts w:ascii="Arial" w:eastAsia="Times New Roman" w:hAnsi="Arial" w:cs="Arial"/>
                <w:color w:val="000000"/>
                <w:sz w:val="18"/>
                <w:szCs w:val="18"/>
                <w:lang w:eastAsia="es-CL"/>
              </w:rPr>
              <w:t xml:space="preserve"> and </w:t>
            </w:r>
            <w:proofErr w:type="spellStart"/>
            <w:r w:rsidRPr="00A866CF">
              <w:rPr>
                <w:rFonts w:ascii="Arial" w:eastAsia="Times New Roman" w:hAnsi="Arial" w:cs="Arial"/>
                <w:color w:val="000000"/>
                <w:sz w:val="18"/>
                <w:szCs w:val="18"/>
                <w:lang w:eastAsia="es-CL"/>
              </w:rPr>
              <w:t>fear-avoidance</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levels</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impacted</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on</w:t>
            </w:r>
            <w:proofErr w:type="spellEnd"/>
            <w:r w:rsidRPr="00A866CF">
              <w:rPr>
                <w:rFonts w:ascii="Arial" w:eastAsia="Times New Roman" w:hAnsi="Arial" w:cs="Arial"/>
                <w:color w:val="000000"/>
                <w:sz w:val="18"/>
                <w:szCs w:val="18"/>
                <w:lang w:eastAsia="es-CL"/>
              </w:rPr>
              <w:t xml:space="preserve"> </w:t>
            </w:r>
            <w:proofErr w:type="spellStart"/>
            <w:r w:rsidRPr="00A866CF">
              <w:rPr>
                <w:rFonts w:ascii="Arial" w:eastAsia="Times New Roman" w:hAnsi="Arial" w:cs="Arial"/>
                <w:color w:val="000000"/>
                <w:sz w:val="18"/>
                <w:szCs w:val="18"/>
                <w:lang w:eastAsia="es-CL"/>
              </w:rPr>
              <w:t>outcomes</w:t>
            </w:r>
            <w:proofErr w:type="spellEnd"/>
            <w:r w:rsidRPr="00A866CF">
              <w:rPr>
                <w:rFonts w:ascii="Arial" w:eastAsia="Times New Roman" w:hAnsi="Arial" w:cs="Arial"/>
                <w:color w:val="000000"/>
                <w:sz w:val="18"/>
                <w:szCs w:val="18"/>
                <w:lang w:eastAsia="es-CL"/>
              </w:rPr>
              <w:t xml:space="preserv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27"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MW, Hart DL.; Categorizing patients with occupational low back pain by use of the Quebec Task Force Classification system versus pain pattern classification procedures: discriminant and predictive </w:t>
            </w:r>
            <w:r w:rsidRPr="00A866CF">
              <w:rPr>
                <w:rFonts w:ascii="Arial" w:eastAsia="Times New Roman" w:hAnsi="Arial" w:cs="Arial"/>
                <w:color w:val="000000"/>
                <w:sz w:val="18"/>
                <w:szCs w:val="18"/>
                <w:lang w:val="en-US" w:eastAsia="es-CL"/>
              </w:rPr>
              <w:lastRenderedPageBreak/>
              <w:t xml:space="preserve">validity Phys </w:t>
            </w:r>
            <w:proofErr w:type="spellStart"/>
            <w:r w:rsidRPr="00A866CF">
              <w:rPr>
                <w:rFonts w:ascii="Arial" w:eastAsia="Times New Roman" w:hAnsi="Arial" w:cs="Arial"/>
                <w:color w:val="000000"/>
                <w:sz w:val="18"/>
                <w:szCs w:val="18"/>
                <w:lang w:val="en-US" w:eastAsia="es-CL"/>
              </w:rPr>
              <w:t>Ther</w:t>
            </w:r>
            <w:proofErr w:type="spellEnd"/>
            <w:r w:rsidRPr="00A866CF">
              <w:rPr>
                <w:rFonts w:ascii="Arial" w:eastAsia="Times New Roman" w:hAnsi="Arial" w:cs="Arial"/>
                <w:color w:val="000000"/>
                <w:sz w:val="18"/>
                <w:szCs w:val="18"/>
                <w:lang w:val="en-US" w:eastAsia="es-CL"/>
              </w:rPr>
              <w:t>; Mar;84(3):243-54, 2004.</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Re-analysis of previously collected data comparing different methods of classifying back pain patients for their ability to predict outcome. QTF 3 or 4 predicted high levels of pain and disability at intake, but only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 non-</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categories predicted pain and disability at discharge. Non-</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was stronger predictor of work status at 1 year than fear-avoidance. Predictive value of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 non-</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stronger when followed through rehabilitation period, than just at intake.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26"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proofErr w:type="spellStart"/>
            <w:r w:rsidRPr="00A866CF">
              <w:rPr>
                <w:rFonts w:ascii="Arial" w:eastAsia="Times New Roman" w:hAnsi="Arial" w:cs="Arial"/>
                <w:color w:val="000000"/>
                <w:sz w:val="18"/>
                <w:szCs w:val="18"/>
                <w:lang w:val="en-US" w:eastAsia="es-CL"/>
              </w:rPr>
              <w:t>Werneke</w:t>
            </w:r>
            <w:proofErr w:type="spellEnd"/>
            <w:r w:rsidRPr="00A866CF">
              <w:rPr>
                <w:rFonts w:ascii="Arial" w:eastAsia="Times New Roman" w:hAnsi="Arial" w:cs="Arial"/>
                <w:color w:val="000000"/>
                <w:sz w:val="18"/>
                <w:szCs w:val="18"/>
                <w:lang w:val="en-US" w:eastAsia="es-CL"/>
              </w:rPr>
              <w:t xml:space="preserve"> MW, Hart DL.; Centralization: association between repeated end-range pain responses and behavioral signs in patients with acute non-specific low back pain. J </w:t>
            </w:r>
            <w:proofErr w:type="spellStart"/>
            <w:r w:rsidRPr="00A866CF">
              <w:rPr>
                <w:rFonts w:ascii="Arial" w:eastAsia="Times New Roman" w:hAnsi="Arial" w:cs="Arial"/>
                <w:color w:val="000000"/>
                <w:sz w:val="18"/>
                <w:szCs w:val="18"/>
                <w:lang w:val="en-US" w:eastAsia="es-CL"/>
              </w:rPr>
              <w:t>Rehabil</w:t>
            </w:r>
            <w:proofErr w:type="spellEnd"/>
            <w:r w:rsidRPr="00A866CF">
              <w:rPr>
                <w:rFonts w:ascii="Arial" w:eastAsia="Times New Roman" w:hAnsi="Arial" w:cs="Arial"/>
                <w:color w:val="000000"/>
                <w:sz w:val="18"/>
                <w:szCs w:val="18"/>
                <w:lang w:val="en-US" w:eastAsia="es-CL"/>
              </w:rPr>
              <w:t xml:space="preserve"> Med; Sep;37(5):286-90, 2005.</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Re-analysis of data from previous study to determine association between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category and psychosocial variables. Non-</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patients were significantly more likely to have positive non-organic signs, overt pain </w:t>
            </w:r>
            <w:proofErr w:type="spellStart"/>
            <w:r w:rsidRPr="00A866CF">
              <w:rPr>
                <w:rFonts w:ascii="Arial" w:eastAsia="Times New Roman" w:hAnsi="Arial" w:cs="Arial"/>
                <w:color w:val="000000"/>
                <w:sz w:val="18"/>
                <w:szCs w:val="18"/>
                <w:lang w:val="en-US" w:eastAsia="es-CL"/>
              </w:rPr>
              <w:t>behaviour</w:t>
            </w:r>
            <w:proofErr w:type="spellEnd"/>
            <w:r w:rsidRPr="00A866CF">
              <w:rPr>
                <w:rFonts w:ascii="Arial" w:eastAsia="Times New Roman" w:hAnsi="Arial" w:cs="Arial"/>
                <w:color w:val="000000"/>
                <w:sz w:val="18"/>
                <w:szCs w:val="18"/>
                <w:lang w:val="en-US" w:eastAsia="es-CL"/>
              </w:rPr>
              <w:t xml:space="preserve">, fear of work activities and </w:t>
            </w:r>
            <w:proofErr w:type="spellStart"/>
            <w:r w:rsidRPr="00A866CF">
              <w:rPr>
                <w:rFonts w:ascii="Arial" w:eastAsia="Times New Roman" w:hAnsi="Arial" w:cs="Arial"/>
                <w:color w:val="000000"/>
                <w:sz w:val="18"/>
                <w:szCs w:val="18"/>
                <w:lang w:val="en-US" w:eastAsia="es-CL"/>
              </w:rPr>
              <w:t>somatisation</w:t>
            </w:r>
            <w:proofErr w:type="spellEnd"/>
            <w:r w:rsidRPr="00A866CF">
              <w:rPr>
                <w:rFonts w:ascii="Arial" w:eastAsia="Times New Roman" w:hAnsi="Arial" w:cs="Arial"/>
                <w:color w:val="000000"/>
                <w:sz w:val="18"/>
                <w:szCs w:val="18"/>
                <w:lang w:val="en-US" w:eastAsia="es-CL"/>
              </w:rPr>
              <w:t xml:space="preserve">, but no difference was found between </w:t>
            </w:r>
            <w:proofErr w:type="spellStart"/>
            <w:r w:rsidRPr="00A866CF">
              <w:rPr>
                <w:rFonts w:ascii="Arial" w:eastAsia="Times New Roman" w:hAnsi="Arial" w:cs="Arial"/>
                <w:color w:val="000000"/>
                <w:sz w:val="18"/>
                <w:szCs w:val="18"/>
                <w:lang w:val="en-US" w:eastAsia="es-CL"/>
              </w:rPr>
              <w:t>centralisation</w:t>
            </w:r>
            <w:proofErr w:type="spellEnd"/>
            <w:r w:rsidRPr="00A866CF">
              <w:rPr>
                <w:rFonts w:ascii="Arial" w:eastAsia="Times New Roman" w:hAnsi="Arial" w:cs="Arial"/>
                <w:color w:val="000000"/>
                <w:sz w:val="18"/>
                <w:szCs w:val="18"/>
                <w:lang w:val="en-US" w:eastAsia="es-CL"/>
              </w:rPr>
              <w:t xml:space="preserve"> category regarding depression, fear of physical activity, disability or pain intensity. </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r w:rsidR="00A866CF" w:rsidRPr="00A866CF">
        <w:trPr>
          <w:tblCellSpacing w:w="22" w:type="dxa"/>
        </w:trPr>
        <w:tc>
          <w:tcPr>
            <w:tcW w:w="0" w:type="auto"/>
            <w:vAlign w:val="center"/>
            <w:hideMark/>
          </w:tcPr>
          <w:p w:rsidR="00A866CF" w:rsidRPr="00A866CF" w:rsidRDefault="00992B54" w:rsidP="00A866CF">
            <w:pPr>
              <w:spacing w:after="0" w:line="240" w:lineRule="auto"/>
              <w:rPr>
                <w:rFonts w:ascii="Arial" w:eastAsia="Times New Roman" w:hAnsi="Arial" w:cs="Arial"/>
                <w:color w:val="000000"/>
                <w:sz w:val="18"/>
                <w:szCs w:val="18"/>
                <w:lang w:eastAsia="es-CL"/>
              </w:rPr>
            </w:pPr>
            <w:r>
              <w:rPr>
                <w:rFonts w:ascii="Arial" w:eastAsia="Times New Roman" w:hAnsi="Arial" w:cs="Arial"/>
                <w:noProof/>
                <w:color w:val="000000"/>
                <w:sz w:val="18"/>
                <w:szCs w:val="18"/>
                <w:lang w:eastAsia="es-CL"/>
              </w:rPr>
              <w:pict>
                <v:rect id="_x0000_i1025" alt="" style="width:425.2pt;height:.05pt;mso-width-percent:0;mso-height-percent:0;mso-width-percent:0;mso-height-percent:0" o:hralign="center" o:hrstd="t" o:hrnoshade="t" o:hr="t" fillcolor="#999" stroked="f"/>
              </w:pict>
            </w:r>
          </w:p>
          <w:p w:rsidR="00A866CF" w:rsidRPr="00A866CF" w:rsidRDefault="00A866CF" w:rsidP="00A866CF">
            <w:pPr>
              <w:spacing w:before="100" w:beforeAutospacing="1" w:after="100" w:afterAutospacing="1"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Williams MM, Hawley JA, McKenzie RA, van </w:t>
            </w:r>
            <w:proofErr w:type="spellStart"/>
            <w:r w:rsidRPr="00A866CF">
              <w:rPr>
                <w:rFonts w:ascii="Arial" w:eastAsia="Times New Roman" w:hAnsi="Arial" w:cs="Arial"/>
                <w:color w:val="000000"/>
                <w:sz w:val="18"/>
                <w:szCs w:val="18"/>
                <w:lang w:val="en-US" w:eastAsia="es-CL"/>
              </w:rPr>
              <w:t>Wijmen</w:t>
            </w:r>
            <w:proofErr w:type="spellEnd"/>
            <w:r w:rsidRPr="00A866CF">
              <w:rPr>
                <w:rFonts w:ascii="Arial" w:eastAsia="Times New Roman" w:hAnsi="Arial" w:cs="Arial"/>
                <w:color w:val="000000"/>
                <w:sz w:val="18"/>
                <w:szCs w:val="18"/>
                <w:lang w:val="en-US" w:eastAsia="es-CL"/>
              </w:rPr>
              <w:t xml:space="preserve"> PM.; A comparison of the effects of two sitting postures on back and referred pain. Spine; Oct;16(10):1185-91, 1991.</w:t>
            </w:r>
          </w:p>
          <w:p w:rsidR="00A866CF" w:rsidRPr="00A866CF" w:rsidRDefault="00A866CF" w:rsidP="00A866CF">
            <w:pPr>
              <w:spacing w:after="54" w:line="240" w:lineRule="auto"/>
              <w:rPr>
                <w:rFonts w:ascii="Arial" w:eastAsia="Times New Roman" w:hAnsi="Arial" w:cs="Arial"/>
                <w:color w:val="000000"/>
                <w:sz w:val="18"/>
                <w:szCs w:val="18"/>
                <w:lang w:val="en-US" w:eastAsia="es-CL"/>
              </w:rPr>
            </w:pPr>
            <w:r w:rsidRPr="00A866CF">
              <w:rPr>
                <w:rFonts w:ascii="Arial" w:eastAsia="Times New Roman" w:hAnsi="Arial" w:cs="Arial"/>
                <w:color w:val="000000"/>
                <w:sz w:val="18"/>
                <w:szCs w:val="18"/>
                <w:lang w:val="en-US" w:eastAsia="es-CL"/>
              </w:rPr>
              <w:t xml:space="preserve">Over a 24-48 hour period 2 groups of patients with back and referred pain were encouraged to sit in lordosis or in a kyphotic posture. Lordotic sitting group had back and leg pain significantly reduced and pain </w:t>
            </w:r>
            <w:proofErr w:type="spellStart"/>
            <w:r w:rsidRPr="00A866CF">
              <w:rPr>
                <w:rFonts w:ascii="Arial" w:eastAsia="Times New Roman" w:hAnsi="Arial" w:cs="Arial"/>
                <w:color w:val="000000"/>
                <w:sz w:val="18"/>
                <w:szCs w:val="18"/>
                <w:lang w:val="en-US" w:eastAsia="es-CL"/>
              </w:rPr>
              <w:t>centralised</w:t>
            </w:r>
            <w:proofErr w:type="spellEnd"/>
            <w:r w:rsidRPr="00A866CF">
              <w:rPr>
                <w:rFonts w:ascii="Arial" w:eastAsia="Times New Roman" w:hAnsi="Arial" w:cs="Arial"/>
                <w:color w:val="000000"/>
                <w:sz w:val="18"/>
                <w:szCs w:val="18"/>
                <w:lang w:val="en-US" w:eastAsia="es-CL"/>
              </w:rPr>
              <w:t xml:space="preserve"> compared to kyphotic group.</w:t>
            </w: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c>
          <w:tcPr>
            <w:tcW w:w="0" w:type="auto"/>
            <w:vAlign w:val="center"/>
            <w:hideMark/>
          </w:tcPr>
          <w:p w:rsidR="00A866CF" w:rsidRPr="00A866CF" w:rsidRDefault="00A866CF" w:rsidP="00A866CF">
            <w:pPr>
              <w:spacing w:after="0" w:line="240" w:lineRule="auto"/>
              <w:rPr>
                <w:rFonts w:ascii="Times New Roman" w:eastAsia="Times New Roman" w:hAnsi="Times New Roman" w:cs="Times New Roman"/>
                <w:sz w:val="20"/>
                <w:szCs w:val="20"/>
                <w:lang w:val="en-US" w:eastAsia="es-CL"/>
              </w:rPr>
            </w:pPr>
          </w:p>
        </w:tc>
      </w:tr>
    </w:tbl>
    <w:p w:rsidR="00015772" w:rsidRPr="00A866CF" w:rsidRDefault="00015772">
      <w:pPr>
        <w:rPr>
          <w:lang w:val="en-US"/>
        </w:rPr>
      </w:pPr>
    </w:p>
    <w:sectPr w:rsidR="00015772" w:rsidRPr="00A866CF" w:rsidSect="000157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CF"/>
    <w:rsid w:val="000013E0"/>
    <w:rsid w:val="000136C8"/>
    <w:rsid w:val="00015772"/>
    <w:rsid w:val="000247B8"/>
    <w:rsid w:val="00027DA3"/>
    <w:rsid w:val="00051637"/>
    <w:rsid w:val="000528A1"/>
    <w:rsid w:val="000544A0"/>
    <w:rsid w:val="00063A8C"/>
    <w:rsid w:val="00072DA3"/>
    <w:rsid w:val="00074BC3"/>
    <w:rsid w:val="00082E35"/>
    <w:rsid w:val="000B1C50"/>
    <w:rsid w:val="000E7FA4"/>
    <w:rsid w:val="000F5396"/>
    <w:rsid w:val="001158F6"/>
    <w:rsid w:val="001455E2"/>
    <w:rsid w:val="00147834"/>
    <w:rsid w:val="001526F1"/>
    <w:rsid w:val="00164CD3"/>
    <w:rsid w:val="00173A8E"/>
    <w:rsid w:val="00173FB0"/>
    <w:rsid w:val="001C16BD"/>
    <w:rsid w:val="001D2192"/>
    <w:rsid w:val="001D5F4E"/>
    <w:rsid w:val="001E1BB8"/>
    <w:rsid w:val="001F2261"/>
    <w:rsid w:val="001F7A61"/>
    <w:rsid w:val="002109CA"/>
    <w:rsid w:val="00232236"/>
    <w:rsid w:val="002502F7"/>
    <w:rsid w:val="002556D9"/>
    <w:rsid w:val="0027656D"/>
    <w:rsid w:val="00281A1B"/>
    <w:rsid w:val="002A3F5B"/>
    <w:rsid w:val="002D3778"/>
    <w:rsid w:val="002D3B6A"/>
    <w:rsid w:val="002D5EB9"/>
    <w:rsid w:val="002E23D5"/>
    <w:rsid w:val="002E2F85"/>
    <w:rsid w:val="002E4FD6"/>
    <w:rsid w:val="002E5145"/>
    <w:rsid w:val="002E5DBA"/>
    <w:rsid w:val="00305E2E"/>
    <w:rsid w:val="0032156E"/>
    <w:rsid w:val="00343646"/>
    <w:rsid w:val="003529CD"/>
    <w:rsid w:val="003A08E9"/>
    <w:rsid w:val="003A6D04"/>
    <w:rsid w:val="003B0F74"/>
    <w:rsid w:val="003B713C"/>
    <w:rsid w:val="003C57B8"/>
    <w:rsid w:val="003D3A02"/>
    <w:rsid w:val="003E7F19"/>
    <w:rsid w:val="003F121E"/>
    <w:rsid w:val="003F391A"/>
    <w:rsid w:val="003F4853"/>
    <w:rsid w:val="003F58C5"/>
    <w:rsid w:val="00405CBE"/>
    <w:rsid w:val="00412A68"/>
    <w:rsid w:val="0044373D"/>
    <w:rsid w:val="004514DF"/>
    <w:rsid w:val="00474D96"/>
    <w:rsid w:val="00496922"/>
    <w:rsid w:val="004B0DBB"/>
    <w:rsid w:val="004B2604"/>
    <w:rsid w:val="004B2BE4"/>
    <w:rsid w:val="004B3E26"/>
    <w:rsid w:val="004B6568"/>
    <w:rsid w:val="004B7BE1"/>
    <w:rsid w:val="004C0E9E"/>
    <w:rsid w:val="004E3A9C"/>
    <w:rsid w:val="004E7CFC"/>
    <w:rsid w:val="00515941"/>
    <w:rsid w:val="005730EF"/>
    <w:rsid w:val="005918F1"/>
    <w:rsid w:val="00594A61"/>
    <w:rsid w:val="005A2A1D"/>
    <w:rsid w:val="005B1229"/>
    <w:rsid w:val="005E6BD9"/>
    <w:rsid w:val="005E6E75"/>
    <w:rsid w:val="005F54B0"/>
    <w:rsid w:val="005F5738"/>
    <w:rsid w:val="00605248"/>
    <w:rsid w:val="00611FFA"/>
    <w:rsid w:val="006130BA"/>
    <w:rsid w:val="00621AE7"/>
    <w:rsid w:val="006231AE"/>
    <w:rsid w:val="0063474A"/>
    <w:rsid w:val="00637882"/>
    <w:rsid w:val="0064170D"/>
    <w:rsid w:val="0065034D"/>
    <w:rsid w:val="00686D33"/>
    <w:rsid w:val="00694AEA"/>
    <w:rsid w:val="006B3514"/>
    <w:rsid w:val="006B5307"/>
    <w:rsid w:val="006C23B0"/>
    <w:rsid w:val="006D13C2"/>
    <w:rsid w:val="006D1F4C"/>
    <w:rsid w:val="00713ACA"/>
    <w:rsid w:val="0074071D"/>
    <w:rsid w:val="007507BC"/>
    <w:rsid w:val="00751BDC"/>
    <w:rsid w:val="00762D65"/>
    <w:rsid w:val="007669C2"/>
    <w:rsid w:val="007778E8"/>
    <w:rsid w:val="00783B62"/>
    <w:rsid w:val="00791867"/>
    <w:rsid w:val="007A2F7A"/>
    <w:rsid w:val="007A577B"/>
    <w:rsid w:val="007B3FD6"/>
    <w:rsid w:val="007C2750"/>
    <w:rsid w:val="007C7461"/>
    <w:rsid w:val="00823CB9"/>
    <w:rsid w:val="0083112F"/>
    <w:rsid w:val="00844A6C"/>
    <w:rsid w:val="00855427"/>
    <w:rsid w:val="008743D6"/>
    <w:rsid w:val="008A29C0"/>
    <w:rsid w:val="008B0262"/>
    <w:rsid w:val="008C1FF0"/>
    <w:rsid w:val="008F3C57"/>
    <w:rsid w:val="00915A19"/>
    <w:rsid w:val="00940D95"/>
    <w:rsid w:val="0095439D"/>
    <w:rsid w:val="00955999"/>
    <w:rsid w:val="0095785E"/>
    <w:rsid w:val="0096353A"/>
    <w:rsid w:val="0096580C"/>
    <w:rsid w:val="0097001D"/>
    <w:rsid w:val="009858D0"/>
    <w:rsid w:val="00986044"/>
    <w:rsid w:val="00986587"/>
    <w:rsid w:val="00992B54"/>
    <w:rsid w:val="009A1465"/>
    <w:rsid w:val="009A6F08"/>
    <w:rsid w:val="009C6792"/>
    <w:rsid w:val="009E2C2D"/>
    <w:rsid w:val="009E7246"/>
    <w:rsid w:val="009F16A8"/>
    <w:rsid w:val="009F383E"/>
    <w:rsid w:val="00A00CE8"/>
    <w:rsid w:val="00A06EBD"/>
    <w:rsid w:val="00A23150"/>
    <w:rsid w:val="00A26907"/>
    <w:rsid w:val="00A26CC3"/>
    <w:rsid w:val="00A26FF2"/>
    <w:rsid w:val="00A3441B"/>
    <w:rsid w:val="00A35943"/>
    <w:rsid w:val="00A51D40"/>
    <w:rsid w:val="00A56EB4"/>
    <w:rsid w:val="00A866CF"/>
    <w:rsid w:val="00A9014A"/>
    <w:rsid w:val="00A93355"/>
    <w:rsid w:val="00A9483D"/>
    <w:rsid w:val="00A96A63"/>
    <w:rsid w:val="00A96B21"/>
    <w:rsid w:val="00AB2743"/>
    <w:rsid w:val="00AB276E"/>
    <w:rsid w:val="00AB61C0"/>
    <w:rsid w:val="00AC4CCE"/>
    <w:rsid w:val="00AE346D"/>
    <w:rsid w:val="00AF1F60"/>
    <w:rsid w:val="00AF6BD3"/>
    <w:rsid w:val="00B118FE"/>
    <w:rsid w:val="00B23E14"/>
    <w:rsid w:val="00B24F37"/>
    <w:rsid w:val="00B25061"/>
    <w:rsid w:val="00B50A78"/>
    <w:rsid w:val="00B52168"/>
    <w:rsid w:val="00B568B5"/>
    <w:rsid w:val="00B65D9A"/>
    <w:rsid w:val="00B81164"/>
    <w:rsid w:val="00B865B9"/>
    <w:rsid w:val="00BA65E3"/>
    <w:rsid w:val="00BB7CB7"/>
    <w:rsid w:val="00BC4D17"/>
    <w:rsid w:val="00BD3F17"/>
    <w:rsid w:val="00BE229D"/>
    <w:rsid w:val="00C17C42"/>
    <w:rsid w:val="00C77D7C"/>
    <w:rsid w:val="00C908A8"/>
    <w:rsid w:val="00C92C63"/>
    <w:rsid w:val="00C92E30"/>
    <w:rsid w:val="00C94E29"/>
    <w:rsid w:val="00CA4B6A"/>
    <w:rsid w:val="00CB0D4E"/>
    <w:rsid w:val="00CB1DC0"/>
    <w:rsid w:val="00CB45E4"/>
    <w:rsid w:val="00CB5323"/>
    <w:rsid w:val="00CC75BD"/>
    <w:rsid w:val="00CC7992"/>
    <w:rsid w:val="00CE0E67"/>
    <w:rsid w:val="00CE4B6A"/>
    <w:rsid w:val="00CE67D8"/>
    <w:rsid w:val="00D04910"/>
    <w:rsid w:val="00D066B7"/>
    <w:rsid w:val="00D06B86"/>
    <w:rsid w:val="00D168C3"/>
    <w:rsid w:val="00D340F6"/>
    <w:rsid w:val="00D52990"/>
    <w:rsid w:val="00D53EFA"/>
    <w:rsid w:val="00D63318"/>
    <w:rsid w:val="00D72AA4"/>
    <w:rsid w:val="00D839B3"/>
    <w:rsid w:val="00D93371"/>
    <w:rsid w:val="00D95543"/>
    <w:rsid w:val="00D96AB5"/>
    <w:rsid w:val="00DA5DBB"/>
    <w:rsid w:val="00DA641F"/>
    <w:rsid w:val="00DD30F3"/>
    <w:rsid w:val="00DE2138"/>
    <w:rsid w:val="00DF545E"/>
    <w:rsid w:val="00DF7C41"/>
    <w:rsid w:val="00E0328B"/>
    <w:rsid w:val="00E05351"/>
    <w:rsid w:val="00E12EB0"/>
    <w:rsid w:val="00E23E53"/>
    <w:rsid w:val="00E301DF"/>
    <w:rsid w:val="00E60D7C"/>
    <w:rsid w:val="00E7647F"/>
    <w:rsid w:val="00E9462D"/>
    <w:rsid w:val="00E94C7D"/>
    <w:rsid w:val="00EA2923"/>
    <w:rsid w:val="00EA4A00"/>
    <w:rsid w:val="00EC2786"/>
    <w:rsid w:val="00EC6C4A"/>
    <w:rsid w:val="00F10C46"/>
    <w:rsid w:val="00F30098"/>
    <w:rsid w:val="00F378F8"/>
    <w:rsid w:val="00F4659A"/>
    <w:rsid w:val="00F56D93"/>
    <w:rsid w:val="00F84A54"/>
    <w:rsid w:val="00F9636C"/>
    <w:rsid w:val="00F969CD"/>
    <w:rsid w:val="00FA44BB"/>
    <w:rsid w:val="00FB0F53"/>
    <w:rsid w:val="00FB1F89"/>
    <w:rsid w:val="00FB7E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6F4F1-DC25-4140-8FDC-F171B2CE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66CF"/>
    <w:pPr>
      <w:spacing w:before="100" w:beforeAutospacing="1" w:after="100" w:afterAutospacing="1" w:line="240" w:lineRule="auto"/>
    </w:pPr>
    <w:rPr>
      <w:rFonts w:ascii="Arial" w:eastAsia="Times New Roman" w:hAnsi="Arial" w:cs="Arial"/>
      <w:color w:val="000000"/>
      <w:sz w:val="18"/>
      <w:szCs w:val="18"/>
      <w:lang w:eastAsia="es-CL"/>
    </w:rPr>
  </w:style>
  <w:style w:type="character" w:styleId="Textoennegrita">
    <w:name w:val="Strong"/>
    <w:basedOn w:val="Fuentedeprrafopredeter"/>
    <w:uiPriority w:val="22"/>
    <w:qFormat/>
    <w:rsid w:val="00A86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3177">
      <w:bodyDiv w:val="1"/>
      <w:marLeft w:val="0"/>
      <w:marRight w:val="0"/>
      <w:marTop w:val="0"/>
      <w:marBottom w:val="0"/>
      <w:divBdr>
        <w:top w:val="none" w:sz="0" w:space="0" w:color="auto"/>
        <w:left w:val="none" w:sz="0" w:space="0" w:color="auto"/>
        <w:bottom w:val="none" w:sz="0" w:space="0" w:color="auto"/>
        <w:right w:val="none" w:sz="0" w:space="0" w:color="auto"/>
      </w:divBdr>
      <w:divsChild>
        <w:div w:id="1247182301">
          <w:blockQuote w:val="1"/>
          <w:marLeft w:val="720"/>
          <w:marRight w:val="720"/>
          <w:marTop w:val="100"/>
          <w:marBottom w:val="54"/>
          <w:divBdr>
            <w:top w:val="none" w:sz="0" w:space="0" w:color="auto"/>
            <w:left w:val="none" w:sz="0" w:space="0" w:color="auto"/>
            <w:bottom w:val="none" w:sz="0" w:space="0" w:color="auto"/>
            <w:right w:val="none" w:sz="0" w:space="0" w:color="auto"/>
          </w:divBdr>
        </w:div>
        <w:div w:id="999503262">
          <w:blockQuote w:val="1"/>
          <w:marLeft w:val="720"/>
          <w:marRight w:val="720"/>
          <w:marTop w:val="100"/>
          <w:marBottom w:val="54"/>
          <w:divBdr>
            <w:top w:val="none" w:sz="0" w:space="0" w:color="auto"/>
            <w:left w:val="none" w:sz="0" w:space="0" w:color="auto"/>
            <w:bottom w:val="none" w:sz="0" w:space="0" w:color="auto"/>
            <w:right w:val="none" w:sz="0" w:space="0" w:color="auto"/>
          </w:divBdr>
        </w:div>
        <w:div w:id="290483010">
          <w:blockQuote w:val="1"/>
          <w:marLeft w:val="720"/>
          <w:marRight w:val="720"/>
          <w:marTop w:val="100"/>
          <w:marBottom w:val="54"/>
          <w:divBdr>
            <w:top w:val="none" w:sz="0" w:space="0" w:color="auto"/>
            <w:left w:val="none" w:sz="0" w:space="0" w:color="auto"/>
            <w:bottom w:val="none" w:sz="0" w:space="0" w:color="auto"/>
            <w:right w:val="none" w:sz="0" w:space="0" w:color="auto"/>
          </w:divBdr>
        </w:div>
        <w:div w:id="1637443211">
          <w:blockQuote w:val="1"/>
          <w:marLeft w:val="720"/>
          <w:marRight w:val="720"/>
          <w:marTop w:val="100"/>
          <w:marBottom w:val="54"/>
          <w:divBdr>
            <w:top w:val="none" w:sz="0" w:space="0" w:color="auto"/>
            <w:left w:val="none" w:sz="0" w:space="0" w:color="auto"/>
            <w:bottom w:val="none" w:sz="0" w:space="0" w:color="auto"/>
            <w:right w:val="none" w:sz="0" w:space="0" w:color="auto"/>
          </w:divBdr>
        </w:div>
        <w:div w:id="2072462858">
          <w:blockQuote w:val="1"/>
          <w:marLeft w:val="720"/>
          <w:marRight w:val="720"/>
          <w:marTop w:val="100"/>
          <w:marBottom w:val="54"/>
          <w:divBdr>
            <w:top w:val="none" w:sz="0" w:space="0" w:color="auto"/>
            <w:left w:val="none" w:sz="0" w:space="0" w:color="auto"/>
            <w:bottom w:val="none" w:sz="0" w:space="0" w:color="auto"/>
            <w:right w:val="none" w:sz="0" w:space="0" w:color="auto"/>
          </w:divBdr>
        </w:div>
        <w:div w:id="245766375">
          <w:blockQuote w:val="1"/>
          <w:marLeft w:val="720"/>
          <w:marRight w:val="720"/>
          <w:marTop w:val="100"/>
          <w:marBottom w:val="54"/>
          <w:divBdr>
            <w:top w:val="none" w:sz="0" w:space="0" w:color="auto"/>
            <w:left w:val="none" w:sz="0" w:space="0" w:color="auto"/>
            <w:bottom w:val="none" w:sz="0" w:space="0" w:color="auto"/>
            <w:right w:val="none" w:sz="0" w:space="0" w:color="auto"/>
          </w:divBdr>
        </w:div>
        <w:div w:id="1527448546">
          <w:blockQuote w:val="1"/>
          <w:marLeft w:val="720"/>
          <w:marRight w:val="720"/>
          <w:marTop w:val="100"/>
          <w:marBottom w:val="54"/>
          <w:divBdr>
            <w:top w:val="none" w:sz="0" w:space="0" w:color="auto"/>
            <w:left w:val="none" w:sz="0" w:space="0" w:color="auto"/>
            <w:bottom w:val="none" w:sz="0" w:space="0" w:color="auto"/>
            <w:right w:val="none" w:sz="0" w:space="0" w:color="auto"/>
          </w:divBdr>
        </w:div>
        <w:div w:id="137453607">
          <w:blockQuote w:val="1"/>
          <w:marLeft w:val="720"/>
          <w:marRight w:val="720"/>
          <w:marTop w:val="100"/>
          <w:marBottom w:val="54"/>
          <w:divBdr>
            <w:top w:val="none" w:sz="0" w:space="0" w:color="auto"/>
            <w:left w:val="none" w:sz="0" w:space="0" w:color="auto"/>
            <w:bottom w:val="none" w:sz="0" w:space="0" w:color="auto"/>
            <w:right w:val="none" w:sz="0" w:space="0" w:color="auto"/>
          </w:divBdr>
        </w:div>
        <w:div w:id="1526671514">
          <w:blockQuote w:val="1"/>
          <w:marLeft w:val="720"/>
          <w:marRight w:val="720"/>
          <w:marTop w:val="100"/>
          <w:marBottom w:val="54"/>
          <w:divBdr>
            <w:top w:val="none" w:sz="0" w:space="0" w:color="auto"/>
            <w:left w:val="none" w:sz="0" w:space="0" w:color="auto"/>
            <w:bottom w:val="none" w:sz="0" w:space="0" w:color="auto"/>
            <w:right w:val="none" w:sz="0" w:space="0" w:color="auto"/>
          </w:divBdr>
        </w:div>
        <w:div w:id="597980928">
          <w:blockQuote w:val="1"/>
          <w:marLeft w:val="720"/>
          <w:marRight w:val="720"/>
          <w:marTop w:val="100"/>
          <w:marBottom w:val="54"/>
          <w:divBdr>
            <w:top w:val="none" w:sz="0" w:space="0" w:color="auto"/>
            <w:left w:val="none" w:sz="0" w:space="0" w:color="auto"/>
            <w:bottom w:val="none" w:sz="0" w:space="0" w:color="auto"/>
            <w:right w:val="none" w:sz="0" w:space="0" w:color="auto"/>
          </w:divBdr>
        </w:div>
        <w:div w:id="2015178800">
          <w:blockQuote w:val="1"/>
          <w:marLeft w:val="720"/>
          <w:marRight w:val="720"/>
          <w:marTop w:val="100"/>
          <w:marBottom w:val="54"/>
          <w:divBdr>
            <w:top w:val="none" w:sz="0" w:space="0" w:color="auto"/>
            <w:left w:val="none" w:sz="0" w:space="0" w:color="auto"/>
            <w:bottom w:val="none" w:sz="0" w:space="0" w:color="auto"/>
            <w:right w:val="none" w:sz="0" w:space="0" w:color="auto"/>
          </w:divBdr>
        </w:div>
        <w:div w:id="877864210">
          <w:blockQuote w:val="1"/>
          <w:marLeft w:val="720"/>
          <w:marRight w:val="720"/>
          <w:marTop w:val="100"/>
          <w:marBottom w:val="54"/>
          <w:divBdr>
            <w:top w:val="none" w:sz="0" w:space="0" w:color="auto"/>
            <w:left w:val="none" w:sz="0" w:space="0" w:color="auto"/>
            <w:bottom w:val="none" w:sz="0" w:space="0" w:color="auto"/>
            <w:right w:val="none" w:sz="0" w:space="0" w:color="auto"/>
          </w:divBdr>
        </w:div>
        <w:div w:id="1062604910">
          <w:blockQuote w:val="1"/>
          <w:marLeft w:val="720"/>
          <w:marRight w:val="720"/>
          <w:marTop w:val="100"/>
          <w:marBottom w:val="54"/>
          <w:divBdr>
            <w:top w:val="none" w:sz="0" w:space="0" w:color="auto"/>
            <w:left w:val="none" w:sz="0" w:space="0" w:color="auto"/>
            <w:bottom w:val="none" w:sz="0" w:space="0" w:color="auto"/>
            <w:right w:val="none" w:sz="0" w:space="0" w:color="auto"/>
          </w:divBdr>
        </w:div>
        <w:div w:id="1777754444">
          <w:blockQuote w:val="1"/>
          <w:marLeft w:val="720"/>
          <w:marRight w:val="720"/>
          <w:marTop w:val="100"/>
          <w:marBottom w:val="54"/>
          <w:divBdr>
            <w:top w:val="none" w:sz="0" w:space="0" w:color="auto"/>
            <w:left w:val="none" w:sz="0" w:space="0" w:color="auto"/>
            <w:bottom w:val="none" w:sz="0" w:space="0" w:color="auto"/>
            <w:right w:val="none" w:sz="0" w:space="0" w:color="auto"/>
          </w:divBdr>
        </w:div>
        <w:div w:id="1279215961">
          <w:blockQuote w:val="1"/>
          <w:marLeft w:val="720"/>
          <w:marRight w:val="720"/>
          <w:marTop w:val="100"/>
          <w:marBottom w:val="54"/>
          <w:divBdr>
            <w:top w:val="none" w:sz="0" w:space="0" w:color="auto"/>
            <w:left w:val="none" w:sz="0" w:space="0" w:color="auto"/>
            <w:bottom w:val="none" w:sz="0" w:space="0" w:color="auto"/>
            <w:right w:val="none" w:sz="0" w:space="0" w:color="auto"/>
          </w:divBdr>
        </w:div>
        <w:div w:id="21169335">
          <w:blockQuote w:val="1"/>
          <w:marLeft w:val="720"/>
          <w:marRight w:val="720"/>
          <w:marTop w:val="100"/>
          <w:marBottom w:val="54"/>
          <w:divBdr>
            <w:top w:val="none" w:sz="0" w:space="0" w:color="auto"/>
            <w:left w:val="none" w:sz="0" w:space="0" w:color="auto"/>
            <w:bottom w:val="none" w:sz="0" w:space="0" w:color="auto"/>
            <w:right w:val="none" w:sz="0" w:space="0" w:color="auto"/>
          </w:divBdr>
        </w:div>
        <w:div w:id="1500582179">
          <w:blockQuote w:val="1"/>
          <w:marLeft w:val="720"/>
          <w:marRight w:val="720"/>
          <w:marTop w:val="100"/>
          <w:marBottom w:val="54"/>
          <w:divBdr>
            <w:top w:val="none" w:sz="0" w:space="0" w:color="auto"/>
            <w:left w:val="none" w:sz="0" w:space="0" w:color="auto"/>
            <w:bottom w:val="none" w:sz="0" w:space="0" w:color="auto"/>
            <w:right w:val="none" w:sz="0" w:space="0" w:color="auto"/>
          </w:divBdr>
        </w:div>
        <w:div w:id="1886288603">
          <w:blockQuote w:val="1"/>
          <w:marLeft w:val="720"/>
          <w:marRight w:val="720"/>
          <w:marTop w:val="100"/>
          <w:marBottom w:val="54"/>
          <w:divBdr>
            <w:top w:val="none" w:sz="0" w:space="0" w:color="auto"/>
            <w:left w:val="none" w:sz="0" w:space="0" w:color="auto"/>
            <w:bottom w:val="none" w:sz="0" w:space="0" w:color="auto"/>
            <w:right w:val="none" w:sz="0" w:space="0" w:color="auto"/>
          </w:divBdr>
        </w:div>
        <w:div w:id="1546940052">
          <w:blockQuote w:val="1"/>
          <w:marLeft w:val="720"/>
          <w:marRight w:val="720"/>
          <w:marTop w:val="100"/>
          <w:marBottom w:val="54"/>
          <w:divBdr>
            <w:top w:val="none" w:sz="0" w:space="0" w:color="auto"/>
            <w:left w:val="none" w:sz="0" w:space="0" w:color="auto"/>
            <w:bottom w:val="none" w:sz="0" w:space="0" w:color="auto"/>
            <w:right w:val="none" w:sz="0" w:space="0" w:color="auto"/>
          </w:divBdr>
        </w:div>
        <w:div w:id="1172381242">
          <w:blockQuote w:val="1"/>
          <w:marLeft w:val="720"/>
          <w:marRight w:val="720"/>
          <w:marTop w:val="100"/>
          <w:marBottom w:val="54"/>
          <w:divBdr>
            <w:top w:val="none" w:sz="0" w:space="0" w:color="auto"/>
            <w:left w:val="none" w:sz="0" w:space="0" w:color="auto"/>
            <w:bottom w:val="none" w:sz="0" w:space="0" w:color="auto"/>
            <w:right w:val="none" w:sz="0" w:space="0" w:color="auto"/>
          </w:divBdr>
        </w:div>
        <w:div w:id="525408078">
          <w:blockQuote w:val="1"/>
          <w:marLeft w:val="720"/>
          <w:marRight w:val="720"/>
          <w:marTop w:val="100"/>
          <w:marBottom w:val="54"/>
          <w:divBdr>
            <w:top w:val="none" w:sz="0" w:space="0" w:color="auto"/>
            <w:left w:val="none" w:sz="0" w:space="0" w:color="auto"/>
            <w:bottom w:val="none" w:sz="0" w:space="0" w:color="auto"/>
            <w:right w:val="none" w:sz="0" w:space="0" w:color="auto"/>
          </w:divBdr>
        </w:div>
        <w:div w:id="127405894">
          <w:blockQuote w:val="1"/>
          <w:marLeft w:val="720"/>
          <w:marRight w:val="720"/>
          <w:marTop w:val="100"/>
          <w:marBottom w:val="54"/>
          <w:divBdr>
            <w:top w:val="none" w:sz="0" w:space="0" w:color="auto"/>
            <w:left w:val="none" w:sz="0" w:space="0" w:color="auto"/>
            <w:bottom w:val="none" w:sz="0" w:space="0" w:color="auto"/>
            <w:right w:val="none" w:sz="0" w:space="0" w:color="auto"/>
          </w:divBdr>
        </w:div>
        <w:div w:id="2004815127">
          <w:blockQuote w:val="1"/>
          <w:marLeft w:val="720"/>
          <w:marRight w:val="720"/>
          <w:marTop w:val="100"/>
          <w:marBottom w:val="54"/>
          <w:divBdr>
            <w:top w:val="none" w:sz="0" w:space="0" w:color="auto"/>
            <w:left w:val="none" w:sz="0" w:space="0" w:color="auto"/>
            <w:bottom w:val="none" w:sz="0" w:space="0" w:color="auto"/>
            <w:right w:val="none" w:sz="0" w:space="0" w:color="auto"/>
          </w:divBdr>
        </w:div>
        <w:div w:id="1065182597">
          <w:blockQuote w:val="1"/>
          <w:marLeft w:val="720"/>
          <w:marRight w:val="720"/>
          <w:marTop w:val="100"/>
          <w:marBottom w:val="54"/>
          <w:divBdr>
            <w:top w:val="none" w:sz="0" w:space="0" w:color="auto"/>
            <w:left w:val="none" w:sz="0" w:space="0" w:color="auto"/>
            <w:bottom w:val="none" w:sz="0" w:space="0" w:color="auto"/>
            <w:right w:val="none" w:sz="0" w:space="0" w:color="auto"/>
          </w:divBdr>
        </w:div>
        <w:div w:id="1055354923">
          <w:blockQuote w:val="1"/>
          <w:marLeft w:val="720"/>
          <w:marRight w:val="720"/>
          <w:marTop w:val="100"/>
          <w:marBottom w:val="54"/>
          <w:divBdr>
            <w:top w:val="none" w:sz="0" w:space="0" w:color="auto"/>
            <w:left w:val="none" w:sz="0" w:space="0" w:color="auto"/>
            <w:bottom w:val="none" w:sz="0" w:space="0" w:color="auto"/>
            <w:right w:val="none" w:sz="0" w:space="0" w:color="auto"/>
          </w:divBdr>
        </w:div>
        <w:div w:id="1029988059">
          <w:blockQuote w:val="1"/>
          <w:marLeft w:val="720"/>
          <w:marRight w:val="720"/>
          <w:marTop w:val="100"/>
          <w:marBottom w:val="54"/>
          <w:divBdr>
            <w:top w:val="none" w:sz="0" w:space="0" w:color="auto"/>
            <w:left w:val="none" w:sz="0" w:space="0" w:color="auto"/>
            <w:bottom w:val="none" w:sz="0" w:space="0" w:color="auto"/>
            <w:right w:val="none" w:sz="0" w:space="0" w:color="auto"/>
          </w:divBdr>
        </w:div>
        <w:div w:id="253588038">
          <w:blockQuote w:val="1"/>
          <w:marLeft w:val="720"/>
          <w:marRight w:val="720"/>
          <w:marTop w:val="100"/>
          <w:marBottom w:val="54"/>
          <w:divBdr>
            <w:top w:val="none" w:sz="0" w:space="0" w:color="auto"/>
            <w:left w:val="none" w:sz="0" w:space="0" w:color="auto"/>
            <w:bottom w:val="none" w:sz="0" w:space="0" w:color="auto"/>
            <w:right w:val="none" w:sz="0" w:space="0" w:color="auto"/>
          </w:divBdr>
        </w:div>
        <w:div w:id="188224301">
          <w:blockQuote w:val="1"/>
          <w:marLeft w:val="720"/>
          <w:marRight w:val="720"/>
          <w:marTop w:val="100"/>
          <w:marBottom w:val="54"/>
          <w:divBdr>
            <w:top w:val="none" w:sz="0" w:space="0" w:color="auto"/>
            <w:left w:val="none" w:sz="0" w:space="0" w:color="auto"/>
            <w:bottom w:val="none" w:sz="0" w:space="0" w:color="auto"/>
            <w:right w:val="none" w:sz="0" w:space="0" w:color="auto"/>
          </w:divBdr>
        </w:div>
        <w:div w:id="920794052">
          <w:blockQuote w:val="1"/>
          <w:marLeft w:val="720"/>
          <w:marRight w:val="720"/>
          <w:marTop w:val="100"/>
          <w:marBottom w:val="54"/>
          <w:divBdr>
            <w:top w:val="none" w:sz="0" w:space="0" w:color="auto"/>
            <w:left w:val="none" w:sz="0" w:space="0" w:color="auto"/>
            <w:bottom w:val="none" w:sz="0" w:space="0" w:color="auto"/>
            <w:right w:val="none" w:sz="0" w:space="0" w:color="auto"/>
          </w:divBdr>
        </w:div>
        <w:div w:id="1830708954">
          <w:blockQuote w:val="1"/>
          <w:marLeft w:val="720"/>
          <w:marRight w:val="720"/>
          <w:marTop w:val="100"/>
          <w:marBottom w:val="54"/>
          <w:divBdr>
            <w:top w:val="none" w:sz="0" w:space="0" w:color="auto"/>
            <w:left w:val="none" w:sz="0" w:space="0" w:color="auto"/>
            <w:bottom w:val="none" w:sz="0" w:space="0" w:color="auto"/>
            <w:right w:val="none" w:sz="0" w:space="0" w:color="auto"/>
          </w:divBdr>
        </w:div>
        <w:div w:id="1515419717">
          <w:blockQuote w:val="1"/>
          <w:marLeft w:val="720"/>
          <w:marRight w:val="720"/>
          <w:marTop w:val="100"/>
          <w:marBottom w:val="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14450</Characters>
  <Application>Microsoft Office Word</Application>
  <DocSecurity>0</DocSecurity>
  <Lines>120</Lines>
  <Paragraphs>34</Paragraphs>
  <ScaleCrop>false</ScaleCrop>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Klgo. Prof. Victor Olivares</cp:lastModifiedBy>
  <cp:revision>2</cp:revision>
  <dcterms:created xsi:type="dcterms:W3CDTF">2023-05-28T16:29:00Z</dcterms:created>
  <dcterms:modified xsi:type="dcterms:W3CDTF">2023-05-28T16:29:00Z</dcterms:modified>
</cp:coreProperties>
</file>