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7D94" w14:textId="77777777" w:rsidR="00B825D4" w:rsidRPr="000569CA" w:rsidRDefault="00B825D4" w:rsidP="0075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5" w:lineRule="atLeast"/>
        <w:jc w:val="center"/>
        <w:rPr>
          <w:rFonts w:ascii="Bahnschrift Condensed" w:eastAsia="Times New Roman" w:hAnsi="Bahnschrift Condensed" w:cstheme="majorHAnsi"/>
          <w:b/>
          <w:color w:val="333333"/>
          <w:sz w:val="40"/>
          <w:szCs w:val="40"/>
          <w:lang w:eastAsia="es-CL"/>
        </w:rPr>
      </w:pPr>
      <w:r w:rsidRPr="000569CA">
        <w:rPr>
          <w:rFonts w:ascii="Bahnschrift Condensed" w:eastAsia="Times New Roman" w:hAnsi="Bahnschrift Condensed" w:cstheme="majorHAnsi"/>
          <w:b/>
          <w:color w:val="333333"/>
          <w:sz w:val="40"/>
          <w:szCs w:val="40"/>
          <w:lang w:eastAsia="es-CL"/>
        </w:rPr>
        <w:t>CURSO 2</w:t>
      </w:r>
    </w:p>
    <w:p w14:paraId="57842446" w14:textId="61CCA8C8" w:rsidR="001517D3" w:rsidRPr="000569CA" w:rsidRDefault="000569CA" w:rsidP="000569CA">
      <w:pPr>
        <w:spacing w:line="360" w:lineRule="auto"/>
        <w:jc w:val="center"/>
        <w:rPr>
          <w:rFonts w:ascii="Bahnschrift Condensed" w:eastAsia="Times New Roman" w:hAnsi="Bahnschrift Condensed" w:cstheme="majorHAnsi"/>
          <w:b/>
          <w:color w:val="FFFFFF" w:themeColor="background1"/>
          <w:sz w:val="40"/>
          <w:szCs w:val="40"/>
          <w:lang w:eastAsia="es-CL"/>
        </w:rPr>
      </w:pPr>
      <w:r w:rsidRPr="000569CA">
        <w:rPr>
          <w:rFonts w:ascii="Bahnschrift Condensed" w:eastAsia="Times New Roman" w:hAnsi="Bahnschrift Condensed" w:cstheme="majorHAnsi"/>
          <w:b/>
          <w:color w:val="FFFFFF" w:themeColor="background1"/>
          <w:sz w:val="40"/>
          <w:szCs w:val="40"/>
          <w:highlight w:val="black"/>
          <w:lang w:eastAsia="es-CL"/>
        </w:rPr>
        <w:t>MANEJO CLÍNICO ACTIVO DE LA CINTURA PELVICA (CADERA)</w:t>
      </w:r>
    </w:p>
    <w:p w14:paraId="43EA2BA5" w14:textId="388C4826" w:rsidR="007172C8" w:rsidRPr="00A54358" w:rsidRDefault="00A73D05" w:rsidP="00A73D0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FUNDAMENTACIÓN:</w:t>
      </w:r>
    </w:p>
    <w:p w14:paraId="7C90F18B" w14:textId="032C64EE" w:rsidR="00946E4B" w:rsidRPr="00946E4B" w:rsidRDefault="00946E4B" w:rsidP="00946E4B">
      <w:pPr>
        <w:spacing w:line="360" w:lineRule="auto"/>
        <w:ind w:firstLine="708"/>
        <w:jc w:val="both"/>
        <w:rPr>
          <w:rFonts w:asciiTheme="majorHAnsi" w:hAnsiTheme="majorHAnsi" w:cstheme="majorHAnsi"/>
          <w:bCs/>
        </w:rPr>
      </w:pP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Este curso tiene como principal objetivo brindar herramientas para cubrir las necesidades que se presentan en la práctica clínica, relacionadas con la evaluación, diagnóstico clínico y diferencial y el manejo activo de las patologías más frecuentes de la cadera, y poder así realizar prevención, tratamiento y readaptación física tanto en las AVD como en las actividades deportivas y s</w:t>
      </w:r>
      <w:r w:rsidRPr="00946E4B">
        <w:rPr>
          <w:rFonts w:asciiTheme="majorHAnsi" w:hAnsiTheme="majorHAnsi" w:cstheme="majorHAnsi"/>
          <w:bCs/>
        </w:rPr>
        <w:t>e hará hincapié en las diferencias en el manejo para poder observar que se hace en la actualidad y que se propone hacer a través de esta nueva forma de abordaje clínico kinésico.</w:t>
      </w:r>
    </w:p>
    <w:p w14:paraId="1D8341B9" w14:textId="5533584D" w:rsidR="00946E4B" w:rsidRPr="00946E4B" w:rsidRDefault="00946E4B" w:rsidP="00946E4B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Este curso tiene como principal objetivo brindar herramientas clínicas, de ejercicio y en algunos casos específicos de entrenamiento, para proveer a las necesidades que se presentan en la práctica cotidiana, relacionadas con la evaluación, prevención</w:t>
      </w:r>
      <w:r w:rsidR="00537EAB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es-CL"/>
        </w:rPr>
        <w:t>,</w:t>
      </w:r>
      <w:r w:rsidRPr="009538AA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es-CL"/>
        </w:rPr>
        <w:t xml:space="preserve"> 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tratamiento y readaptación físic</w:t>
      </w:r>
      <w:r w:rsidR="00537EA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a</w:t>
      </w:r>
      <w:r w:rsidRPr="009538AA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es-CL"/>
        </w:rPr>
        <w:t xml:space="preserve"> 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deportiva de lesiones de la cadera, sin embargo, el aspecto clínico es el más relevante a la hora de la toma de decisiones.</w:t>
      </w:r>
    </w:p>
    <w:p w14:paraId="4F7D124D" w14:textId="3FD11BFE" w:rsidR="00946E4B" w:rsidRPr="00946E4B" w:rsidRDefault="00946E4B" w:rsidP="00946E4B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Este curso servirá para cambiar tu forma de pensar respecto del manejo kinésico y de los diagnósticos clásicos,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podrás 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ver tratamientos sencillos, innovadores y eficaces y entender de mejor forma los fenómenos que suceden, porque suceden y cuando deben suceder.</w:t>
      </w:r>
    </w:p>
    <w:p w14:paraId="28756618" w14:textId="7FFFF46D" w:rsidR="00946E4B" w:rsidRDefault="00946E4B" w:rsidP="00946E4B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Si manejas pacientes con dolor en la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cintura pélvica regiones cercanas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, no te puedes perder esta oportunidad de aprendizaje.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H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asta ahora el kinesiólogo no ha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bía</w:t>
      </w:r>
      <w:r w:rsidRPr="00946E4B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tenido muchas alternativas de manejo conservador más que la terapia manual o la fisioterapia, y en realidad nuestra labor más bien se ha limitado solo al tratamiento post quirúrgico, dando poco énfasis a nuestra labor conservadora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y sus espectaculares resultados.</w:t>
      </w:r>
    </w:p>
    <w:p w14:paraId="38E70FA0" w14:textId="75454031" w:rsidR="00C4333E" w:rsidRDefault="00946E4B" w:rsidP="00A73D05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El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pinzamiento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de cadera es u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na patología que con el paso de los años se hecho cada vez de </w:t>
      </w:r>
      <w:r w:rsidR="0083646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diagnóstico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más frecuente, y junto con ello, un alza en las cirugías. Cuando se busca respecto de cirugía, pato anatomía y rehabilitación post quirúrgica, la bibliografía está llena de </w:t>
      </w:r>
      <w:r w:rsid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publicaciones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. Sin embargo, respecto de nuestra labor pre quirúrgica,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cuando comenzamos los cursos en 2014 no había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prácticamente nada</w:t>
      </w:r>
      <w:r w:rsid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sin embargo hoy (2021) existen algunas publicaciones de mejor calidad y con observaciones clínicas que apoyan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nuestra</w:t>
      </w:r>
      <w:r w:rsid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visión inicial</w:t>
      </w:r>
      <w:r w:rsidR="007172C8" w:rsidRPr="007172C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.</w:t>
      </w:r>
    </w:p>
    <w:p w14:paraId="1938B348" w14:textId="11D8A248" w:rsidR="00A73D05" w:rsidRDefault="00836468" w:rsidP="00946E4B">
      <w:pPr>
        <w:spacing w:line="360" w:lineRule="auto"/>
        <w:ind w:firstLine="360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Este curso está orientado tanto a los procesos de prevención y readaptación de las AVD como al esfuerzo físico deportivo para deportistas y no deportistas. Se abarca conceptos relacionados con el entrenamiento físico general y específico, en el que se busca abarcar los procesos de desarrollo y mantenimiento de las cualidades físicas más relevantes en la recuperación de la función, por lo </w:t>
      </w:r>
      <w:r w:rsidR="00C4333E" w:rsidRP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tanto,</w:t>
      </w:r>
      <w:r w:rsidRP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podrán entender desde un nuevo punto </w:t>
      </w:r>
      <w:r w:rsidRPr="00836468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lastRenderedPageBreak/>
        <w:t>de vista los procesos de recuperación y de entrenamiento en distintos niveles de exigencia en pacientes portadores de patología de cadera en diversos tejidos y condiciones.</w:t>
      </w:r>
    </w:p>
    <w:p w14:paraId="3ED665B8" w14:textId="77777777" w:rsidR="00946E4B" w:rsidRPr="00946E4B" w:rsidRDefault="00946E4B" w:rsidP="00946E4B">
      <w:pPr>
        <w:spacing w:line="360" w:lineRule="auto"/>
        <w:ind w:firstLine="360"/>
        <w:jc w:val="both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</w:p>
    <w:p w14:paraId="282A6716" w14:textId="685ED5B0" w:rsidR="00A54358" w:rsidRPr="00A54358" w:rsidRDefault="00A73D05" w:rsidP="00A73D0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OBJETIVOS GENERALES:</w:t>
      </w:r>
    </w:p>
    <w:p w14:paraId="7DC17541" w14:textId="77777777" w:rsidR="00A54358" w:rsidRPr="00A54358" w:rsidRDefault="00A54358" w:rsidP="00A73D0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Al final de cada curso el alumno podrá:</w:t>
      </w:r>
    </w:p>
    <w:p w14:paraId="01BC3CA6" w14:textId="28BFDA12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Conocer los diagnósticos diferenciales más frecuentes en las patologías ME de la cadera.</w:t>
      </w:r>
    </w:p>
    <w:p w14:paraId="2D6F4D80" w14:textId="758B6662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Aplicar test de evaluación clínica en la cadera y entender su utilidad y limitaciones</w:t>
      </w:r>
    </w:p>
    <w:p w14:paraId="21FCECE3" w14:textId="1AC1B0C1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Identificar variadas patologías de la cadera por medio de la historia clínica y el examen físico.</w:t>
      </w:r>
    </w:p>
    <w:p w14:paraId="7F189295" w14:textId="3788E30F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Usar razonamiento clínico para tomar de decisiones clínicas en patologías ME de la cadera.</w:t>
      </w:r>
    </w:p>
    <w:p w14:paraId="6CBC6153" w14:textId="60CDD6D1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Entender y aplicar en forma básica una evaluación funcional de la cadera.</w:t>
      </w:r>
    </w:p>
    <w:p w14:paraId="11EEAF75" w14:textId="3EBEBDFA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Usar razonamiento clínico en la toma de decisiones clínicas y de ejercicio en patologías ME de la cadera</w:t>
      </w:r>
      <w:r w:rsidR="00946E4B"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respetando procesos de adaptación e interviniendo en la prevención y/o en la readaptación de lesiones.</w:t>
      </w:r>
    </w:p>
    <w:p w14:paraId="0CCDCA30" w14:textId="30EFBE59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Determinar si la patología de cadera responderá o no a una terapia no quirúrgica y en qué plazo aproximado.</w:t>
      </w:r>
    </w:p>
    <w:p w14:paraId="4DD24D22" w14:textId="0A3787A9" w:rsidR="00A54358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Ordenar el proceso de recuperación desde la incapacidad hasta el entrenamiento físico respetando los procesos de recuperación de los tejidos en la cadera.</w:t>
      </w:r>
    </w:p>
    <w:p w14:paraId="26F5405E" w14:textId="677EAD26" w:rsidR="00A73D05" w:rsidRPr="00B07A4E" w:rsidRDefault="00A54358" w:rsidP="00B07A4E">
      <w:pPr>
        <w:pStyle w:val="Prrafodelista"/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B07A4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Volver a la práctica clínica con un pensamiento crítico y reestructurado del manejo de las lesiones ME de la cadera.</w:t>
      </w:r>
    </w:p>
    <w:p w14:paraId="03708114" w14:textId="2F428BAD" w:rsidR="001517D3" w:rsidRPr="00A54358" w:rsidRDefault="001517D3" w:rsidP="00A73D0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CONTENIDOS</w:t>
      </w:r>
    </w:p>
    <w:p w14:paraId="0E14821C" w14:textId="77777777" w:rsidR="001517D3" w:rsidRPr="00A54358" w:rsidRDefault="001517D3" w:rsidP="00A73D0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TEORIA:</w:t>
      </w:r>
    </w:p>
    <w:p w14:paraId="43D0153C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Conceptos clínicos</w:t>
      </w:r>
    </w:p>
    <w:p w14:paraId="20CB66F4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Diagnóstico clínico vs diagnóstico por imágenes</w:t>
      </w:r>
    </w:p>
    <w:p w14:paraId="36397569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Diagnóstico diferencial</w:t>
      </w:r>
    </w:p>
    <w:p w14:paraId="5559FDA8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Historia clínica y examen físico</w:t>
      </w:r>
    </w:p>
    <w:p w14:paraId="7864FEEE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Banderas rojas</w:t>
      </w:r>
    </w:p>
    <w:p w14:paraId="5594D5B0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Inflamación reparación, manifestación e interpretación</w:t>
      </w:r>
    </w:p>
    <w:p w14:paraId="49D6AA10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Mitos y realidades en patologías de cadera</w:t>
      </w:r>
    </w:p>
    <w:p w14:paraId="4B46FB95" w14:textId="77777777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Test clínicos: Validez y confiabilidad</w:t>
      </w:r>
    </w:p>
    <w:p w14:paraId="7D2E5FD0" w14:textId="2DCF71C5" w:rsidR="001517D3" w:rsidRPr="00537EAB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es-CL"/>
        </w:rPr>
      </w:pPr>
      <w:r w:rsidRPr="00537EAB">
        <w:rPr>
          <w:rFonts w:asciiTheme="majorHAnsi" w:eastAsia="Times New Roman" w:hAnsiTheme="majorHAnsi" w:cstheme="majorHAnsi"/>
          <w:sz w:val="20"/>
          <w:szCs w:val="20"/>
          <w:lang w:eastAsia="es-CL"/>
        </w:rPr>
        <w:t>Evaluación mecánica y clasificación de pacientes</w:t>
      </w:r>
      <w:r w:rsidR="00A67410" w:rsidRPr="00537EAB">
        <w:rPr>
          <w:rFonts w:asciiTheme="majorHAnsi" w:eastAsia="Times New Roman" w:hAnsiTheme="majorHAnsi" w:cstheme="majorHAnsi"/>
          <w:sz w:val="20"/>
          <w:szCs w:val="20"/>
          <w:lang w:eastAsia="es-CL"/>
        </w:rPr>
        <w:t xml:space="preserve"> </w:t>
      </w:r>
    </w:p>
    <w:p w14:paraId="771EA2D9" w14:textId="65F2B826" w:rsidR="001517D3" w:rsidRPr="00A67410" w:rsidRDefault="00A67410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es-C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CL"/>
        </w:rPr>
        <w:t>M</w:t>
      </w:r>
      <w:r w:rsidR="001517D3" w:rsidRPr="00A67410">
        <w:rPr>
          <w:rFonts w:asciiTheme="majorHAnsi" w:eastAsia="Times New Roman" w:hAnsiTheme="majorHAnsi" w:cstheme="majorHAnsi"/>
          <w:sz w:val="20"/>
          <w:szCs w:val="20"/>
          <w:lang w:eastAsia="es-CL"/>
        </w:rPr>
        <w:t xml:space="preserve">anejo </w:t>
      </w:r>
      <w:r>
        <w:rPr>
          <w:rFonts w:asciiTheme="majorHAnsi" w:eastAsia="Times New Roman" w:hAnsiTheme="majorHAnsi" w:cstheme="majorHAnsi"/>
          <w:sz w:val="20"/>
          <w:szCs w:val="20"/>
          <w:lang w:eastAsia="es-CL"/>
        </w:rPr>
        <w:t>activo/pasivo: FASE 1 (primeros días).</w:t>
      </w:r>
    </w:p>
    <w:p w14:paraId="186223E2" w14:textId="594DBBAC" w:rsidR="00A67410" w:rsidRDefault="00A67410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Manejo activo (</w:t>
      </w:r>
      <w:r w:rsidR="001517D3"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conceptos de ejercicio y entrenamiento</w:t>
      </w:r>
      <w:r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): FASE 2 (días a semanas).</w:t>
      </w:r>
    </w:p>
    <w:p w14:paraId="3E72B439" w14:textId="7644C79F" w:rsidR="001517D3" w:rsidRPr="00A54358" w:rsidRDefault="001517D3" w:rsidP="00B07A4E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 xml:space="preserve">Conceptos claves de </w:t>
      </w:r>
      <w:r w:rsid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 xml:space="preserve">ejercicio y </w:t>
      </w:r>
      <w:r w:rsidRPr="00A54358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entrenamiento en sedentarios y deportistas</w:t>
      </w:r>
      <w:r w:rsid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.</w:t>
      </w:r>
    </w:p>
    <w:p w14:paraId="17725F81" w14:textId="3B4A18D9" w:rsidR="00A67410" w:rsidRPr="00A67410" w:rsidRDefault="00A67410" w:rsidP="00B07A4E">
      <w:pPr>
        <w:spacing w:line="360" w:lineRule="auto"/>
        <w:ind w:firstLine="360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S</w:t>
      </w: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e realizará demostraciones y se entregará videos de práctica clínica real y/o material preparado para el aprendizaje basado en demostraciones prácticas de:</w:t>
      </w:r>
    </w:p>
    <w:p w14:paraId="19C6875F" w14:textId="2D06F9E1" w:rsidR="00A67410" w:rsidRPr="00A67410" w:rsidRDefault="00A67410" w:rsidP="00B07A4E">
      <w:pPr>
        <w:pStyle w:val="Prrafodelista"/>
        <w:spacing w:line="240" w:lineRule="auto"/>
        <w:ind w:left="0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1.</w:t>
      </w: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ab/>
        <w:t>Test tradicionales vs test de concordancia</w:t>
      </w:r>
      <w:r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 xml:space="preserve"> en cintura pélvica.</w:t>
      </w:r>
    </w:p>
    <w:p w14:paraId="70440121" w14:textId="77777777" w:rsidR="00A67410" w:rsidRPr="00A67410" w:rsidRDefault="00A67410" w:rsidP="00B07A4E">
      <w:pPr>
        <w:pStyle w:val="Prrafodelista"/>
        <w:spacing w:line="240" w:lineRule="auto"/>
        <w:ind w:left="0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2.</w:t>
      </w: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ab/>
        <w:t>Líneas de base y sus modificaciones mediante acciones kinésicas.</w:t>
      </w:r>
    </w:p>
    <w:p w14:paraId="7BEC42F9" w14:textId="77777777" w:rsidR="00A67410" w:rsidRPr="00A67410" w:rsidRDefault="00A67410" w:rsidP="00B07A4E">
      <w:pPr>
        <w:pStyle w:val="Prrafodelista"/>
        <w:spacing w:line="240" w:lineRule="auto"/>
        <w:ind w:left="0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3.</w:t>
      </w: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ab/>
        <w:t>Movimientos a final de ROM.</w:t>
      </w:r>
    </w:p>
    <w:p w14:paraId="70EE533A" w14:textId="31D2518E" w:rsidR="00A54358" w:rsidRPr="00A54358" w:rsidRDefault="00A67410" w:rsidP="00B07A4E">
      <w:pPr>
        <w:pStyle w:val="Prrafodelista"/>
        <w:spacing w:line="240" w:lineRule="auto"/>
        <w:ind w:left="0"/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</w:pP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>4.</w:t>
      </w:r>
      <w:r w:rsidRPr="00A67410">
        <w:rPr>
          <w:rFonts w:asciiTheme="majorHAnsi" w:eastAsia="Times New Roman" w:hAnsiTheme="majorHAnsi" w:cstheme="majorHAnsi"/>
          <w:color w:val="333333"/>
          <w:sz w:val="20"/>
          <w:szCs w:val="20"/>
          <w:lang w:eastAsia="es-CL"/>
        </w:rPr>
        <w:tab/>
        <w:t>Casos clínicos con manifestación en las extremidades donde la afección tiene su origen en la columna.</w:t>
      </w:r>
    </w:p>
    <w:sectPr w:rsidR="00A54358" w:rsidRPr="00A5435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EDC3" w14:textId="77777777" w:rsidR="00F56495" w:rsidRDefault="00F56495" w:rsidP="009E609A">
      <w:pPr>
        <w:spacing w:after="0" w:line="240" w:lineRule="auto"/>
      </w:pPr>
      <w:r>
        <w:separator/>
      </w:r>
    </w:p>
  </w:endnote>
  <w:endnote w:type="continuationSeparator" w:id="0">
    <w:p w14:paraId="52E4C432" w14:textId="77777777" w:rsidR="00F56495" w:rsidRDefault="00F56495" w:rsidP="009E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3D5E1" w14:textId="7D027085" w:rsidR="001B3E55" w:rsidRPr="001B3E55" w:rsidRDefault="001B3E55" w:rsidP="001B3E55">
    <w:pPr>
      <w:pStyle w:val="Piedepgina"/>
      <w:jc w:val="center"/>
      <w:rPr>
        <w:rFonts w:ascii="Bahnschrift Light Condensed" w:hAnsi="Bahnschrift Light Condensed"/>
        <w:i/>
        <w:iCs/>
        <w:color w:val="ED7D31" w:themeColor="accent2"/>
        <w:lang w:val="en-US"/>
      </w:rPr>
    </w:pPr>
    <w:r w:rsidRPr="001B3E55">
      <w:rPr>
        <w:rFonts w:ascii="Bahnschrift Light Condensed" w:hAnsi="Bahnschrift Light Condensed"/>
        <w:i/>
        <w:iCs/>
        <w:color w:val="ED7D31" w:themeColor="accent2"/>
        <w:lang w:val="en-US"/>
      </w:rPr>
      <w:t>cursosdekine@gmail.com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5A50" w14:textId="77777777" w:rsidR="00F56495" w:rsidRDefault="00F56495" w:rsidP="009E609A">
      <w:pPr>
        <w:spacing w:after="0" w:line="240" w:lineRule="auto"/>
      </w:pPr>
      <w:r>
        <w:separator/>
      </w:r>
    </w:p>
  </w:footnote>
  <w:footnote w:type="continuationSeparator" w:id="0">
    <w:p w14:paraId="0B5C180A" w14:textId="77777777" w:rsidR="00F56495" w:rsidRDefault="00F56495" w:rsidP="009E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EC9C" w14:textId="77777777" w:rsidR="009E609A" w:rsidRPr="00946E4B" w:rsidRDefault="00F56495" w:rsidP="009E609A">
    <w:pPr>
      <w:pStyle w:val="Encabezado"/>
      <w:jc w:val="center"/>
      <w:rPr>
        <w:rFonts w:ascii="Bahnschrift Light Condensed" w:hAnsi="Bahnschrift Light Condensed"/>
        <w:i/>
        <w:iCs/>
        <w:color w:val="FF6600"/>
        <w:lang w:val="en-US"/>
      </w:rPr>
    </w:pPr>
    <w:hyperlink r:id="rId1" w:history="1">
      <w:r w:rsidR="009E609A" w:rsidRPr="00946E4B">
        <w:rPr>
          <w:rStyle w:val="Hipervnculo"/>
          <w:rFonts w:ascii="Bahnschrift Light Condensed" w:hAnsi="Bahnschrift Light Condensed"/>
          <w:i/>
          <w:iCs/>
          <w:color w:val="FF6600"/>
          <w:lang w:val="en-US"/>
        </w:rPr>
        <w:t>www.cursosdekine.com</w:t>
      </w:r>
    </w:hyperlink>
    <w:r w:rsidR="009E609A" w:rsidRPr="00946E4B">
      <w:rPr>
        <w:rFonts w:ascii="Bahnschrift Light Condensed" w:hAnsi="Bahnschrift Light Condensed"/>
        <w:i/>
        <w:iCs/>
        <w:color w:val="FF6600"/>
        <w:lang w:val="en-US"/>
      </w:rPr>
      <w:tab/>
    </w:r>
    <w:hyperlink r:id="rId2" w:history="1">
      <w:r w:rsidR="009E609A" w:rsidRPr="00946E4B">
        <w:rPr>
          <w:rStyle w:val="Hipervnculo"/>
          <w:rFonts w:ascii="Bahnschrift Light Condensed" w:hAnsi="Bahnschrift Light Condensed"/>
          <w:i/>
          <w:iCs/>
          <w:color w:val="FF6600"/>
          <w:lang w:val="en-US"/>
        </w:rPr>
        <w:t>www.kpt.cl</w:t>
      </w:r>
    </w:hyperlink>
  </w:p>
  <w:p w14:paraId="04F637C9" w14:textId="77777777" w:rsidR="009E609A" w:rsidRDefault="009E60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7A8A"/>
    <w:multiLevelType w:val="hybridMultilevel"/>
    <w:tmpl w:val="B45A783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B7EE4"/>
    <w:multiLevelType w:val="hybridMultilevel"/>
    <w:tmpl w:val="B62A07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7CF9"/>
    <w:multiLevelType w:val="hybridMultilevel"/>
    <w:tmpl w:val="1F12573A"/>
    <w:lvl w:ilvl="0" w:tplc="58DEA3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4458"/>
    <w:multiLevelType w:val="hybridMultilevel"/>
    <w:tmpl w:val="5A70E95A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503A1AC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Helvetic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C2A"/>
    <w:multiLevelType w:val="hybridMultilevel"/>
    <w:tmpl w:val="52E2F8E6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27BF"/>
    <w:multiLevelType w:val="hybridMultilevel"/>
    <w:tmpl w:val="E9FCE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7AC"/>
    <w:multiLevelType w:val="hybridMultilevel"/>
    <w:tmpl w:val="F7505E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3A1ACE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Helvetica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252"/>
    <w:multiLevelType w:val="hybridMultilevel"/>
    <w:tmpl w:val="8A185C12"/>
    <w:lvl w:ilvl="0" w:tplc="503A1ACE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068D"/>
    <w:multiLevelType w:val="hybridMultilevel"/>
    <w:tmpl w:val="1FFA225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16CA0"/>
    <w:multiLevelType w:val="hybridMultilevel"/>
    <w:tmpl w:val="12EA0B50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707A"/>
    <w:multiLevelType w:val="hybridMultilevel"/>
    <w:tmpl w:val="AFFA74D8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90E23"/>
    <w:multiLevelType w:val="hybridMultilevel"/>
    <w:tmpl w:val="218A0AF6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007B"/>
    <w:multiLevelType w:val="hybridMultilevel"/>
    <w:tmpl w:val="1D3E4B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826DE"/>
    <w:multiLevelType w:val="hybridMultilevel"/>
    <w:tmpl w:val="8430A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A3ECC"/>
    <w:multiLevelType w:val="hybridMultilevel"/>
    <w:tmpl w:val="970C1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E2"/>
    <w:rsid w:val="000569CA"/>
    <w:rsid w:val="000A10E2"/>
    <w:rsid w:val="000E3BF4"/>
    <w:rsid w:val="001517D3"/>
    <w:rsid w:val="001B3E55"/>
    <w:rsid w:val="0034717B"/>
    <w:rsid w:val="00537EAB"/>
    <w:rsid w:val="007172C8"/>
    <w:rsid w:val="00755001"/>
    <w:rsid w:val="00836468"/>
    <w:rsid w:val="008B53CF"/>
    <w:rsid w:val="00946E4B"/>
    <w:rsid w:val="009538AA"/>
    <w:rsid w:val="009D2C41"/>
    <w:rsid w:val="009E609A"/>
    <w:rsid w:val="00A54358"/>
    <w:rsid w:val="00A62CC2"/>
    <w:rsid w:val="00A67410"/>
    <w:rsid w:val="00A73D05"/>
    <w:rsid w:val="00B07A4E"/>
    <w:rsid w:val="00B825D4"/>
    <w:rsid w:val="00C4333E"/>
    <w:rsid w:val="00CF7A25"/>
    <w:rsid w:val="00D877CD"/>
    <w:rsid w:val="00DC0496"/>
    <w:rsid w:val="00EA3AA0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BD74"/>
  <w15:chartTrackingRefBased/>
  <w15:docId w15:val="{A0D1B0E5-C3FF-48B2-87B6-5BF15D92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7D3"/>
    <w:pPr>
      <w:spacing w:before="100" w:beforeAutospacing="1" w:after="100" w:afterAutospacing="1" w:line="276" w:lineRule="auto"/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9E6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09A"/>
  </w:style>
  <w:style w:type="paragraph" w:styleId="Piedepgina">
    <w:name w:val="footer"/>
    <w:basedOn w:val="Normal"/>
    <w:link w:val="PiedepginaCar"/>
    <w:uiPriority w:val="99"/>
    <w:unhideWhenUsed/>
    <w:rsid w:val="009E6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09A"/>
  </w:style>
  <w:style w:type="character" w:styleId="Hipervnculo">
    <w:name w:val="Hyperlink"/>
    <w:basedOn w:val="Fuentedeprrafopredeter"/>
    <w:uiPriority w:val="99"/>
    <w:unhideWhenUsed/>
    <w:rsid w:val="009E6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t.cl" TargetMode="External"/><Relationship Id="rId1" Type="http://schemas.openxmlformats.org/officeDocument/2006/relationships/hyperlink" Target="http://www.cursosdek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kinevictor@outlook.com</dc:creator>
  <cp:keywords/>
  <dc:description/>
  <cp:lastModifiedBy>Martina</cp:lastModifiedBy>
  <cp:revision>3</cp:revision>
  <dcterms:created xsi:type="dcterms:W3CDTF">2021-02-11T14:25:00Z</dcterms:created>
  <dcterms:modified xsi:type="dcterms:W3CDTF">2021-03-03T14:42:00Z</dcterms:modified>
</cp:coreProperties>
</file>