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13.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146"/>
        <w:gridCol w:w="6939"/>
        <w:gridCol w:w="1634"/>
        <w:gridCol w:w="7"/>
        <w:tblGridChange w:id="0">
          <w:tblGrid>
            <w:gridCol w:w="1487"/>
            <w:gridCol w:w="146"/>
            <w:gridCol w:w="6939"/>
            <w:gridCol w:w="1634"/>
            <w:gridCol w:w="7"/>
          </w:tblGrid>
        </w:tblGridChange>
      </w:tblGrid>
      <w:tr>
        <w:trPr>
          <w:cantSplit w:val="0"/>
          <w:tblHeader w:val="0"/>
        </w:trPr>
        <w:tc>
          <w:tcPr>
            <w:gridSpan w:val="2"/>
            <w:tcBorders>
              <w:bottom w:color="000000" w:space="0" w:sz="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00000" cy="642031"/>
                  <wp:effectExtent b="0" l="0" r="0" t="0"/>
                  <wp:docPr id="175387990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900000" cy="642031"/>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bottom w:color="000000" w:space="0" w:sz="4" w:val="single"/>
            </w:tcBorders>
          </w:tcPr>
          <w:p w:rsidR="00000000" w:rsidDel="00000000" w:rsidP="00000000" w:rsidRDefault="00000000" w:rsidRPr="00000000" w14:paraId="00000006">
            <w:pPr>
              <w:pStyle w:val="Title"/>
              <w:rPr/>
            </w:pPr>
            <w:r w:rsidDel="00000000" w:rsidR="00000000" w:rsidRPr="00000000">
              <w:rPr>
                <w:rtl w:val="0"/>
              </w:rPr>
              <w:t xml:space="preserve">Administration of Medication Policy</w:t>
            </w:r>
          </w:p>
        </w:tc>
      </w:tr>
      <w:tr>
        <w:trPr>
          <w:cantSplit w:val="0"/>
          <w:tblHeader w:val="0"/>
        </w:trPr>
        <w:tc>
          <w:tcPr>
            <w:tcMar>
              <w:left w:w="0.0" w:type="dxa"/>
              <w:right w:w="227.0" w:type="dxa"/>
            </w:tcM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gridSpan w:val="4"/>
            <w:tcMar>
              <w:left w:w="0.0" w:type="dxa"/>
              <w:right w:w="227.0" w:type="dxa"/>
            </w:tcMar>
            <w:vAlign w:val="center"/>
          </w:tcPr>
          <w:p w:rsidR="00000000" w:rsidDel="00000000" w:rsidP="00000000" w:rsidRDefault="00000000" w:rsidRPr="00000000" w14:paraId="0000000B">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C">
            <w:pPr>
              <w:rPr/>
            </w:pPr>
            <w:bookmarkStart w:colFirst="0" w:colLast="0" w:name="_heading=h.gjdgxs" w:id="0"/>
            <w:bookmarkEnd w:id="0"/>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10">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11">
      <w:pPr>
        <w:rPr>
          <w:u w:val="single"/>
        </w:rPr>
      </w:pPr>
      <w:r w:rsidDel="00000000" w:rsidR="00000000" w:rsidRPr="00000000">
        <w:rPr>
          <w:rtl w:val="0"/>
        </w:rPr>
        <w:t xml:space="preserve">To explain to parents/carers, students and staff the processes Sorrento Primary School will follow to safely manage the provision of medication to students while at school or school activities, including camps and excursions.</w:t>
      </w:r>
      <w:r w:rsidDel="00000000" w:rsidR="00000000" w:rsidRPr="00000000">
        <w:rPr>
          <w:rtl w:val="0"/>
        </w:rPr>
      </w:r>
    </w:p>
    <w:p w:rsidR="00000000" w:rsidDel="00000000" w:rsidP="00000000" w:rsidRDefault="00000000" w:rsidRPr="00000000" w14:paraId="00000012">
      <w:pPr>
        <w:pStyle w:val="Heading1"/>
        <w:rPr/>
      </w:pPr>
      <w:r w:rsidDel="00000000" w:rsidR="00000000" w:rsidRPr="00000000">
        <w:rPr>
          <w:rtl w:val="0"/>
        </w:rPr>
        <w:t xml:space="preserve">Scope</w:t>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applies to the administration of medication to all students. It does not apply to:</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provision of medication for anaphylaxis which is provided for in our school’s Anaphylaxis Policy</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provision of medication for asthma which is provided for in our school’s Asthma Policy </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specialised procedures which may be required for complex medical care needs.</w:t>
      </w:r>
    </w:p>
    <w:p w:rsidR="00000000" w:rsidDel="00000000" w:rsidP="00000000" w:rsidRDefault="00000000" w:rsidRPr="00000000" w14:paraId="00000017">
      <w:pPr>
        <w:rPr/>
      </w:pPr>
      <w:r w:rsidDel="00000000" w:rsidR="00000000" w:rsidRPr="00000000">
        <w:rPr>
          <w:rtl w:val="0"/>
        </w:rPr>
        <w:t xml:space="preserve">If a student requires medication, Sorrento Primary School encourages parents to arrange for the medication to be taken outside of school hours. However, Sorrento Primary School understands that students may need to take medication at school or school activities. To support students to do so safely, Sorrento Primary School will follow the procedures set out in this policy.</w:t>
      </w:r>
    </w:p>
    <w:p w:rsidR="00000000" w:rsidDel="00000000" w:rsidP="00000000" w:rsidRDefault="00000000" w:rsidRPr="00000000" w14:paraId="00000018">
      <w:pPr>
        <w:pStyle w:val="Heading2"/>
        <w:numPr>
          <w:ilvl w:val="0"/>
          <w:numId w:val="4"/>
        </w:numPr>
        <w:ind w:left="360" w:hanging="360"/>
        <w:rPr/>
      </w:pPr>
      <w:r w:rsidDel="00000000" w:rsidR="00000000" w:rsidRPr="00000000">
        <w:rPr>
          <w:rtl w:val="0"/>
        </w:rPr>
        <w:t xml:space="preserve">Authority to administer</w:t>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needs to take medication while at school or at a school activity:</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Parents/carers will need to arrange for the student’s treating medical/health practitioner to provide written advice to the school which details:</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 of the medication required</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dosage amount</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time the medication is to be taken</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the medication is to be taken</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dates the medication is required, or whether it is an ongoing medication</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the medication should be stored.</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most cases, parents/carers should arrange for written advice to be provided in a Medication Authority Form which a student’s treating medical/health practitioner should complete. </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advice cannot be provided by a student’s medical/health practitioner, the Principal (or their nominee) may agree that written authority can be provided by, or the Medication Authority Form can be completed by a student’s parents/carers.</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may need to consult with parents/carers to clarify written advice and consider student’s individual preferences regarding medication administration (which may also be provided for in a student’s Student Health Support Plan).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Parents/carers can contact the school office for a Medication Authority Form.</w:t>
      </w:r>
    </w:p>
    <w:p w:rsidR="00000000" w:rsidDel="00000000" w:rsidP="00000000" w:rsidRDefault="00000000" w:rsidRPr="00000000" w14:paraId="00000025">
      <w:pPr>
        <w:pStyle w:val="Heading2"/>
        <w:numPr>
          <w:ilvl w:val="0"/>
          <w:numId w:val="4"/>
        </w:numPr>
        <w:ind w:left="360" w:hanging="360"/>
        <w:rPr/>
      </w:pPr>
      <w:r w:rsidDel="00000000" w:rsidR="00000000" w:rsidRPr="00000000">
        <w:rPr>
          <w:rtl w:val="0"/>
        </w:rPr>
        <w:t xml:space="preserve">Administering medication</w:t>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medication brought to school by a student needs to be clearly labelled with:</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student’s name</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dosage required</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time the medication needs to be administered.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Parents/carers need to ensure that the medication a student has at school is within its expiry date. If school staff become aware that the medication a student has at school has expired, they will promptly contact the student’s parents/carers who will need to arrange for medication within the expiry date to be provided.</w:t>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needs to take medication at school or a school activity, the Principal (or their nominee) will ensure that:</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66"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Medication is administered to the student in accordance with the Medication Authority Form so that:</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receives their correct medication</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proper dose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via the correct method (for example, inhaled or orally)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correct time of day.</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log is kept of medicine administered to a student. </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two staff members will supervise the administration of medication.</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teacher in charge of a student at the time their medication is required:</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informed that the student needs to receive their medication</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release the student from class to obtain their medication.</w:t>
      </w:r>
      <w:r w:rsidDel="00000000" w:rsidR="00000000" w:rsidRPr="00000000">
        <w:rPr>
          <w:rtl w:val="0"/>
        </w:rPr>
      </w:r>
    </w:p>
    <w:p w:rsidR="00000000" w:rsidDel="00000000" w:rsidP="00000000" w:rsidRDefault="00000000" w:rsidRPr="00000000" w14:paraId="00000036">
      <w:pPr>
        <w:pStyle w:val="Heading3"/>
        <w:rPr/>
      </w:pPr>
      <w:r w:rsidDel="00000000" w:rsidR="00000000" w:rsidRPr="00000000">
        <w:rPr>
          <w:rtl w:val="0"/>
        </w:rPr>
        <w:t xml:space="preserve">Self-administration</w:t>
      </w:r>
    </w:p>
    <w:p w:rsidR="00000000" w:rsidDel="00000000" w:rsidP="00000000" w:rsidRDefault="00000000" w:rsidRPr="00000000" w14:paraId="00000037">
      <w:pPr>
        <w:rPr/>
      </w:pPr>
      <w:r w:rsidDel="00000000" w:rsidR="00000000" w:rsidRPr="00000000">
        <w:rPr>
          <w:rtl w:val="0"/>
        </w:rPr>
        <w:t xml:space="preserve">In some cases it may be appropriate for students to self-administer their medication. The Principal may consult with parents/carers and consider advice from the student’s medical/health practitioner to determine whether to allow a student to self-administer their medication.</w:t>
      </w:r>
    </w:p>
    <w:p w:rsidR="00000000" w:rsidDel="00000000" w:rsidP="00000000" w:rsidRDefault="00000000" w:rsidRPr="00000000" w14:paraId="00000038">
      <w:pPr>
        <w:rPr/>
      </w:pPr>
      <w:r w:rsidDel="00000000" w:rsidR="00000000" w:rsidRPr="00000000">
        <w:rPr>
          <w:rtl w:val="0"/>
        </w:rPr>
        <w:t xml:space="preserve">If the Principal decides to allow a student to self-administer their medication, the Principal may require written acknowledgement from the student’s medical/health practitioner, or the student’s parents/carers that the student will self-administer their medication.</w:t>
      </w:r>
    </w:p>
    <w:p w:rsidR="00000000" w:rsidDel="00000000" w:rsidP="00000000" w:rsidRDefault="00000000" w:rsidRPr="00000000" w14:paraId="00000039">
      <w:pPr>
        <w:pStyle w:val="Heading2"/>
        <w:numPr>
          <w:ilvl w:val="0"/>
          <w:numId w:val="4"/>
        </w:numPr>
        <w:ind w:left="360" w:hanging="360"/>
        <w:rPr/>
      </w:pPr>
      <w:r w:rsidDel="00000000" w:rsidR="00000000" w:rsidRPr="00000000">
        <w:rPr>
          <w:rtl w:val="0"/>
        </w:rPr>
        <w:t xml:space="preserve">Storing medication</w:t>
      </w:r>
    </w:p>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(or their nominee) will put in place arrangements so that medication is stored:</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securely to minimise risk to others</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 place only accessible by staff who are responsible for administering the medication</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away from a classroom (unless quick access is required)</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away from first aid kits</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according to packet instructions, particularly in relation to temperature.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most students, Sorrento Primary School will store student medication in the First Aid Room.</w:t>
      </w:r>
    </w:p>
    <w:p w:rsidR="00000000" w:rsidDel="00000000" w:rsidP="00000000" w:rsidRDefault="00000000" w:rsidRPr="00000000" w14:paraId="000000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may decide, in consultation with parents/carers and/or on the advice of a student’s medical/health practitioner:</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student’s medication should be stored securely in the student’s classroom if quick access might be required</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allow the student to carry their own medication with them, preferably in the original packaging if:</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medication does not have special storage requirements, such as refrigeration</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doing so does not create potentially unsafe access to the medication by other students.</w:t>
      </w:r>
      <w:r w:rsidDel="00000000" w:rsidR="00000000" w:rsidRPr="00000000">
        <w:rPr>
          <w:rtl w:val="0"/>
        </w:rPr>
      </w:r>
    </w:p>
    <w:p w:rsidR="00000000" w:rsidDel="00000000" w:rsidP="00000000" w:rsidRDefault="00000000" w:rsidRPr="00000000" w14:paraId="00000046">
      <w:pPr>
        <w:pStyle w:val="Heading2"/>
        <w:numPr>
          <w:ilvl w:val="0"/>
          <w:numId w:val="4"/>
        </w:numPr>
        <w:ind w:left="360" w:hanging="360"/>
        <w:rPr/>
      </w:pPr>
      <w:r w:rsidDel="00000000" w:rsidR="00000000" w:rsidRPr="00000000">
        <w:rPr>
          <w:rtl w:val="0"/>
        </w:rPr>
        <w:t xml:space="preserve">Warning</w:t>
      </w:r>
    </w:p>
    <w:p w:rsidR="00000000" w:rsidDel="00000000" w:rsidP="00000000" w:rsidRDefault="00000000" w:rsidRPr="00000000" w14:paraId="0000004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will not:</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Department of Education policy, store or administer analgesics such as aspirin and paracetamol as a standard first aid strategy as they can mask signs and symptoms of serious illness or injury</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a student to take their first dose of a new medication at school in case of an allergic reaction. This should be done under the supervision of the student’s parents, carers or health practitioner</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use of medication by anyone other than the prescribed student except in a life threatening emergency, for example if a student is having an asthma attack and their own puffer is not readily available.</w:t>
      </w:r>
    </w:p>
    <w:p w:rsidR="00000000" w:rsidDel="00000000" w:rsidP="00000000" w:rsidRDefault="00000000" w:rsidRPr="00000000" w14:paraId="0000004B">
      <w:pPr>
        <w:pStyle w:val="Heading2"/>
        <w:numPr>
          <w:ilvl w:val="0"/>
          <w:numId w:val="4"/>
        </w:numPr>
        <w:ind w:left="360" w:hanging="360"/>
        <w:rPr/>
      </w:pPr>
      <w:r w:rsidDel="00000000" w:rsidR="00000000" w:rsidRPr="00000000">
        <w:rPr>
          <w:rtl w:val="0"/>
        </w:rPr>
        <w:t xml:space="preserve">Medication error</w:t>
      </w:r>
    </w:p>
    <w:p w:rsidR="00000000" w:rsidDel="00000000" w:rsidP="00000000" w:rsidRDefault="00000000" w:rsidRPr="00000000" w14:paraId="0000004C">
      <w:pPr>
        <w:rPr/>
      </w:pPr>
      <w:r w:rsidDel="00000000" w:rsidR="00000000" w:rsidRPr="00000000">
        <w:rPr>
          <w:rtl w:val="0"/>
        </w:rPr>
        <w:t xml:space="preserve">If a student takes medication incorrectly, staff will endeavour to:</w:t>
      </w:r>
    </w:p>
    <w:tbl>
      <w:tblPr>
        <w:tblStyle w:val="Table2"/>
        <w:tblW w:w="9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8028"/>
        <w:tblGridChange w:id="0">
          <w:tblGrid>
            <w:gridCol w:w="988"/>
            <w:gridCol w:w="8028"/>
          </w:tblGrid>
        </w:tblGridChange>
      </w:tblGrid>
      <w:tr>
        <w:trPr>
          <w:cantSplit w:val="0"/>
          <w:tblHeader w:val="0"/>
        </w:trPr>
        <w:tc>
          <w:tcPr/>
          <w:p w:rsidR="00000000" w:rsidDel="00000000" w:rsidP="00000000" w:rsidRDefault="00000000" w:rsidRPr="00000000" w14:paraId="0000004D">
            <w:pPr>
              <w:spacing w:after="0" w:lineRule="auto"/>
              <w:jc w:val="center"/>
              <w:rPr>
                <w:b w:val="1"/>
              </w:rPr>
            </w:pPr>
            <w:r w:rsidDel="00000000" w:rsidR="00000000" w:rsidRPr="00000000">
              <w:rPr>
                <w:b w:val="1"/>
                <w:rtl w:val="0"/>
              </w:rPr>
              <w:t xml:space="preserve">Step</w:t>
            </w:r>
          </w:p>
        </w:tc>
        <w:tc>
          <w:tcPr/>
          <w:p w:rsidR="00000000" w:rsidDel="00000000" w:rsidP="00000000" w:rsidRDefault="00000000" w:rsidRPr="00000000" w14:paraId="0000004E">
            <w:pPr>
              <w:spacing w:after="0" w:lineRule="auto"/>
              <w:rPr>
                <w:b w:val="1"/>
              </w:rPr>
            </w:pPr>
            <w:r w:rsidDel="00000000" w:rsidR="00000000" w:rsidRPr="00000000">
              <w:rPr>
                <w:b w:val="1"/>
                <w:rtl w:val="0"/>
              </w:rPr>
              <w:t xml:space="preserve">Action</w:t>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required, follow first aid procedures outlined in the student’s Health Support Plan or other medical management plan.</w:t>
            </w:r>
          </w:p>
        </w:tc>
      </w:tr>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Ring the Poisons Information Line, 13 11 26 and give details of the incident and the student.</w:t>
            </w:r>
          </w:p>
        </w:tc>
      </w:tr>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immediately upon their advice, such as calling Triple Zero “000” if advised to do so.</w:t>
            </w:r>
          </w:p>
        </w:tc>
      </w:tr>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the student’s parents/carers or emergency contact person to notify them of the medication error and action taken.</w:t>
            </w:r>
          </w:p>
        </w:tc>
      </w:tr>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medication management procedures at the school in light of the incident.</w:t>
            </w:r>
          </w:p>
        </w:tc>
      </w:tr>
    </w:tbl>
    <w:p w:rsidR="00000000" w:rsidDel="00000000" w:rsidP="00000000" w:rsidRDefault="00000000" w:rsidRPr="00000000" w14:paraId="00000059">
      <w:pPr>
        <w:spacing w:before="240" w:lineRule="auto"/>
        <w:rPr/>
      </w:pPr>
      <w:r w:rsidDel="00000000" w:rsidR="00000000" w:rsidRPr="00000000">
        <w:rPr>
          <w:rtl w:val="0"/>
        </w:rPr>
        <w:t xml:space="preserve">In the case of an emergency, school staff may call Triple Zero “000” for an ambulance at any time.</w:t>
      </w:r>
    </w:p>
    <w:p w:rsidR="00000000" w:rsidDel="00000000" w:rsidP="00000000" w:rsidRDefault="00000000" w:rsidRPr="00000000" w14:paraId="0000005A">
      <w:pPr>
        <w:pStyle w:val="Heading1"/>
        <w:rPr/>
      </w:pPr>
      <w:r w:rsidDel="00000000" w:rsidR="00000000" w:rsidRPr="00000000">
        <w:rPr>
          <w:rtl w:val="0"/>
        </w:rPr>
        <w:t xml:space="preserve">COMMUNICATION</w:t>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ways:</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as annual reference in school newsletter</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our staff handbook/manual</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staff briefings/meetings as required</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parent information nights/sessions</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student forums/through communication tools</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Made available in hard copy from school administration upon request</w:t>
      </w:r>
    </w:p>
    <w:p w:rsidR="00000000" w:rsidDel="00000000" w:rsidP="00000000" w:rsidRDefault="00000000" w:rsidRPr="00000000" w14:paraId="00000064">
      <w:pPr>
        <w:pStyle w:val="Heading1"/>
        <w:rPr/>
      </w:pPr>
      <w:r w:rsidDel="00000000" w:rsidR="00000000" w:rsidRPr="00000000">
        <w:rPr>
          <w:rtl w:val="0"/>
        </w:rPr>
        <w:t xml:space="preserve">Further information and resources</w:t>
      </w:r>
    </w:p>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Department’s Policy and Advisory Library (PAL):</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Medication Policy</w:t>
        </w:r>
      </w:hyperlink>
      <w:r w:rsidDel="00000000" w:rsidR="00000000" w:rsidRPr="00000000">
        <w:rPr>
          <w:rtl w:val="0"/>
        </w:rPr>
      </w:r>
    </w:p>
    <w:p w:rsidR="00000000" w:rsidDel="00000000" w:rsidP="00000000" w:rsidRDefault="00000000" w:rsidRPr="00000000" w14:paraId="00000067">
      <w:pPr>
        <w:numPr>
          <w:ilvl w:val="0"/>
          <w:numId w:val="5"/>
        </w:numPr>
        <w:spacing w:after="40" w:before="40" w:lineRule="auto"/>
        <w:ind w:left="720" w:hanging="360"/>
        <w:jc w:val="left"/>
      </w:pPr>
      <w:hyperlink r:id="rId10">
        <w:r w:rsidDel="00000000" w:rsidR="00000000" w:rsidRPr="00000000">
          <w:rPr>
            <w:color w:val="0563c1"/>
            <w:u w:val="single"/>
            <w:rtl w:val="0"/>
          </w:rPr>
          <w:t xml:space="preserve">First Aid for Students and Staff Policy</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left"/>
        <w:rPr/>
      </w:pPr>
      <w:r w:rsidDel="00000000" w:rsidR="00000000" w:rsidRPr="00000000">
        <w:rPr>
          <w:rtl w:val="0"/>
        </w:rPr>
      </w:r>
    </w:p>
    <w:p w:rsidR="00000000" w:rsidDel="00000000" w:rsidP="00000000" w:rsidRDefault="00000000" w:rsidRPr="00000000" w14:paraId="0000006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Our school policies and documents:</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[Insert links to related local polices, including First Aid, Health Care Needs, </w:t>
      </w:r>
      <w:r w:rsidDel="00000000" w:rsidR="00000000" w:rsidRPr="00000000">
        <w:rPr>
          <w:rFonts w:ascii="Calibri" w:cs="Calibri" w:eastAsia="Calibri" w:hAnsi="Calibri"/>
          <w:b w:val="0"/>
          <w:i w:val="0"/>
          <w:smallCaps w:val="0"/>
          <w:strike w:val="0"/>
          <w:color w:val="202020"/>
          <w:sz w:val="22"/>
          <w:szCs w:val="22"/>
          <w:highlight w:val="yellow"/>
          <w:u w:val="none"/>
          <w:vertAlign w:val="baseline"/>
          <w:rtl w:val="0"/>
        </w:rPr>
        <w:t xml:space="preserve">Medication Authority Form, Medication Administration Log]</w:t>
      </w:r>
    </w:p>
    <w:p w:rsidR="00000000" w:rsidDel="00000000" w:rsidP="00000000" w:rsidRDefault="00000000" w:rsidRPr="00000000" w14:paraId="0000006B">
      <w:pPr>
        <w:pStyle w:val="Heading1"/>
        <w:rPr/>
      </w:pPr>
      <w:r w:rsidDel="00000000" w:rsidR="00000000" w:rsidRPr="00000000">
        <w:rPr>
          <w:rtl w:val="0"/>
        </w:rPr>
        <w:t xml:space="preserve">Policy REVIEW and Approval </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shd w:fill="ffffff"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shd w:fill="ffffff"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highlight w:val="white"/>
                <w:rtl w:val="0"/>
              </w:rPr>
              <w:t xml:space="preserve">November 2024</w:t>
            </w:r>
            <w:r w:rsidDel="00000000" w:rsidR="00000000" w:rsidRPr="00000000">
              <w:rPr>
                <w:rtl w:val="0"/>
              </w:rPr>
            </w:r>
          </w:p>
        </w:tc>
      </w:tr>
      <w:tr>
        <w:trPr>
          <w:cantSplit w:val="0"/>
          <w:tblHeader w:val="0"/>
        </w:trPr>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w:t>
            </w:r>
          </w:p>
        </w:tc>
      </w:tr>
      <w:tr>
        <w:trPr>
          <w:cantSplit w:val="0"/>
          <w:tblHeader w:val="0"/>
        </w:trPr>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November 2027</w:t>
            </w: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Administration of Medication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A94A0E"/>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A94A0E"/>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A94A0E"/>
    <w:pPr>
      <w:keepNext w:val="1"/>
      <w:numPr>
        <w:numId w:val="4"/>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A94A0E"/>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A94A0E"/>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A94A0E"/>
  </w:style>
  <w:style w:type="paragraph" w:styleId="ListParagraph">
    <w:name w:val="List Paragraph"/>
    <w:basedOn w:val="Normal"/>
    <w:link w:val="ListParagraphChar"/>
    <w:uiPriority w:val="34"/>
    <w:qFormat w:val="1"/>
    <w:rsid w:val="00A94A0E"/>
    <w:pPr>
      <w:spacing w:before="66"/>
      <w:ind w:left="839" w:hanging="359"/>
    </w:pPr>
  </w:style>
  <w:style w:type="paragraph" w:styleId="TableParagraph" w:customStyle="1">
    <w:name w:val="Table Paragraph"/>
    <w:basedOn w:val="Normal"/>
    <w:uiPriority w:val="1"/>
    <w:qFormat w:val="1"/>
    <w:rsid w:val="00A94A0E"/>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A94A0E"/>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A94A0E"/>
    <w:rPr>
      <w:rFonts w:ascii="Calibri" w:cs="Calibri" w:eastAsia="Calibri" w:hAnsi="Calibri"/>
      <w:i w:val="1"/>
      <w:iCs w:val="1"/>
      <w:color w:val="4472c4" w:themeColor="accent1"/>
      <w:lang w:bidi="en-GB" w:eastAsia="en-GB"/>
    </w:rPr>
  </w:style>
  <w:style w:type="character" w:styleId="Heading1Char" w:customStyle="1">
    <w:name w:val="Heading 1 Char"/>
    <w:basedOn w:val="DefaultParagraphFont"/>
    <w:link w:val="Heading1"/>
    <w:uiPriority w:val="9"/>
    <w:rsid w:val="00A94A0E"/>
    <w:rPr>
      <w:rFonts w:ascii="Calibri" w:cs="Calibri" w:eastAsia="Calibri" w:hAnsi="Calibri"/>
      <w:b w:val="1"/>
      <w:bCs w:val="1"/>
      <w:caps w:val="1"/>
      <w:noProof w:val="1"/>
      <w:color w:val="5b9bd5" w:themeColor="accent5"/>
      <w:spacing w:val="10"/>
      <w:sz w:val="28"/>
      <w:szCs w:val="28"/>
      <w:lang w:bidi="en-GB" w:eastAsia="en-GB"/>
    </w:rPr>
  </w:style>
  <w:style w:type="table" w:styleId="TableGrid1" w:customStyle="1">
    <w:name w:val="Table Grid1"/>
    <w:basedOn w:val="TableNormal"/>
    <w:next w:val="TableGrid"/>
    <w:uiPriority w:val="39"/>
    <w:rsid w:val="009D0900"/>
    <w:pPr>
      <w:widowControl w:val="1"/>
      <w:autoSpaceDE w:val="1"/>
      <w:autoSpaceDN w:val="1"/>
    </w:pPr>
    <w:rPr>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1" w:customStyle="1">
    <w:name w:val="Bullet 1"/>
    <w:basedOn w:val="Normal"/>
    <w:next w:val="Normal"/>
    <w:uiPriority w:val="1"/>
    <w:qFormat w:val="1"/>
    <w:rsid w:val="00A94A0E"/>
    <w:pPr>
      <w:numPr>
        <w:numId w:val="5"/>
      </w:numPr>
      <w:spacing w:after="40" w:before="40"/>
      <w:jc w:val="left"/>
    </w:pPr>
  </w:style>
  <w:style w:type="paragraph" w:styleId="Letterlist" w:customStyle="1">
    <w:name w:val="Letter list"/>
    <w:basedOn w:val="ListParagraph"/>
    <w:link w:val="LetterlistChar"/>
    <w:uiPriority w:val="1"/>
    <w:qFormat w:val="1"/>
    <w:rsid w:val="00A94A0E"/>
    <w:pPr>
      <w:numPr>
        <w:numId w:val="6"/>
      </w:numPr>
      <w:spacing w:before="60"/>
      <w:contextualSpacing w:val="1"/>
      <w:jc w:val="left"/>
    </w:pPr>
  </w:style>
  <w:style w:type="character" w:styleId="LetterlistChar" w:customStyle="1">
    <w:name w:val="Letter list Char"/>
    <w:basedOn w:val="ListParagraphChar"/>
    <w:link w:val="Letterlist"/>
    <w:uiPriority w:val="1"/>
    <w:rsid w:val="00A94A0E"/>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A94A0E"/>
    <w:pPr>
      <w:numPr>
        <w:numId w:val="7"/>
      </w:numPr>
      <w:contextualSpacing w:val="1"/>
      <w:jc w:val="left"/>
    </w:pPr>
  </w:style>
  <w:style w:type="character" w:styleId="NumberedlistChar" w:customStyle="1">
    <w:name w:val="Numbered list Char"/>
    <w:basedOn w:val="ListParagraphChar"/>
    <w:link w:val="Numberedlist"/>
    <w:uiPriority w:val="1"/>
    <w:rsid w:val="00A94A0E"/>
    <w:rPr>
      <w:rFonts w:ascii="Calibri" w:cs="Calibri" w:eastAsia="Calibri" w:hAnsi="Calibri"/>
      <w:lang w:bidi="en-GB" w:eastAsia="en-GB"/>
    </w:rPr>
  </w:style>
  <w:style w:type="paragraph" w:styleId="Parabeforelist" w:customStyle="1">
    <w:name w:val="Para before list"/>
    <w:basedOn w:val="Normal"/>
    <w:qFormat w:val="1"/>
    <w:rsid w:val="00A94A0E"/>
    <w:pPr>
      <w:keepNext w:val="1"/>
      <w:spacing w:after="0"/>
    </w:pPr>
  </w:style>
  <w:style w:type="paragraph" w:styleId="Title">
    <w:name w:val="Title"/>
    <w:basedOn w:val="Normal"/>
    <w:next w:val="Normal"/>
    <w:link w:val="TitleChar"/>
    <w:uiPriority w:val="10"/>
    <w:qFormat w:val="1"/>
    <w:rsid w:val="00A94A0E"/>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A94A0E"/>
    <w:rPr>
      <w:rFonts w:ascii="Calibri Light" w:cs="Calibri Light" w:eastAsia="Calibri" w:hAnsi="Calibri Light"/>
      <w:bCs w:val="1"/>
      <w:color w:val="5b9bd5" w:themeColor="accent5"/>
      <w:spacing w:val="20"/>
      <w:sz w:val="40"/>
      <w:lang w:bidi="en-GB" w:eastAsia="en-GB"/>
    </w:rPr>
  </w:style>
  <w:style w:type="character" w:styleId="BodyTextChar" w:customStyle="1">
    <w:name w:val="Body Text Char"/>
    <w:basedOn w:val="DefaultParagraphFont"/>
    <w:link w:val="BodyText"/>
    <w:uiPriority w:val="1"/>
    <w:rsid w:val="00E063CE"/>
    <w:rPr>
      <w:rFonts w:ascii="Calibri" w:cs="Calibri" w:eastAsia="Calibri" w:hAnsi="Calibri"/>
      <w:lang w:bidi="en-GB" w:eastAsia="en-GB"/>
    </w:rPr>
  </w:style>
  <w:style w:type="character" w:styleId="ListParagraphChar" w:customStyle="1">
    <w:name w:val="List Paragraph Char"/>
    <w:basedOn w:val="DefaultParagraphFont"/>
    <w:link w:val="ListParagraph"/>
    <w:uiPriority w:val="34"/>
    <w:rsid w:val="00A94A0E"/>
    <w:rPr>
      <w:rFonts w:ascii="Calibri" w:cs="Calibri" w:eastAsia="Calibri" w:hAnsi="Calibri"/>
      <w:lang w:bidi="en-GB" w:eastAsia="en-GB"/>
    </w:rPr>
  </w:style>
  <w:style w:type="paragraph" w:styleId="Paraafterlist" w:customStyle="1">
    <w:name w:val="Para after list"/>
    <w:basedOn w:val="Normal"/>
    <w:link w:val="ParaafterlistChar"/>
    <w:qFormat w:val="1"/>
    <w:rsid w:val="00A94A0E"/>
    <w:pPr>
      <w:spacing w:before="160"/>
    </w:pPr>
    <w:rPr>
      <w:bCs w:val="1"/>
    </w:rPr>
  </w:style>
  <w:style w:type="character" w:styleId="ParaafterlistChar" w:customStyle="1">
    <w:name w:val="Para after list Char"/>
    <w:basedOn w:val="DefaultParagraphFont"/>
    <w:link w:val="Paraafterlist"/>
    <w:rsid w:val="00A94A0E"/>
    <w:rPr>
      <w:rFonts w:ascii="Calibri" w:cs="Calibri" w:eastAsia="Calibri" w:hAnsi="Calibri"/>
      <w:bCs w:val="1"/>
      <w:lang w:bidi="en-GB" w:eastAsia="en-GB"/>
    </w:rPr>
  </w:style>
  <w:style w:type="character" w:styleId="Heading2Char" w:customStyle="1">
    <w:name w:val="Heading 2 Char"/>
    <w:basedOn w:val="DefaultParagraphFont"/>
    <w:link w:val="Heading2"/>
    <w:uiPriority w:val="9"/>
    <w:rsid w:val="00A94A0E"/>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A94A0E"/>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A94A0E"/>
    <w:rPr>
      <w:rFonts w:asciiTheme="majorHAnsi" w:cstheme="majorBidi" w:eastAsiaTheme="majorEastAsia" w:hAnsiTheme="majorHAnsi"/>
      <w:i w:val="1"/>
      <w:iCs w:val="1"/>
      <w:color w:val="2f5496" w:themeColor="accent1" w:themeShade="0000BF"/>
      <w:lang w:bidi="en-GB" w:eastAsia="en-GB"/>
    </w:rPr>
  </w:style>
  <w:style w:type="character" w:styleId="SubtleEmphasis">
    <w:name w:val="Subtle Emphasis"/>
    <w:basedOn w:val="DefaultParagraphFont"/>
    <w:uiPriority w:val="19"/>
    <w:qFormat w:val="1"/>
    <w:rsid w:val="00A94A0E"/>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table" w:styleId="Table2">
    <w:basedOn w:val="TableNormal"/>
    <w:pPr>
      <w:widowControl w:val="1"/>
    </w:pPr>
    <w:tblPr>
      <w:tblStyleRowBandSize w:val="1"/>
      <w:tblStyleColBandSize w:val="1"/>
      <w:tblCellMar>
        <w:top w:w="0.0" w:type="dxa"/>
        <w:left w:w="108.0" w:type="dxa"/>
        <w:bottom w:w="0.0" w:type="dxa"/>
        <w:right w:w="108.0" w:type="dxa"/>
      </w:tblCellMar>
    </w:tblPr>
  </w:style>
  <w:style w:type="table" w:styleId="Table3">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2.education.vic.gov.au/pal/first-aid-students-and-staff/policy" TargetMode="External"/><Relationship Id="rId9" Type="http://schemas.openxmlformats.org/officeDocument/2006/relationships/hyperlink" Target="https://www2.education.vic.gov.au/pal/medication/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OKHaTiy35YZcYlSsT1CwZK5JlQ==">CgMxLjAyCGguZ2pkZ3hzOAByITEtZHNvU2NnaWZUdEY2Zm56RWQtY2M3NThlcjA2QkcxSw==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2024-11-15T02:11:00Z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Medication</vt:lpwstr>
  </property>
  <property fmtid="{D5CDD505-2E9C-101B-9397-08002B2CF9AE}" pid="7" name="Order">
    <vt:r8>45700.0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{56fd34ad-28f5-4816-9947-b21cee2ec500}</vt:lpwstr>
  </property>
  <property fmtid="{D5CDD505-2E9C-101B-9397-08002B2CF9AE}" pid="29" name="RecordPoint_RecordNumberSubmitted">
    <vt:lpwstr>R20230453989</vt:lpwstr>
  </property>
  <property fmtid="{D5CDD505-2E9C-101B-9397-08002B2CF9AE}" pid="30" name="RecordPoint_SubmissionCompleted">
    <vt:lpwstr>2023-12-19T09:42:29.3926718+11:00</vt:lpwstr>
  </property>
</Properties>
</file>