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6939"/>
        <w:gridCol w:w="1639"/>
        <w:tblGridChange w:id="0">
          <w:tblGrid>
            <w:gridCol w:w="1633"/>
            <w:gridCol w:w="6939"/>
            <w:gridCol w:w="1639"/>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Anaphylaxis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30j0zll" w:id="1"/>
            <w:bookmarkEnd w:id="1"/>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16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To explain to Sorrento Primary School parents, carers, staff and students the processes and procedures in place to support students diagnosed as being at risk of suffering from anaphylaxis. This policy also ensures that Sorrento Primary School is compliant with Ministerial Order 706 and the Department’s guidelines for anaphylaxis management.</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including casual relief staff and volunteers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who have been diagnosed with anaphylaxis, or who may require emergency treatment for an anaphylactic reaction, and their parents and carers. </w:t>
      </w:r>
    </w:p>
    <w:p w:rsidR="00000000" w:rsidDel="00000000" w:rsidP="00000000" w:rsidRDefault="00000000" w:rsidRPr="00000000" w14:paraId="00000012">
      <w:pPr>
        <w:pStyle w:val="Heading1"/>
        <w:rPr/>
      </w:pPr>
      <w:r w:rsidDel="00000000" w:rsidR="00000000" w:rsidRPr="00000000">
        <w:rPr>
          <w:rtl w:val="0"/>
        </w:rPr>
        <w:t xml:space="preserve">Policy</w:t>
      </w:r>
    </w:p>
    <w:p w:rsidR="00000000" w:rsidDel="00000000" w:rsidP="00000000" w:rsidRDefault="00000000" w:rsidRPr="00000000" w14:paraId="00000013">
      <w:pPr>
        <w:pStyle w:val="Heading2"/>
        <w:numPr>
          <w:ilvl w:val="0"/>
          <w:numId w:val="4"/>
        </w:numPr>
        <w:ind w:left="360" w:hanging="360"/>
        <w:rPr/>
      </w:pPr>
      <w:r w:rsidDel="00000000" w:rsidR="00000000" w:rsidRPr="00000000">
        <w:rPr>
          <w:rtl w:val="0"/>
        </w:rPr>
        <w:t xml:space="preserve">School Statement</w:t>
      </w:r>
    </w:p>
    <w:p w:rsidR="00000000" w:rsidDel="00000000" w:rsidP="00000000" w:rsidRDefault="00000000" w:rsidRPr="00000000" w14:paraId="00000014">
      <w:pPr>
        <w:rPr/>
      </w:pPr>
      <w:r w:rsidDel="00000000" w:rsidR="00000000" w:rsidRPr="00000000">
        <w:rPr>
          <w:rtl w:val="0"/>
        </w:rPr>
        <w:t xml:space="preserve">Sorrento Primary School will fully comply with Ministerial Order 706 and the associated guidelines published by the Department of Education.</w:t>
      </w:r>
    </w:p>
    <w:p w:rsidR="00000000" w:rsidDel="00000000" w:rsidP="00000000" w:rsidRDefault="00000000" w:rsidRPr="00000000" w14:paraId="00000015">
      <w:pPr>
        <w:pStyle w:val="Heading2"/>
        <w:numPr>
          <w:ilvl w:val="0"/>
          <w:numId w:val="4"/>
        </w:numPr>
        <w:ind w:left="360" w:hanging="360"/>
        <w:rPr/>
      </w:pPr>
      <w:r w:rsidDel="00000000" w:rsidR="00000000" w:rsidRPr="00000000">
        <w:rPr>
          <w:rtl w:val="0"/>
        </w:rPr>
        <w:t xml:space="preserve">Anaphylaxis </w:t>
      </w:r>
    </w:p>
    <w:p w:rsidR="00000000" w:rsidDel="00000000" w:rsidP="00000000" w:rsidRDefault="00000000" w:rsidRPr="00000000" w14:paraId="00000016">
      <w:pPr>
        <w:rPr/>
      </w:pPr>
      <w:r w:rsidDel="00000000" w:rsidR="00000000" w:rsidRPr="00000000">
        <w:rPr>
          <w:rtl w:val="0"/>
        </w:rPr>
        <w:t xml:space="preserve">Anaphylaxis is a severe allergic reaction that occurs after exposure to an allergen. The most common allergens for school-aged children are nuts, eggs, cow’s milk, fish, shellfish, wheat, soy, sesame, latex, certain insect stings and medication. </w:t>
      </w:r>
    </w:p>
    <w:p w:rsidR="00000000" w:rsidDel="00000000" w:rsidP="00000000" w:rsidRDefault="00000000" w:rsidRPr="00000000" w14:paraId="00000017">
      <w:pPr>
        <w:pStyle w:val="Heading3"/>
        <w:rPr/>
      </w:pPr>
      <w:r w:rsidDel="00000000" w:rsidR="00000000" w:rsidRPr="00000000">
        <w:rPr>
          <w:rtl w:val="0"/>
        </w:rPr>
        <w:t xml:space="preserve">Symptoms</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and symptoms of a mild to moderate allergic reaction can include: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 of the lips, face and eyes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hives or welts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tingling in the mouth.</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and symptoms of anaphylaxis, a severe allergic reaction, can include: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difficult/noisy breathing</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 of tongue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difficulty talking and/or hoarse voice</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wheeze or persistent cough</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persistent dizziness or collapse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appears pale or floppy</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pain and/or vomiting.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Symptoms usually develop within ten minutes and up to two hours after exposure to an allergen, but can appear within a few minutes. </w:t>
      </w:r>
    </w:p>
    <w:p w:rsidR="00000000" w:rsidDel="00000000" w:rsidP="00000000" w:rsidRDefault="00000000" w:rsidRPr="00000000" w14:paraId="00000025">
      <w:pPr>
        <w:pStyle w:val="Heading3"/>
        <w:rPr/>
      </w:pPr>
      <w:r w:rsidDel="00000000" w:rsidR="00000000" w:rsidRPr="00000000">
        <w:rPr>
          <w:rtl w:val="0"/>
        </w:rPr>
        <w:t xml:space="preserve">Treatment</w:t>
      </w:r>
    </w:p>
    <w:p w:rsidR="00000000" w:rsidDel="00000000" w:rsidP="00000000" w:rsidRDefault="00000000" w:rsidRPr="00000000" w14:paraId="00000026">
      <w:pPr>
        <w:rPr/>
      </w:pPr>
      <w:r w:rsidDel="00000000" w:rsidR="00000000" w:rsidRPr="00000000">
        <w:rPr>
          <w:rtl w:val="0"/>
        </w:rPr>
        <w:t xml:space="preserve">Adrenaline given as an injection into the muscle of the outer mid-thigh is the first aid treatment for anaphylaxis.</w:t>
      </w:r>
    </w:p>
    <w:p w:rsidR="00000000" w:rsidDel="00000000" w:rsidP="00000000" w:rsidRDefault="00000000" w:rsidRPr="00000000" w14:paraId="00000027">
      <w:pPr>
        <w:rPr/>
      </w:pPr>
      <w:r w:rsidDel="00000000" w:rsidR="00000000" w:rsidRPr="00000000">
        <w:rPr>
          <w:rtl w:val="0"/>
        </w:rPr>
        <w:t xml:space="preserve">Individuals diagnosed as being at risk of anaphylaxis are prescribed an adrenaline autoinjector for use in an emergency. These adrenaline autoinjectors are designed so that anyone can use them in an emergency.</w:t>
      </w:r>
    </w:p>
    <w:p w:rsidR="00000000" w:rsidDel="00000000" w:rsidP="00000000" w:rsidRDefault="00000000" w:rsidRPr="00000000" w14:paraId="00000028">
      <w:pPr>
        <w:pStyle w:val="Heading2"/>
        <w:numPr>
          <w:ilvl w:val="0"/>
          <w:numId w:val="4"/>
        </w:numPr>
        <w:ind w:left="360" w:hanging="360"/>
        <w:rPr/>
      </w:pPr>
      <w:r w:rsidDel="00000000" w:rsidR="00000000" w:rsidRPr="00000000">
        <w:rPr>
          <w:rtl w:val="0"/>
        </w:rPr>
        <w:t xml:space="preserve">Individual Anaphylaxis Management Plans </w:t>
      </w:r>
    </w:p>
    <w:p w:rsidR="00000000" w:rsidDel="00000000" w:rsidP="00000000" w:rsidRDefault="00000000" w:rsidRPr="00000000" w14:paraId="00000029">
      <w:pPr>
        <w:rPr/>
      </w:pPr>
      <w:r w:rsidDel="00000000" w:rsidR="00000000" w:rsidRPr="00000000">
        <w:rPr>
          <w:rtl w:val="0"/>
        </w:rPr>
        <w:t xml:space="preserve">All students at Sorrento Primary School who are diagnosed by a medical practitioner as being at risk of suffering from an anaphylactic reaction must have an Individual Anaphylaxis Management Plan. When notified of an anaphylaxis diagnosis, the Principal of Sorrento Primary School is responsible for developing a plan in consultation with the student’s parents/carers.</w:t>
      </w:r>
    </w:p>
    <w:p w:rsidR="00000000" w:rsidDel="00000000" w:rsidP="00000000" w:rsidRDefault="00000000" w:rsidRPr="00000000" w14:paraId="0000002A">
      <w:pPr>
        <w:rPr/>
      </w:pPr>
      <w:r w:rsidDel="00000000" w:rsidR="00000000" w:rsidRPr="00000000">
        <w:rPr>
          <w:rtl w:val="0"/>
        </w:rPr>
        <w:t xml:space="preserve">Where necessary, an Individual Anaphylaxis Management Plan will be in place as soon as practicable after a student enrols at Sorrento Primary School and where possible, before the student’s first day. </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carers must:</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an ASCIA Action Plan for Anaphylaxis from the student’s medical practitioner and provide a copy to the school as soon as practicable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inform the school in writing if there is a relevant change in the student’s medical condition and obtain an updated ASCIA Action Plan for Anaphylaxis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up-to-date photo of the student for the ASCIA Action Plan for Anaphylaxis when that Plan is provided to the school and each time it is reviewed</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school with a current adrenaline autoinjector for the student that has not expired</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annual reviews of the student’s Plan.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student’s Individual Anaphylaxis Management Plan must include: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the student’s medical condition that relates to allergies and the potential for anaphylactic reaction, including the type of allergies the student has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the signs or symptoms the student might exhibit in the event of an allergic reaction based on a written diagnosis from a medical practitioner</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strategies to minimise the risk of exposure to known allergens while the student is under the care or supervision of school staff, including in the school yard, at camps and excursions, or at special events conducted, organised or attended by the school</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person(s) responsible for implementing the risk minimisation strategies, which have been identified in the Plan</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where the student's medication will be stored</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emergency contact details</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up-to-date ASCIA Action Plan for Anaphylaxis completed by the student’s medical practitioner.</w:t>
      </w:r>
    </w:p>
    <w:p w:rsidR="00000000" w:rsidDel="00000000" w:rsidP="00000000" w:rsidRDefault="00000000" w:rsidRPr="00000000" w14:paraId="00000039">
      <w:pPr>
        <w:pStyle w:val="Heading3"/>
        <w:rPr/>
      </w:pPr>
      <w:r w:rsidDel="00000000" w:rsidR="00000000" w:rsidRPr="00000000">
        <w:rPr>
          <w:rtl w:val="0"/>
        </w:rPr>
        <w:t xml:space="preserve">Review and updates to Individual Anaphylaxis Management Plans </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student’s Individual Anaphylaxis Management Plan will be reviewed and updated on an annual basis in consultation with the student’s parents/carers. The plan will also be reviewed and, where necessary, updated in the following circumstances: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practicable after the student has an anaphylactic reaction at school</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student’s medical condition, insofar as it relates to allergy and the potential for anaphylactic reaction, changes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student is participating in an off-site activity, including camps and excursions, or at special events including fetes and concerts.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may also consider updating a student’s Individual Anaphylaxis Management Plan if there is an identified and significant increase in the student’s potential risk of exposure to allergens at school. </w:t>
      </w:r>
    </w:p>
    <w:p w:rsidR="00000000" w:rsidDel="00000000" w:rsidP="00000000" w:rsidRDefault="00000000" w:rsidRPr="00000000" w14:paraId="0000003F">
      <w:pPr>
        <w:pStyle w:val="Heading2"/>
        <w:numPr>
          <w:ilvl w:val="0"/>
          <w:numId w:val="4"/>
        </w:numPr>
        <w:ind w:left="360" w:hanging="360"/>
        <w:rPr/>
      </w:pPr>
      <w:r w:rsidDel="00000000" w:rsidR="00000000" w:rsidRPr="00000000">
        <w:rPr>
          <w:rtl w:val="0"/>
        </w:rPr>
        <w:t xml:space="preserve">Location of plans and adrenaline autoinjectors</w:t>
      </w:r>
    </w:p>
    <w:p w:rsidR="00000000" w:rsidDel="00000000" w:rsidP="00000000" w:rsidRDefault="00000000" w:rsidRPr="00000000" w14:paraId="00000040">
      <w:pPr>
        <w:rPr/>
      </w:pPr>
      <w:r w:rsidDel="00000000" w:rsidR="00000000" w:rsidRPr="00000000">
        <w:rPr>
          <w:rtl w:val="0"/>
        </w:rPr>
        <w:t xml:space="preserve">A copy of each student’s Individual Anaphylaxis Management Plan will be stored with their ASCIA Action Plan for Anaphylaxis in the first aid room and student’s classroom, together with the student’s adrenaline autoinjector. Adrenaline autoinjectors must be labelled with the student’s name.</w:t>
      </w:r>
    </w:p>
    <w:p w:rsidR="00000000" w:rsidDel="00000000" w:rsidP="00000000" w:rsidRDefault="00000000" w:rsidRPr="00000000" w14:paraId="00000041">
      <w:pPr>
        <w:rPr/>
      </w:pPr>
      <w:r w:rsidDel="00000000" w:rsidR="00000000" w:rsidRPr="00000000">
        <w:rPr>
          <w:rtl w:val="0"/>
        </w:rPr>
        <w:t xml:space="preserve">A copy of each student’s Individual Anaphylaxis Management Plan will be stored with their ASCIA Action Plan for Anaphylaxis in the first aid room and student’s classroom. Students are encouraged to keep their adrenaline autoinjectors on their person. Adrenaline autoinjectors for general use are available in the first aid room and are labelled Sorrento Primary School EpiPen.</w:t>
      </w:r>
    </w:p>
    <w:p w:rsidR="00000000" w:rsidDel="00000000" w:rsidP="00000000" w:rsidRDefault="00000000" w:rsidRPr="00000000" w14:paraId="00000042">
      <w:pPr>
        <w:pStyle w:val="Heading2"/>
        <w:numPr>
          <w:ilvl w:val="0"/>
          <w:numId w:val="4"/>
        </w:numPr>
        <w:ind w:left="360" w:hanging="360"/>
        <w:rPr/>
      </w:pPr>
      <w:r w:rsidDel="00000000" w:rsidR="00000000" w:rsidRPr="00000000">
        <w:rPr>
          <w:rtl w:val="0"/>
        </w:rPr>
        <w:t xml:space="preserve">Risk Minimisation Strategies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reduce the risk of a student suffering from an anaphylactic reaction at Sorrento Primary School, we have put in place the following strategies: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 copy of the student's Individual Anaphylaxis Management Plan in the classroom. Be sure the ASCIA Action Plan is easily accessible even if the Adrenaline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Auto-injector is kept in another location.</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parents about food-related activities ahead of time.</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non-food treats where possible, but if food treats are used in class, it is recommended that parents of students with food allergy/ies provide a treat box with alternative treats. Treat boxes should be clearly labelled and only handled by the student.</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give food from outside sources to a student who is at risk of anaphylaxis.</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Treats for the other students in the class should not contain the substance to which the student is allergic.</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Products labelled 'may contain traces of nuts' should not be served to students allergic to nuts. Products labelled ‘may contain milk or egg’ should not be served to students with milk or egg allergy and so forth.</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aware of the possibility of hidden allergens in food and other substances used in cooking, food technology, science and art classes (e.g. egg or milk cartons, empty peanut butter jars).</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cooking utensils, preparation dishes, plates, and knives and forks etc are washed and cleaned thoroughly after preparation of food and cooking.</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regular discussions with students about the importance of washing hands, eating their own food and not sharing food.</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designated staff member should inform casual relief teachers, specialist teachers and volunteers of the names of any students at risk of anaphylaxis, the location of each student’s Individual Anaphylaxis Management Plan and Adrenaline Auto-injector, the School’s Anaphylaxis Management Policy, and each individual person’s responsibility in managing an incident. ie seeking a trained staff member.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Yard:</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Sorrento Primary School has a student who is at risk of anaphylaxis, sufficient staff on yard duty must be trained in the administration of the Adrenaline Auto-injector (i.e. EpiPen®) to be able to respond quickly to an anaphylactic reaction if needed.</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Adrenaline Auto-injector and each student’s Individual Anaphylaxis Management Plan are easily accessible from the yard, and staff should be aware of their exact location. (Remember that an anaphylactic reaction can occur in as little as a few minutes).</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Communication Plan in place so the student’s medical information and medication can be retrieved quickly if a reaction occurs in the yard.</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Yard Care staff must also be able to identify, by face, those students at risk of anaphylaxis.</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anaphylactic responses to insects should be encouraged to stay away from water or flowering plants.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lawns and clover mowed and outdoor bins covered.</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keep drinks and food covered while outdoors.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Events:</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Sorrento Primary School has a student at risk of anaphylaxis, sufficient staff supervising the special event must be trained in the administration of an Adrenaline Auto-injector to be able to respond quickly to an anaphylactic reaction if required.</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should avoid using food in activities or games, including as rewards.</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special occasions, staff should consult parents in advance to either develop an alternative food menu or request the parents to send a meal for the student.</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of other students should be informed in advance about foods that may cause allergic reactions in students at risk of anaphylaxis and request that they avoid providing students with treats whilst they are at school or at a special school event.</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Party balloons should not be used if any student is allergic to latex.</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to and from school by bus:</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consult with parents of students at risk of anaphylaxis and the bus service provider to ensure that appropriate risk minimisation and prevention strategies and processes are in place to address an anaphylactic reaction should it occur on the way to and from school on the bus. This includes the availability and administration of an Adrenaline Auto-injector. The Adrenaline Auto-injector and ASCIA Action Plan for Anaphylaxis must be with the student even if this child is deemed too young to carry an Adrenaline Auto-injector on their person at school.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Excursions/Events:</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Sufficient staff supervising the special event must be trained in the administration of an Adrenaline Auto-injector and be able to respond quickly to an anaphylactic reaction if required.</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staff member or team of staff trained in the recognition of anaphylaxis and the administration of the Adrenaline Auto-injector must accompany any student at risk of anaphylaxis on field trips or excursions.</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should avoid using food in activities or games, including as rewards.</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Adrenaline Auto-injector and a copy of the Individual Anaphylaxis Management Plan for each student at risk of anaphylaxis should be easily accessible and staff must be aware of their exact location.</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each excursion/event, a risk assessment should be undertaken for each individual student attending who is at risk of anaphylaxis. The risks may vary according to the number of anaphylactic students attending, the nature of the excursion/event, size of venue, distance from medical assistance, the structure of excursion and corresponding staff-student ratio.</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members present during the excursion/event need to be aware of the identity of any students attending who are at risk of anaphylaxis and be able to identify them by face.</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should consult parents of anaphylactic students in advance to discuss issues that may arise; to develop an alternative food menu; or request the parents provide a meal (if required).</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may wish to accompany their child on excursions. This should be discussed with parents as another strategy for supporting the student who is at risk of anaphylaxis.</w:t>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excursion taking place staff should ensure that student’s Individual Anaphylaxis Management Plan is up to date and relevant to the particular excursion activity.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Camps and Remote Settings:</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engaging a camp owner/operator’s services the school should make enquiries as to whether it can provide food that is safe for anaphylactic students. If a camp owner/operator cannot provide this confirmation to the school, then the school should consider using an alternative service provider.</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camp cook should be able to demonstrate satisfactory training in food allergen management and its implications on food-handling practices, including knowledge of the major food allergens triggering anaphylaxis, cross-contamination issues specific to food allergy, label reading, etc.</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must not sign any written disclaimer or statement from a camp owner/operator that indicates that the owner/operator is unable to provide food which is safe for students at risk of anaphylaxis. Schools have a duty of care to protect students in their care from reasonably foreseeable injury and this duty cannot be delegated to any third party.</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should conduct a risk assessment and develop a risk management strategy for students at risk of anaphylaxis. This should be developed in consultation with parents of students at risk of anaphylaxis and camp owners/operators prior to the camp dates.</w:t>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should consult with parents of students at risk of anaphylaxis and the camp owner/operator to ensure that appropriate risk minimisation and prevention strategies and processes are in place to address an anaphylactic reaction should it occur. If these procedures are deemed to be inadequate, further discussions, planning and implementation will need to be undertaken.</w:t>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has concerns about whether the food provided on a camp will be safe for students at risk of anaphylaxis, it should also consider alternative means for providing food for those students.</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substances containing allergens should be avoided where possible.</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Camps should avoid stocking peanut or tree nut products, including nut spreads. Products that ‘may contain’ traces of nuts may be served, but not to students who are known to be allergic to nuts.</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Adrenaline Auto-injector, Individual Anaphylaxis Management Plan, including the ASCIA Action Plan for Anaphylaxis and a mobile phone must be taken on camp. If mobile phone access is not available, an alternative method of communication in an emergency must be considered, e.g. a satellite phone.</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camp taking place staff should consult with the student's parents to review the student’s Individual Anaphylaxis Management Plan to ensure that it is up to date and relevant to the circumstances of the camp.</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participating in the camp should be clear about their roles and responsibilities in the event of an anaphylactic reaction. Check the emergency response procedures that the camp provider has in place. Ensure that these are sufficient in the event of an anaphylactic reaction and ensure all school staff participating in the camp are clear about their roles and responsibilities.</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emergency services and hospitals well prior to the camp. Advise full medical conditions of students at risk, location of camp and location of any off-camp activities. Ensure contact details of emergency services are distributed to all school staff as part of the emergency response procedures developed for the camp.</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should consider taking an Adrenaline Auto-injector for general use on a school camp, even if there is no student at risk of anaphylaxis, as a backup device in the event of an emergency.</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should consider purchasing an Adrenaline Auto-injector for general use to be kept in the first aid kit and including this as part of the Emergency Response Procedures.</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Adrenaline Auto-injector should remain close to the student and school staff must always be aware of its location.</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Adrenaline Auto-injector should be carried in the school first aid kit; however, schools can consider allowing students, to carry their Adrenaline Auto-injector on camp. Remember that all school staff members still have a duty of care towards the student even if they do carry their own Adrenaline Auto-injector.</w:t>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anaphylactic responses to insects should always wear closed shoes and long-sleeved garments when outdoors and should be encouraged to stay away from water or flowering plants.</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Cooking and art and craft games should not involve the use of known allergens.</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160" w:line="259" w:lineRule="auto"/>
        <w:ind w:left="7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potential exposure to allergens when consuming food on buses and in cabins.</w:t>
      </w:r>
    </w:p>
    <w:p w:rsidR="00000000" w:rsidDel="00000000" w:rsidP="00000000" w:rsidRDefault="00000000" w:rsidRPr="00000000" w14:paraId="0000007E">
      <w:pPr>
        <w:pStyle w:val="Heading2"/>
        <w:numPr>
          <w:ilvl w:val="0"/>
          <w:numId w:val="4"/>
        </w:numPr>
        <w:ind w:left="360" w:hanging="360"/>
        <w:rPr>
          <w:color w:val="000000"/>
        </w:rPr>
      </w:pPr>
      <w:r w:rsidDel="00000000" w:rsidR="00000000" w:rsidRPr="00000000">
        <w:rPr>
          <w:rtl w:val="0"/>
        </w:rPr>
        <w:t xml:space="preserve">Adrenaline autoinjectors for general use</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Sorrento Primary School will maintain a supply of adrenaline autoinjector(s) for general use, as a back-up to those provided by parents and carers for specific students, and for students who may suffer from a first-time reaction at school.</w:t>
      </w:r>
    </w:p>
    <w:p w:rsidR="00000000" w:rsidDel="00000000" w:rsidP="00000000" w:rsidRDefault="00000000" w:rsidRPr="00000000" w14:paraId="00000080">
      <w:pPr>
        <w:rPr/>
      </w:pPr>
      <w:bookmarkStart w:colFirst="0" w:colLast="0" w:name="_heading=h.1fob9te" w:id="2"/>
      <w:bookmarkEnd w:id="2"/>
      <w:r w:rsidDel="00000000" w:rsidR="00000000" w:rsidRPr="00000000">
        <w:rPr>
          <w:rtl w:val="0"/>
        </w:rPr>
        <w:t xml:space="preserve">Adrenaline autoinjectors for general use will be stored in the first aid room and labelled with Sorrento Primary School EpiPen. </w:t>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responsible for arranging the purchase of adrenaline autoinjectors for general use, and will consider:</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students enrolled at Sorrento Primary School at risk of anaphylaxis</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accessibility of adrenaline autoinjectors supplied by parents</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availability of a sufficient supply of autoinjectors for general use in different locations at the school, as well as at camps, excursions and events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limited life span of adrenaline autoinjectors, and the need for general use adrenaline autoinjectors to be replaced when used or prior to expiry</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weight of the students at risk of anaphylaxis to determine the correct dosage of adrenaline autoinjector/s to purchase.</w:t>
      </w:r>
    </w:p>
    <w:p w:rsidR="00000000" w:rsidDel="00000000" w:rsidP="00000000" w:rsidRDefault="00000000" w:rsidRPr="00000000" w14:paraId="00000087">
      <w:pPr>
        <w:pStyle w:val="Heading2"/>
        <w:numPr>
          <w:ilvl w:val="0"/>
          <w:numId w:val="4"/>
        </w:numPr>
        <w:ind w:left="360" w:hanging="360"/>
        <w:rPr/>
      </w:pPr>
      <w:r w:rsidDel="00000000" w:rsidR="00000000" w:rsidRPr="00000000">
        <w:rPr>
          <w:rtl w:val="0"/>
        </w:rPr>
        <w:t xml:space="preserve">Emergency Response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000000" w:rsidDel="00000000" w:rsidP="00000000" w:rsidRDefault="00000000" w:rsidRPr="00000000" w14:paraId="00000089">
      <w:pPr>
        <w:rPr/>
      </w:pPr>
      <w:r w:rsidDel="00000000" w:rsidR="00000000" w:rsidRPr="00000000">
        <w:rPr>
          <w:rtl w:val="0"/>
        </w:rPr>
        <w:t xml:space="preserve">A complete and up-to-date list of students identified as being at risk of anaphylaxis is maintained by First Aid Officer and stored in the first aid 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experiences an anaphylactic reaction at school or during a school activity, school staff must:</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9497"/>
        <w:tblGridChange w:id="0">
          <w:tblGrid>
            <w:gridCol w:w="701"/>
            <w:gridCol w:w="9497"/>
          </w:tblGrid>
        </w:tblGridChange>
      </w:tblGrid>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Lay the person flat</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allow them to stand or walk</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breathing is difficult, allow them to sit</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calm and reassuring</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leave them alone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assistance from another staff member or reliable student to locate the student’s adrenaline autoinjector or the school’s general use autoinjector, and the student’s Individual Anaphylaxis Management Plan, stored in the first aid room.</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student’s plan is not immediately available, or they appear to be experiencing a first-time reaction, follow steps 2 to 5</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 Adrenaline autoinjector or Adrenaline autoinjector Jr</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from plastic container</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a fist around the Adrenaline autoinjector and pull off the blue safety release (cap)</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orange end against the student’s outer mid-thigh (with or without clothing)</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down hard until a click is heard or felt and hold in place for 3 seconds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Adrenaline autoinjector</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time the Adrenaline autoinjector is administered</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the used Adrenaline autoinjector to be handed to ambulance paramedics along with the time of administration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 Anapen® 500, Anapen® 300, or Anapen® Jr.</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 off the black needle shield</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 off grey safety cap (from the red button)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needle end firmly against the student's outer mid-thigh at 90 degrees (with or without clothing)</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 red button so it clicks and hold for 3 seconds</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Anapen®</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time the Anapen is administered</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the used Anapen to be handed to ambulance paramedics along with the time of administration</w:t>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an ambulance (000)</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no improvement or severe symptoms progress (as described in the ASCIA Action Plan for Anaphylaxis), further adrenaline doses may be administered every five minutes, if other adrenaline autoinjectors are available.</w:t>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the student’s emergency contacts.</w:t>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appears to be having a severe allergic reaction, but has not been previously diagnosed with an allergy or being at risk of anaphylaxis, school staff should follow steps 2 to 5 as above.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can use either the EpiPen® and Anapen® on any student suspected to be experiencing an anaphylactic reaction, regardless of the device prescribed in their ASCIA Action Plan.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schools should consider using the correct dose of adrenaline autoinjector depending on the weight of the student. However, in an emergency if there is no other option available, any device should be administered to the student.</w:t>
      </w:r>
    </w:p>
    <w:p w:rsidR="00000000" w:rsidDel="00000000" w:rsidP="00000000" w:rsidRDefault="00000000" w:rsidRPr="00000000" w14:paraId="000000B0">
      <w:pPr>
        <w:pStyle w:val="Heading2"/>
        <w:numPr>
          <w:ilvl w:val="0"/>
          <w:numId w:val="4"/>
        </w:numPr>
        <w:ind w:left="360" w:hanging="360"/>
        <w:rPr/>
      </w:pPr>
      <w:r w:rsidDel="00000000" w:rsidR="00000000" w:rsidRPr="00000000">
        <w:rPr>
          <w:rtl w:val="0"/>
        </w:rPr>
        <w:t xml:space="preserve">Staff training</w:t>
      </w:r>
    </w:p>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will ensure that the following school staff are appropriately trained in anaphylaxis management:</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who conduct classes attended by students who are at risk of anaphylaxis</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staff who conduct specialist classes, admin staff, and any other member of school staff as required by the Principal based on a risk assessment.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are required to undertake training must have completed:</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approved face-to-face anaphylaxis management training course in the last three years, or</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approved online anaphylaxis management training course in the last two years.</w:t>
      </w:r>
    </w:p>
    <w:p w:rsidR="00000000" w:rsidDel="00000000" w:rsidP="00000000" w:rsidRDefault="00000000" w:rsidRPr="00000000" w14:paraId="000000B7">
      <w:pPr>
        <w:rPr/>
      </w:pPr>
      <w:r w:rsidDel="00000000" w:rsidR="00000000" w:rsidRPr="00000000">
        <w:rPr>
          <w:rtl w:val="0"/>
        </w:rPr>
        <w:t xml:space="preserve">Sorrento Primary School uses the following training course: Online training — ASCIA Anaphylaxis e-training for Victorian Schools with Anaphylaxis Supervisors completing Course in Verifying the Correct Use of Adrenaline Injector Devices 22579VIC.</w:t>
      </w:r>
    </w:p>
    <w:p w:rsidR="00000000" w:rsidDel="00000000" w:rsidP="00000000" w:rsidRDefault="00000000" w:rsidRPr="00000000" w14:paraId="000000B8">
      <w:pPr>
        <w:rPr/>
      </w:pPr>
      <w:r w:rsidDel="00000000" w:rsidR="00000000" w:rsidRPr="00000000">
        <w:rPr>
          <w:rtl w:val="0"/>
        </w:rPr>
        <w:t xml:space="preserve">Sorrento Primary School uses the following training course: Face-to-face training – Course in First Aid Management of Anaphylaxis 22578VIC.</w:t>
      </w:r>
    </w:p>
    <w:p w:rsidR="00000000" w:rsidDel="00000000" w:rsidP="00000000" w:rsidRDefault="00000000" w:rsidRPr="00000000" w14:paraId="000000B9">
      <w:pPr>
        <w:rPr/>
      </w:pPr>
      <w:r w:rsidDel="00000000" w:rsidR="00000000" w:rsidRPr="00000000">
        <w:rPr>
          <w:rtl w:val="0"/>
        </w:rPr>
        <w:t xml:space="preserve">Sorrento Primary School uses the following training course: Face-to-face training – Course in Anaphylaxis Awareness 10710NAT.</w:t>
      </w:r>
    </w:p>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School Anaphylaxis Supervisor.</w:t>
      </w:r>
    </w:p>
    <w:p w:rsidR="00000000" w:rsidDel="00000000" w:rsidP="00000000" w:rsidRDefault="00000000" w:rsidRPr="00000000" w14:paraId="000000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briefing will address: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causes, symptoms and treatment of anaphylaxis</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identities of students with a medical condition that relates to allergies and the potential for anaphylactic reaction, and where their medication is located</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use an adrenaline autoinjector, including hands on practice with a trainer adrenaline autoinjector</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general first aid and emergency response procedures</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location of, and access to, adrenaline autoinjectors that have been provided by parents or purchased by the school for general use.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new student enrols at Sorrento Primary School who is at risk of anaphylaxis, the Principal will develop an interim plan in consultation with the student’s parents and ensure that appropriate staff are trained and briefed as soon as possible. </w:t>
      </w:r>
    </w:p>
    <w:p w:rsidR="00000000" w:rsidDel="00000000" w:rsidP="00000000" w:rsidRDefault="00000000" w:rsidRPr="00000000" w14:paraId="000000C3">
      <w:pPr>
        <w:rPr/>
      </w:pPr>
      <w:r w:rsidDel="00000000" w:rsidR="00000000" w:rsidRPr="00000000">
        <w:rPr>
          <w:rtl w:val="0"/>
        </w:rPr>
        <w:t xml:space="preserve">A record of staff training courses and briefings will be maintained online.  </w:t>
      </w:r>
    </w:p>
    <w:p w:rsidR="00000000" w:rsidDel="00000000" w:rsidP="00000000" w:rsidRDefault="00000000" w:rsidRPr="00000000" w14:paraId="000000C4">
      <w:pPr>
        <w:rPr/>
      </w:pPr>
      <w:r w:rsidDel="00000000" w:rsidR="00000000" w:rsidRPr="00000000">
        <w:rPr>
          <w:rtl w:val="0"/>
        </w:rPr>
        <w:t xml:space="preserve">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rsidR="00000000" w:rsidDel="00000000" w:rsidP="00000000" w:rsidRDefault="00000000" w:rsidRPr="00000000" w14:paraId="000000C5">
      <w:pPr>
        <w:pStyle w:val="Heading1"/>
        <w:rPr/>
      </w:pPr>
      <w:r w:rsidDel="00000000" w:rsidR="00000000" w:rsidRPr="00000000">
        <w:rPr>
          <w:rtl w:val="0"/>
        </w:rPr>
        <w:t xml:space="preserve">COMMUNICATION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available on Sorrento Primary School’s website so that parents and other members of the school community can easily access information about Sorrento Primary School’s anaphylaxis management procedures. The parents and carers of students who are enrolled at Sorrento Primary School and are identified as being at risk of anaphylaxis will also be provided with a copy of this policy.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responsible for ensuring that all relevant staff, including casual relief staff, canteen staff and volunteers are aware of this policy and Sorrento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also responsible for ensuring relevant staff are trained and briefed in anaphylaxis management, consistent with the Department’s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Anaphylaxis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pStyle w:val="Heading1"/>
        <w:rPr/>
      </w:pPr>
      <w:r w:rsidDel="00000000" w:rsidR="00000000" w:rsidRPr="00000000">
        <w:rPr>
          <w:rtl w:val="0"/>
        </w:rPr>
        <w:t xml:space="preserve">FURTHER INFORMATION and resources</w:t>
      </w:r>
    </w:p>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Anaphylaxis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 on the Department’s Policy and Advisory Library (PAL) and the following resources: </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fldChar w:fldCharType="begin"/>
        <w:instrText xml:space="preserve"> HYPERLINK "https://allergy.org.au/" </w:instrText>
        <w:fldChar w:fldCharType="separate"/>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Allergy &amp; Anaphylaxis Australia</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ASCIA Guidelines: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Schooling and childcare</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Royal Children’s Hospital: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Allergy and immunology</w:t>
        </w:r>
      </w:hyperlink>
      <w:r w:rsidDel="00000000" w:rsidR="00000000" w:rsidRPr="00000000">
        <w:rPr>
          <w:rtl w:val="0"/>
        </w:rPr>
      </w:r>
    </w:p>
    <w:p w:rsidR="00000000" w:rsidDel="00000000" w:rsidP="00000000" w:rsidRDefault="00000000" w:rsidRPr="00000000" w14:paraId="000000CE">
      <w:pPr>
        <w:pStyle w:val="Heading1"/>
        <w:rPr/>
      </w:pPr>
      <w:r w:rsidDel="00000000" w:rsidR="00000000" w:rsidRPr="00000000">
        <w:rPr>
          <w:rtl w:val="0"/>
        </w:rPr>
        <w:t xml:space="preserve">Policy REVIEW and Approval </w:t>
      </w:r>
    </w:p>
    <w:tbl>
      <w:tblPr>
        <w:tblStyle w:val="Table4"/>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29/10/2024</w:t>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November 2025</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will complete the Department’s Annual Risk Management Checklist for anaphylaxis management to assist with the evaluation and review of this policy and the support provided to students at risk of anaphylaxis. </w:t>
      </w:r>
    </w:p>
    <w:sectPr>
      <w:headerReference r:id="rId13"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Anaphylaxis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9">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0">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9E1237"/>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9E1237"/>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9E1237"/>
    <w:pPr>
      <w:keepNext w:val="1"/>
      <w:numPr>
        <w:numId w:val="32"/>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9E1237"/>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9E123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9E1237"/>
  </w:style>
  <w:style w:type="paragraph" w:styleId="ListParagraph">
    <w:name w:val="List Paragraph"/>
    <w:basedOn w:val="Normal"/>
    <w:link w:val="ListParagraphChar"/>
    <w:uiPriority w:val="34"/>
    <w:qFormat w:val="1"/>
    <w:rsid w:val="009E1237"/>
    <w:pPr>
      <w:spacing w:before="66"/>
      <w:ind w:left="839" w:hanging="359"/>
    </w:pPr>
  </w:style>
  <w:style w:type="paragraph" w:styleId="TableParagraph" w:customStyle="1">
    <w:name w:val="Table Paragraph"/>
    <w:basedOn w:val="Normal"/>
    <w:uiPriority w:val="1"/>
    <w:qFormat w:val="1"/>
    <w:rsid w:val="009E1237"/>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9E1237"/>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9E1237"/>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9E1237"/>
    <w:rPr>
      <w:rFonts w:ascii="Calibri" w:cs="Calibri" w:eastAsia="Calibri" w:hAnsi="Calibri"/>
      <w:b w:val="1"/>
      <w:bCs w:val="1"/>
      <w:caps w:val="1"/>
      <w:noProof w:val="1"/>
      <w:color w:val="5b9bd5" w:themeColor="accent5"/>
      <w:spacing w:val="10"/>
      <w:sz w:val="28"/>
      <w:szCs w:val="28"/>
      <w:lang w:bidi="en-GB" w:eastAsia="en-GB"/>
    </w:rPr>
  </w:style>
  <w:style w:type="character" w:styleId="PlaceholderText">
    <w:name w:val="Placeholder Text"/>
    <w:basedOn w:val="DefaultParagraphFont"/>
    <w:uiPriority w:val="99"/>
    <w:semiHidden w:val="1"/>
    <w:rsid w:val="007B1AD0"/>
    <w:rPr>
      <w:color w:val="808080"/>
    </w:rPr>
  </w:style>
  <w:style w:type="paragraph" w:styleId="Bullet1" w:customStyle="1">
    <w:name w:val="Bullet 1"/>
    <w:basedOn w:val="Normal"/>
    <w:next w:val="Normal"/>
    <w:uiPriority w:val="1"/>
    <w:qFormat w:val="1"/>
    <w:rsid w:val="009E1237"/>
    <w:pPr>
      <w:numPr>
        <w:numId w:val="33"/>
      </w:numPr>
      <w:spacing w:after="40" w:before="40"/>
      <w:jc w:val="left"/>
    </w:pPr>
  </w:style>
  <w:style w:type="paragraph" w:styleId="Letterlist" w:customStyle="1">
    <w:name w:val="Letter list"/>
    <w:basedOn w:val="ListParagraph"/>
    <w:link w:val="LetterlistChar"/>
    <w:uiPriority w:val="1"/>
    <w:qFormat w:val="1"/>
    <w:rsid w:val="009E1237"/>
    <w:pPr>
      <w:numPr>
        <w:numId w:val="34"/>
      </w:numPr>
      <w:spacing w:before="60"/>
      <w:contextualSpacing w:val="1"/>
      <w:jc w:val="left"/>
    </w:pPr>
  </w:style>
  <w:style w:type="character" w:styleId="LetterlistChar" w:customStyle="1">
    <w:name w:val="Letter list Char"/>
    <w:basedOn w:val="ListParagraphChar"/>
    <w:link w:val="Letterlist"/>
    <w:uiPriority w:val="1"/>
    <w:rsid w:val="009E1237"/>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9E1237"/>
    <w:pPr>
      <w:numPr>
        <w:numId w:val="35"/>
      </w:numPr>
      <w:contextualSpacing w:val="1"/>
      <w:jc w:val="left"/>
    </w:pPr>
  </w:style>
  <w:style w:type="character" w:styleId="NumberedlistChar" w:customStyle="1">
    <w:name w:val="Numbered list Char"/>
    <w:basedOn w:val="ListParagraphChar"/>
    <w:link w:val="Numberedlist"/>
    <w:uiPriority w:val="1"/>
    <w:rsid w:val="009E1237"/>
    <w:rPr>
      <w:rFonts w:ascii="Calibri" w:cs="Calibri" w:eastAsia="Calibri" w:hAnsi="Calibri"/>
      <w:lang w:bidi="en-GB" w:eastAsia="en-GB"/>
    </w:rPr>
  </w:style>
  <w:style w:type="paragraph" w:styleId="Parabeforelist" w:customStyle="1">
    <w:name w:val="Para before list"/>
    <w:basedOn w:val="Normal"/>
    <w:qFormat w:val="1"/>
    <w:rsid w:val="009E1237"/>
    <w:pPr>
      <w:keepNext w:val="1"/>
      <w:spacing w:after="0"/>
    </w:pPr>
  </w:style>
  <w:style w:type="paragraph" w:styleId="Title">
    <w:name w:val="Title"/>
    <w:basedOn w:val="Normal"/>
    <w:next w:val="Normal"/>
    <w:link w:val="TitleChar"/>
    <w:uiPriority w:val="10"/>
    <w:qFormat w:val="1"/>
    <w:rsid w:val="009E1237"/>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9E1237"/>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9E1237"/>
    <w:rPr>
      <w:rFonts w:ascii="Calibri" w:cs="Calibri" w:eastAsia="Calibri" w:hAnsi="Calibri"/>
      <w:lang w:bidi="en-GB" w:eastAsia="en-GB"/>
    </w:rPr>
  </w:style>
  <w:style w:type="character" w:styleId="BodyTextChar" w:customStyle="1">
    <w:name w:val="Body Text Char"/>
    <w:basedOn w:val="DefaultParagraphFont"/>
    <w:link w:val="BodyText"/>
    <w:uiPriority w:val="1"/>
    <w:rsid w:val="00230DE4"/>
    <w:rPr>
      <w:rFonts w:ascii="Calibri" w:cs="Calibri" w:eastAsia="Calibri" w:hAnsi="Calibri"/>
      <w:lang w:bidi="en-GB" w:eastAsia="en-GB"/>
    </w:rPr>
  </w:style>
  <w:style w:type="paragraph" w:styleId="Paraafterlist" w:customStyle="1">
    <w:name w:val="Para after list"/>
    <w:basedOn w:val="Normal"/>
    <w:link w:val="ParaafterlistChar"/>
    <w:qFormat w:val="1"/>
    <w:rsid w:val="009E1237"/>
    <w:pPr>
      <w:spacing w:before="160"/>
    </w:pPr>
    <w:rPr>
      <w:bCs w:val="1"/>
    </w:rPr>
  </w:style>
  <w:style w:type="character" w:styleId="ParaafterlistChar" w:customStyle="1">
    <w:name w:val="Para after list Char"/>
    <w:basedOn w:val="DefaultParagraphFont"/>
    <w:link w:val="Paraafterlist"/>
    <w:rsid w:val="009E1237"/>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9E1237"/>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9E1237"/>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9E1237"/>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9E1237"/>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llergy.org.au/schools-childcare" TargetMode="External"/><Relationship Id="rId10" Type="http://schemas.openxmlformats.org/officeDocument/2006/relationships/hyperlink" Target="https://www2.education.vic.gov.au/pal/anaphylaxis/policy" TargetMode="External"/><Relationship Id="rId13" Type="http://schemas.openxmlformats.org/officeDocument/2006/relationships/header" Target="header1.xml"/><Relationship Id="rId12" Type="http://schemas.openxmlformats.org/officeDocument/2006/relationships/hyperlink" Target="https://www.rch.org.au/allergy/about_us/Allergy_and_Immun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anaphylaxis/guid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5GpURsaibCk+fT9w6eMgd8IYA==">CgMxLjAyCGguZ2pkZ3hzMgloLjMwajB6bGwyCWguMWZvYjl0ZTgAciExcUVORkxuUkZZOWtIVXd3MWd3SFljZFU1Q0p5ZFo3aTg=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2024-10-29T04:55:00Z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Anaphylaxis</vt:lpwstr>
  </property>
  <property fmtid="{D5CDD505-2E9C-101B-9397-08002B2CF9AE}" pid="7" name="Order">
    <vt:r8>45900.0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{02737158-bbd0-44a2-aed9-c46c38ed6cc2}</vt:lpwstr>
  </property>
  <property fmtid="{D5CDD505-2E9C-101B-9397-08002B2CF9AE}" pid="25" name="RecordPoint_SubmissionCompleted">
    <vt:lpwstr>2023-12-19T09:18:36.3666333+11:00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R20230245708</vt:lpwstr>
  </property>
</Properties>
</file>