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26"/>
        <w:gridCol w:w="6708"/>
        <w:gridCol w:w="1572"/>
        <w:tblGridChange w:id="0">
          <w:tblGrid>
            <w:gridCol w:w="1926"/>
            <w:gridCol w:w="6708"/>
            <w:gridCol w:w="1572"/>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83766" cy="772472"/>
                  <wp:effectExtent b="0" l="0" r="0" t="0"/>
                  <wp:docPr id="17538799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83766" cy="772472"/>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Child Safety Responding and Reporting Obligations</w:t>
              <w:br w:type="textWrapping"/>
            </w:r>
            <w:r w:rsidDel="00000000" w:rsidR="00000000" w:rsidRPr="00000000">
              <w:rPr>
                <w:rFonts w:ascii="Calibri" w:cs="Calibri" w:eastAsia="Calibri" w:hAnsi="Calibri"/>
                <w:sz w:val="28"/>
                <w:szCs w:val="28"/>
                <w:rtl w:val="0"/>
              </w:rPr>
              <w:t xml:space="preserve">Including Mandatory Reporting</w:t>
            </w:r>
            <w:r w:rsidDel="00000000" w:rsidR="00000000" w:rsidRPr="00000000">
              <w:rPr>
                <w:rtl w:val="0"/>
              </w:rPr>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30j0zll" w:id="1"/>
            <w:bookmarkEnd w:id="1"/>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rPr/>
      </w:pPr>
      <w:r w:rsidDel="00000000" w:rsidR="00000000" w:rsidRPr="00000000">
        <w:rPr>
          <w:rtl w:val="0"/>
        </w:rPr>
        <w:t xml:space="preserve">This policy applies to complaints and concerns relating to child abuse made by or in relation to a child or student, school staff, volunteers, contractors, service providers, visitors or any other person while connected to the school (physical and online).</w:t>
      </w:r>
    </w:p>
    <w:p w:rsidR="00000000" w:rsidDel="00000000" w:rsidP="00000000" w:rsidRDefault="00000000" w:rsidRPr="00000000" w14:paraId="00000010">
      <w:pPr>
        <w:pStyle w:val="Heading1"/>
        <w:rPr/>
      </w:pPr>
      <w:r w:rsidDel="00000000" w:rsidR="00000000" w:rsidRPr="00000000">
        <w:rPr>
          <w:rtl w:val="0"/>
        </w:rPr>
        <w:t xml:space="preserve">DEFINITIONS</w:t>
      </w:r>
    </w:p>
    <w:p w:rsidR="00000000" w:rsidDel="00000000" w:rsidP="00000000" w:rsidRDefault="00000000" w:rsidRPr="00000000" w14:paraId="00000011">
      <w:pPr>
        <w:spacing w:after="80" w:lineRule="auto"/>
        <w:rPr>
          <w:b w:val="1"/>
        </w:rPr>
      </w:pPr>
      <w:r w:rsidDel="00000000" w:rsidR="00000000" w:rsidRPr="00000000">
        <w:rPr>
          <w:b w:val="1"/>
          <w:rtl w:val="0"/>
        </w:rPr>
        <w:t xml:space="preserve">Child abuse</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abuse includes: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inflicted on a child</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offences committed against a child</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grooming of a child by an adult</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violence committed against or in the presence of a child</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emotional or psychological harm to a child</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neglect of a child.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definition of child abuse is broad and can include student to student incidents and concerns, as well as behaviour committed by an adult. </w:t>
      </w:r>
    </w:p>
    <w:p w:rsidR="00000000" w:rsidDel="00000000" w:rsidP="00000000" w:rsidRDefault="00000000" w:rsidRPr="00000000" w14:paraId="0000001A">
      <w:pPr>
        <w:spacing w:after="80" w:lineRule="auto"/>
        <w:rPr>
          <w:b w:val="1"/>
        </w:rPr>
      </w:pPr>
      <w:r w:rsidDel="00000000" w:rsidR="00000000" w:rsidRPr="00000000">
        <w:rPr>
          <w:b w:val="1"/>
          <w:rtl w:val="0"/>
        </w:rPr>
        <w:t xml:space="preserve">Grooming</w:t>
      </w:r>
    </w:p>
    <w:p w:rsidR="00000000" w:rsidDel="00000000" w:rsidP="00000000" w:rsidRDefault="00000000" w:rsidRPr="00000000" w14:paraId="0000001B">
      <w:pPr>
        <w:rPr/>
      </w:pPr>
      <w:r w:rsidDel="00000000" w:rsidR="00000000" w:rsidRPr="00000000">
        <w:rPr>
          <w:rtl w:val="0"/>
        </w:rPr>
        <w:t xml:space="preserve">Grooming is a criminal offence under the </w:t>
      </w:r>
      <w:hyperlink r:id="rId9">
        <w:r w:rsidDel="00000000" w:rsidR="00000000" w:rsidRPr="00000000">
          <w:rPr>
            <w:i w:val="1"/>
            <w:color w:val="0563c1"/>
            <w:u w:val="single"/>
            <w:rtl w:val="0"/>
          </w:rPr>
          <w:t xml:space="preserve">Crimes Act 1958</w:t>
        </w:r>
      </w:hyperlink>
      <w:r w:rsidDel="00000000" w:rsidR="00000000" w:rsidRPr="00000000">
        <w:rPr>
          <w:i w:val="1"/>
          <w:rtl w:val="0"/>
        </w:rPr>
        <w:t xml:space="preserve"> </w:t>
      </w:r>
      <w:r w:rsidDel="00000000" w:rsidR="00000000" w:rsidRPr="00000000">
        <w:rPr>
          <w:rtl w:val="0"/>
        </w:rPr>
        <w:t xml:space="preserve">(Vic) and is a form of child abuse and sexual misconduct. This offence targets predatory conduct undertaken by an adult to prepare a child under the age of 16 to engage in sexual activity at a later time,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rsidR="00000000" w:rsidDel="00000000" w:rsidP="00000000" w:rsidRDefault="00000000" w:rsidRPr="00000000" w14:paraId="0000001C">
      <w:pPr>
        <w:rPr>
          <w:b w:val="1"/>
        </w:rPr>
      </w:pPr>
      <w:r w:rsidDel="00000000" w:rsidR="00000000" w:rsidRPr="00000000">
        <w:rPr>
          <w:b w:val="1"/>
          <w:rtl w:val="0"/>
        </w:rPr>
        <w:t xml:space="preserve">School staff member</w:t>
      </w:r>
    </w:p>
    <w:p w:rsidR="00000000" w:rsidDel="00000000" w:rsidP="00000000" w:rsidRDefault="00000000" w:rsidRPr="00000000" w14:paraId="0000001D">
      <w:pPr>
        <w:rPr/>
      </w:pPr>
      <w:r w:rsidDel="00000000" w:rsidR="00000000" w:rsidRPr="00000000">
        <w:rPr>
          <w:rtl w:val="0"/>
        </w:rPr>
        <w:t xml:space="preserve">For the purpose of this policy a school staff member includes a contractor engaged by the school or school council to perform child-related work.</w:t>
      </w:r>
    </w:p>
    <w:p w:rsidR="00000000" w:rsidDel="00000000" w:rsidP="00000000" w:rsidRDefault="00000000" w:rsidRPr="00000000" w14:paraId="0000001E">
      <w:pPr>
        <w:pStyle w:val="Heading1"/>
        <w:rPr/>
      </w:pPr>
      <w:r w:rsidDel="00000000" w:rsidR="00000000" w:rsidRPr="00000000">
        <w:rPr>
          <w:rtl w:val="0"/>
        </w:rPr>
        <w:t xml:space="preserve">POLICY</w:t>
      </w:r>
    </w:p>
    <w:p w:rsidR="00000000" w:rsidDel="00000000" w:rsidP="00000000" w:rsidRDefault="00000000" w:rsidRPr="00000000" w14:paraId="0000001F">
      <w:pPr>
        <w:rPr/>
      </w:pPr>
      <w:r w:rsidDel="00000000" w:rsidR="00000000" w:rsidRPr="00000000">
        <w:rPr>
          <w:rtl w:val="0"/>
        </w:rPr>
        <w:t xml:space="preserve">Sorrento Primary School understands the important role our school plays in protecting children from abuse. We have a range of policies and measures in place to prevent child abuse from occurring at our school or during school activities.</w:t>
      </w:r>
    </w:p>
    <w:p w:rsidR="00000000" w:rsidDel="00000000" w:rsidP="00000000" w:rsidRDefault="00000000" w:rsidRPr="00000000" w14:paraId="00000020">
      <w:pPr>
        <w:pStyle w:val="Heading2"/>
        <w:rPr/>
      </w:pPr>
      <w:r w:rsidDel="00000000" w:rsidR="00000000" w:rsidRPr="00000000">
        <w:rPr>
          <w:rtl w:val="0"/>
        </w:rPr>
        <w:t xml:space="preserve">Information for students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should feel safe to speak to any staff member to raise any concerns about their safety or any other concerns that they have.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does not know who to approach at Sorrento Primary School, they should start with</w:t>
      </w:r>
      <w:r w:rsidDel="00000000" w:rsidR="00000000" w:rsidRPr="00000000">
        <w:rPr>
          <w:rtl w:val="0"/>
        </w:rPr>
        <w:t xml:space="preserve">their classroom teacher or the Student Wellbeing Coordinator</w:t>
      </w: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Identifying child abuse</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we can respond in the best interests of students and children when complaints or concerns relating to child abuse are raised, all staff and relevant volunteers must:</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how to identify signs of child abuse and behavioural indicators of perpetrators – for detailed information on identifying child abuse and behavioural indicators of perpetrators refer to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Identify child abuse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their various legal obligations in relation to reporting child abuse to relevant authorities - for detailed information on the various legal obligations refer to Appendix A</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the below procedures for responding to complaints or concerns relating to child abuse, which ensure our school acts in the best interests of students and children and complies with both our legal and Department policy obligations.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Sorrento Primary School we recognise the diversity of the children, young people, and families at our school and take account of their individual needs and backgrounds when considering and responding to child safety incidents or concerns.</w:t>
      </w:r>
    </w:p>
    <w:p w:rsidR="00000000" w:rsidDel="00000000" w:rsidP="00000000" w:rsidRDefault="00000000" w:rsidRPr="00000000" w14:paraId="00000029">
      <w:pPr>
        <w:pStyle w:val="Heading2"/>
        <w:rPr/>
      </w:pPr>
      <w:r w:rsidDel="00000000" w:rsidR="00000000" w:rsidRPr="00000000">
        <w:rPr>
          <w:rtl w:val="0"/>
        </w:rPr>
        <w:t xml:space="preserve">Procedures for responding to an incident, disclosure, allegation or suspicion of child abuse</w:t>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responding to a child safety incident, disclosure, allegation or suspicion, Sorrento Primary School will follow:</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for 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all forms of child abuse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Four Critical Actions: Student Sexual Offending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complaints and concerns relating to student sexual offending</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Student Wellbeing and Engagement Policy and Bullying Prevention Policy for complaints and concerns relating to student physical violence or other harmful student behaviours.</w:t>
      </w:r>
    </w:p>
    <w:p w:rsidR="00000000" w:rsidDel="00000000" w:rsidP="00000000" w:rsidRDefault="00000000" w:rsidRPr="00000000" w14:paraId="0000002E">
      <w:pPr>
        <w:pStyle w:val="Heading2"/>
        <w:rPr/>
      </w:pPr>
      <w:r w:rsidDel="00000000" w:rsidR="00000000" w:rsidRPr="00000000">
        <w:rPr>
          <w:rtl w:val="0"/>
        </w:rPr>
        <w:t xml:space="preserve">School staff and volunteer responsibilities</w:t>
      </w:r>
    </w:p>
    <w:p w:rsidR="00000000" w:rsidDel="00000000" w:rsidP="00000000" w:rsidRDefault="00000000" w:rsidRPr="00000000" w14:paraId="0000002F">
      <w:pPr>
        <w:pStyle w:val="Heading3"/>
        <w:numPr>
          <w:ilvl w:val="0"/>
          <w:numId w:val="2"/>
        </w:numPr>
        <w:ind w:left="360" w:hanging="360"/>
        <w:rPr>
          <w:i w:val="0"/>
        </w:rPr>
      </w:pPr>
      <w:r w:rsidDel="00000000" w:rsidR="00000000" w:rsidRPr="00000000">
        <w:rPr>
          <w:i w:val="0"/>
          <w:rtl w:val="0"/>
        </w:rPr>
        <w:t xml:space="preserve">Immediate action</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school staff member or volunteer witnesses an incident of child abuse, or reasonably believes, suspects or receives a disclosure or allegation that a child has been, or is at risk of being abused, they must:</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is at immediate risk of harm, separate alleged victims and others involved, administer first aid (appropriate to their level of training) and call 000 for urgent medical or police assistance where required to respond to immediate health or safety concerns.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w:t>
      </w:r>
      <w:r w:rsidDel="00000000" w:rsidR="00000000" w:rsidRPr="00000000">
        <w:rPr>
          <w:rtl w:val="0"/>
        </w:rPr>
        <w:t xml:space="preserve">Principal or Assistant Principal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soon as possible, who will ensure our school follows the steps in these procedures. </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for staff and volunteers: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uncertain if an incident, disclosure, allegation or suspicion gives rise to a concern about child abuse you must always err on the side of caution and report the concern to </w:t>
      </w:r>
      <w:r w:rsidDel="00000000" w:rsidR="00000000" w:rsidRPr="00000000">
        <w:rPr>
          <w:rtl w:val="0"/>
        </w:rPr>
        <w:t xml:space="preserve">Principal Class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t>
      </w:r>
      <w:r w:rsidDel="00000000" w:rsidR="00000000" w:rsidRPr="00000000">
        <w:rPr>
          <w:rtl w:val="0"/>
        </w:rPr>
        <w:t xml:space="preserve">Principal Class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is unavailable, the </w:t>
      </w:r>
      <w:r w:rsidDel="00000000" w:rsidR="00000000" w:rsidRPr="00000000">
        <w:rPr>
          <w:rtl w:val="0"/>
        </w:rPr>
        <w:t xml:space="preserve">Professional Learning Team Leader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on this role.</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relates to the conduct of </w:t>
      </w:r>
      <w:r w:rsidDel="00000000" w:rsidR="00000000" w:rsidRPr="00000000">
        <w:rPr>
          <w:rtl w:val="0"/>
        </w:rPr>
        <w:t xml:space="preserve">any of these nominated people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 the </w:t>
      </w:r>
      <w:hyperlink r:id="rId13">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relevant regional office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the South-Eastern Victoria regional office, by contacting sevr@education.vic.gov.au or 1300 338 738, who must then take on responsibility for ensuring our school follows these procedures.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Appendix B for guidance on how to respond to a disclosure of child abuse.</w:t>
      </w:r>
    </w:p>
    <w:p w:rsidR="00000000" w:rsidDel="00000000" w:rsidP="00000000" w:rsidRDefault="00000000" w:rsidRPr="00000000" w14:paraId="00000038">
      <w:pPr>
        <w:pStyle w:val="Heading3"/>
        <w:numPr>
          <w:ilvl w:val="0"/>
          <w:numId w:val="2"/>
        </w:numPr>
        <w:ind w:left="360" w:hanging="360"/>
        <w:rPr>
          <w:i w:val="0"/>
        </w:rPr>
      </w:pPr>
      <w:r w:rsidDel="00000000" w:rsidR="00000000" w:rsidRPr="00000000">
        <w:rPr>
          <w:i w:val="0"/>
          <w:rtl w:val="0"/>
        </w:rPr>
        <w:t xml:space="preserve">Reporting to authorities and referring to services</w:t>
      </w:r>
    </w:p>
    <w:p w:rsidR="00000000" w:rsidDel="00000000" w:rsidP="00000000" w:rsidRDefault="00000000" w:rsidRPr="00000000" w14:paraId="00000039">
      <w:pPr>
        <w:rPr/>
      </w:pPr>
      <w:r w:rsidDel="00000000" w:rsidR="00000000" w:rsidRPr="00000000">
        <w:rPr>
          <w:rtl w:val="0"/>
        </w:rPr>
        <w:t xml:space="preserve">As soon as immediate health and safety concerns are addressed, and relevant school staff have been informed, the Principal Class member </w:t>
      </w:r>
      <w:r w:rsidDel="00000000" w:rsidR="00000000" w:rsidRPr="00000000">
        <w:rPr>
          <w:rtl w:val="0"/>
        </w:rPr>
        <w:t xml:space="preserve"> </w:t>
      </w:r>
      <w:r w:rsidDel="00000000" w:rsidR="00000000" w:rsidRPr="00000000">
        <w:rPr>
          <w:b w:val="1"/>
          <w:rtl w:val="0"/>
        </w:rPr>
        <w:t xml:space="preserve">must</w:t>
      </w:r>
      <w:r w:rsidDel="00000000" w:rsidR="00000000" w:rsidRPr="00000000">
        <w:rPr>
          <w:rtl w:val="0"/>
        </w:rPr>
        <w:t xml:space="preserve"> report all incidents, suspicions and disclosures of child abuse as soon as possible.  The following steps will ensure our school complies with the four critical actions as well as additional actions required under the Child Safe Standards.</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r w:rsidDel="00000000" w:rsidR="00000000" w:rsidRPr="00000000">
        <w:rPr>
          <w:rtl w:val="0"/>
        </w:rPr>
        <w:t xml:space="preserve">Principal Class member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must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sure:</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relevant information is reported to the Department of Families, Fairness and Housing (DFFH) Child Protection, Victoria Police or relevant services where required</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incident is reported to the Department’s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eduSafe Plus portal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Incident Support and Operations Centre (1800 126 126) in accordance with the severity rating outlined in the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Managing and Reporting School Incidents Policy</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reportable conduct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rsidR="00000000" w:rsidDel="00000000" w:rsidP="00000000" w:rsidRDefault="00000000" w:rsidRPr="00000000" w14:paraId="0000003F">
      <w:pPr>
        <w:rPr/>
      </w:pPr>
      <w:r w:rsidDel="00000000" w:rsidR="00000000" w:rsidRPr="00000000">
        <w:rPr>
          <w:rtl w:val="0"/>
        </w:rPr>
        <w:t xml:space="preserve">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rsidR="00000000" w:rsidDel="00000000" w:rsidP="00000000" w:rsidRDefault="00000000" w:rsidRPr="00000000" w14:paraId="00000040">
      <w:pPr>
        <w:pStyle w:val="Heading3"/>
        <w:numPr>
          <w:ilvl w:val="0"/>
          <w:numId w:val="2"/>
        </w:numPr>
        <w:ind w:left="360" w:hanging="360"/>
        <w:rPr>
          <w:i w:val="0"/>
        </w:rPr>
      </w:pPr>
      <w:r w:rsidDel="00000000" w:rsidR="00000000" w:rsidRPr="00000000">
        <w:rPr>
          <w:i w:val="0"/>
          <w:rtl w:val="0"/>
        </w:rPr>
        <w:t xml:space="preserve">Contacting parents or carers</w:t>
      </w:r>
    </w:p>
    <w:p w:rsidR="00000000" w:rsidDel="00000000" w:rsidP="00000000" w:rsidRDefault="00000000" w:rsidRPr="00000000" w14:paraId="00000041">
      <w:pPr>
        <w:rPr/>
      </w:pPr>
      <w:r w:rsidDel="00000000" w:rsidR="00000000" w:rsidRPr="00000000">
        <w:rPr>
          <w:rtl w:val="0"/>
        </w:rPr>
        <w:t xml:space="preserve">The Principal Class member</w:t>
      </w:r>
      <w:r w:rsidDel="00000000" w:rsidR="00000000" w:rsidRPr="00000000">
        <w:rPr>
          <w:rtl w:val="0"/>
        </w:rPr>
        <w:t xml:space="preserve"> must ensure parents and carers are notified unless advised otherwise by DFFH Child Protection or Victoria Police, or there are other safety and wellbeing concerns in relation to informing parents/​carers.</w:t>
      </w:r>
    </w:p>
    <w:p w:rsidR="00000000" w:rsidDel="00000000" w:rsidP="00000000" w:rsidRDefault="00000000" w:rsidRPr="00000000" w14:paraId="00000042">
      <w:pPr>
        <w:rPr/>
      </w:pPr>
      <w:r w:rsidDel="00000000" w:rsidR="00000000" w:rsidRPr="00000000">
        <w:rPr>
          <w:rtl w:val="0"/>
        </w:rPr>
        <w:t xml:space="preserve">Principals may contact the Department of Education Legal Division for advice on notifying parents and carers, and where relevant, the wider school community.</w:t>
      </w:r>
    </w:p>
    <w:p w:rsidR="00000000" w:rsidDel="00000000" w:rsidP="00000000" w:rsidRDefault="00000000" w:rsidRPr="00000000" w14:paraId="00000043">
      <w:pPr>
        <w:rPr>
          <w:color w:val="0563c1"/>
          <w:u w:val="single"/>
        </w:rPr>
      </w:pPr>
      <w:r w:rsidDel="00000000" w:rsidR="00000000" w:rsidRPr="00000000">
        <w:rPr>
          <w:rtl w:val="0"/>
        </w:rPr>
        <w:t xml:space="preserve">For further guidance, refer to </w:t>
      </w:r>
      <w:hyperlink r:id="rId17">
        <w:r w:rsidDel="00000000" w:rsidR="00000000" w:rsidRPr="00000000">
          <w:rPr>
            <w:color w:val="0563c1"/>
            <w:u w:val="single"/>
            <w:rtl w:val="0"/>
          </w:rPr>
          <w:t xml:space="preserve">PROTECT Contacting parents and carers</w:t>
        </w:r>
      </w:hyperlink>
      <w:r w:rsidDel="00000000" w:rsidR="00000000" w:rsidRPr="00000000">
        <w:rPr>
          <w:rtl w:val="0"/>
        </w:rPr>
      </w:r>
    </w:p>
    <w:p w:rsidR="00000000" w:rsidDel="00000000" w:rsidP="00000000" w:rsidRDefault="00000000" w:rsidRPr="00000000" w14:paraId="00000044">
      <w:pPr>
        <w:pStyle w:val="Heading3"/>
        <w:numPr>
          <w:ilvl w:val="0"/>
          <w:numId w:val="3"/>
        </w:numPr>
        <w:ind w:left="361" w:hanging="360"/>
        <w:rPr>
          <w:i w:val="0"/>
        </w:rPr>
      </w:pPr>
      <w:r w:rsidDel="00000000" w:rsidR="00000000" w:rsidRPr="00000000">
        <w:rPr>
          <w:i w:val="0"/>
          <w:rtl w:val="0"/>
        </w:rPr>
        <w:t xml:space="preserve">Ongoing protection and support</w:t>
      </w:r>
    </w:p>
    <w:p w:rsidR="00000000" w:rsidDel="00000000" w:rsidP="00000000" w:rsidRDefault="00000000" w:rsidRPr="00000000" w14:paraId="00000045">
      <w:pPr>
        <w:rPr/>
      </w:pPr>
      <w:r w:rsidDel="00000000" w:rsidR="00000000" w:rsidRPr="00000000">
        <w:rPr>
          <w:rtl w:val="0"/>
        </w:rPr>
        <w:t xml:space="preserve">The Principal Class member and any other responsible staff or teams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rsidR="00000000" w:rsidDel="00000000" w:rsidP="00000000" w:rsidRDefault="00000000" w:rsidRPr="00000000" w14:paraId="00000046">
      <w:pPr>
        <w:rPr/>
      </w:pPr>
      <w:r w:rsidDel="00000000" w:rsidR="00000000" w:rsidRPr="00000000">
        <w:rPr>
          <w:rtl w:val="0"/>
        </w:rPr>
        <w:t xml:space="preserve">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rsidR="00000000" w:rsidDel="00000000" w:rsidP="00000000" w:rsidRDefault="00000000" w:rsidRPr="00000000" w14:paraId="00000047">
      <w:pPr>
        <w:pStyle w:val="Heading3"/>
        <w:numPr>
          <w:ilvl w:val="0"/>
          <w:numId w:val="3"/>
        </w:numPr>
        <w:ind w:left="361" w:hanging="360"/>
        <w:rPr>
          <w:i w:val="0"/>
        </w:rPr>
      </w:pPr>
      <w:r w:rsidDel="00000000" w:rsidR="00000000" w:rsidRPr="00000000">
        <w:rPr>
          <w:i w:val="0"/>
          <w:rtl w:val="0"/>
        </w:rPr>
        <w:t xml:space="preserve">Recordkeeping</w:t>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Principal Class member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ensure that:</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notes of the incident, disclosure, allegation or suspicion are taken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using the </w:t>
      </w:r>
      <w:hyperlink r:id="rId18">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Responding to Suspected Child Abuse: Template</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the </w:t>
      </w:r>
      <w:hyperlink r:id="rId19">
        <w:r w:rsidDel="00000000" w:rsidR="00000000" w:rsidRPr="00000000">
          <w:rPr>
            <w:rFonts w:ascii="Calibri" w:cs="Calibri" w:eastAsia="Calibri" w:hAnsi="Calibri"/>
            <w:b w:val="0"/>
            <w:i w:val="0"/>
            <w:smallCaps w:val="0"/>
            <w:strike w:val="0"/>
            <w:color w:val="0563c1"/>
            <w:sz w:val="22"/>
            <w:szCs w:val="22"/>
            <w:u w:val="single"/>
            <w:vertAlign w:val="baseline"/>
            <w:rtl w:val="0"/>
          </w:rPr>
          <w:t xml:space="preserve">Responding to Student Sexual Offending: template</w:t>
        </w:r>
      </w:hyperlink>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 where possible, by the staff member or volunteer who reported the incid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 disclosure, or suspicion to them</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detailed notes are taken of any immediate or ongoing action taken by the school to respond to the incident, disclosure, allegation or suspicion</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notes and other records relating to the incident, disclo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sure, allegation or suspicion, including the schools immediate and ongoing actions, are stored securely in </w:t>
      </w:r>
      <w:r w:rsidDel="00000000" w:rsidR="00000000" w:rsidRPr="00000000">
        <w:rPr>
          <w:rtl w:val="0"/>
        </w:rPr>
        <w:t xml:space="preserve">a secure admin folder</w:t>
      </w:r>
      <w:r w:rsidDel="00000000" w:rsidR="00000000" w:rsidRPr="00000000">
        <w:rPr>
          <w:rtl w:val="0"/>
        </w:rPr>
      </w:r>
    </w:p>
    <w:p w:rsidR="00000000" w:rsidDel="00000000" w:rsidP="00000000" w:rsidRDefault="00000000" w:rsidRPr="00000000" w14:paraId="0000004C">
      <w:pPr>
        <w:pStyle w:val="Heading2"/>
        <w:rPr/>
      </w:pPr>
      <w:r w:rsidDel="00000000" w:rsidR="00000000" w:rsidRPr="00000000">
        <w:rPr>
          <w:rtl w:val="0"/>
        </w:rPr>
        <w:t xml:space="preserve">For school visitors and school community members</w:t>
      </w:r>
    </w:p>
    <w:p w:rsidR="00000000" w:rsidDel="00000000" w:rsidP="00000000" w:rsidRDefault="00000000" w:rsidRPr="00000000" w14:paraId="0000004D">
      <w:pPr>
        <w:rPr/>
      </w:pPr>
      <w:r w:rsidDel="00000000" w:rsidR="00000000" w:rsidRPr="00000000">
        <w:rPr>
          <w:rtl w:val="0"/>
        </w:rPr>
        <w:t xml:space="preserve">All community members aged 18 years or over have legal obligations relating to reporting child abuse – refer to Appendix A for detailed information.</w:t>
      </w:r>
    </w:p>
    <w:p w:rsidR="00000000" w:rsidDel="00000000" w:rsidP="00000000" w:rsidRDefault="00000000" w:rsidRPr="00000000" w14:paraId="0000004E">
      <w:pPr>
        <w:rPr/>
      </w:pPr>
      <w:r w:rsidDel="00000000" w:rsidR="00000000" w:rsidRPr="00000000">
        <w:rPr>
          <w:rtl w:val="0"/>
        </w:rPr>
        <w:t xml:space="preserve">Any person can make a report to DFFH Child Protection or Victoria Police if they believe on reasonable grounds that a child is in need of protection. For contact details, refer to the </w:t>
      </w:r>
      <w:hyperlink r:id="rId20">
        <w:r w:rsidDel="00000000" w:rsidR="00000000" w:rsidRPr="00000000">
          <w:rPr>
            <w:color w:val="0563c1"/>
            <w:u w:val="single"/>
            <w:rtl w:val="0"/>
          </w:rPr>
          <w:t xml:space="preserve">Four Critical Actions</w:t>
        </w:r>
      </w:hyperlink>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rsidR="00000000" w:rsidDel="00000000" w:rsidP="00000000" w:rsidRDefault="00000000" w:rsidRPr="00000000" w14:paraId="00000050">
      <w:pPr>
        <w:pStyle w:val="Heading2"/>
        <w:rPr/>
      </w:pPr>
      <w:r w:rsidDel="00000000" w:rsidR="00000000" w:rsidRPr="00000000">
        <w:rPr>
          <w:rtl w:val="0"/>
        </w:rPr>
        <w:t xml:space="preserve">Additional requirements for all staff</w:t>
      </w:r>
    </w:p>
    <w:p w:rsidR="00000000" w:rsidDel="00000000" w:rsidP="00000000" w:rsidRDefault="00000000" w:rsidRPr="00000000" w14:paraId="00000051">
      <w:pPr>
        <w:rPr/>
      </w:pPr>
      <w:r w:rsidDel="00000000" w:rsidR="00000000" w:rsidRPr="00000000">
        <w:rPr>
          <w:rtl w:val="0"/>
        </w:rPr>
        <w:t xml:space="preserve">All staff play an important role in supporting student safety and wellbeing and have a duty of care to take reasonable steps to prevent reasonably foreseeable harm to students.</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concerned that the school has not taken reasonable steps to prevent or reduce the risk, raise these concerns with the principal in the first instance, and escalate to the regional office if they remain unsatisfied.</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the matter to the relevant authorities where they are unable to confirm that the information has been reported by another staff member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must refer to Appendix A for further information on their obligations relating to reporting to authorities.</w:t>
      </w:r>
    </w:p>
    <w:p w:rsidR="00000000" w:rsidDel="00000000" w:rsidP="00000000" w:rsidRDefault="00000000" w:rsidRPr="00000000" w14:paraId="00000056">
      <w:pPr>
        <w:pStyle w:val="Heading1"/>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be communicated to our school community in the following ways: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(or insert other online parent, carer, student communication method)</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annual staff training</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volunteer induction processes and training for relevant volunteers</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an annual staff briefings or meetings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handbook or manual</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5E">
      <w:pPr>
        <w:pStyle w:val="Heading1"/>
        <w:rPr/>
      </w:pPr>
      <w:r w:rsidDel="00000000" w:rsidR="00000000" w:rsidRPr="00000000">
        <w:rPr>
          <w:rtl w:val="0"/>
        </w:rPr>
        <w:t xml:space="preserve">FURTHER INFORMATION AND RESOURCES</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Department of Education policies and guidance are relevant to this policy:</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Protecting Children — Reporting and Other Legal Obligations</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Managing and Reporting School Incidents</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Reportable Conduct</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Restraint and Seclusion</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Identify child abuse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 child abuse in schools (including four critical actions)</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563c1"/>
          <w:sz w:val="22"/>
          <w:szCs w:val="22"/>
          <w:u w:val="singl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Identify and respond to student sexual offending</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school policies are also relevant to this policy: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[and Wellbeing] Policy</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 Code of Conduct</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 and School Philosophy</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Policy</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and Diversity Policy</w:t>
      </w:r>
    </w:p>
    <w:p w:rsidR="00000000" w:rsidDel="00000000" w:rsidP="00000000" w:rsidRDefault="00000000" w:rsidRPr="00000000" w14:paraId="00000071">
      <w:pPr>
        <w:pStyle w:val="Heading1"/>
        <w:rPr/>
      </w:pPr>
      <w:r w:rsidDel="00000000" w:rsidR="00000000" w:rsidRPr="00000000">
        <w:rPr>
          <w:rtl w:val="0"/>
        </w:rPr>
        <w:t xml:space="preserve">POLICY REVIEW AND APPROVAL</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December 2024</w:t>
            </w: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rtl w:val="0"/>
              </w:rPr>
              <w:t xml:space="preserve">November 2025</w:t>
            </w:r>
            <w:r w:rsidDel="00000000" w:rsidR="00000000" w:rsidRPr="00000000">
              <w:rPr>
                <w:rtl w:val="0"/>
              </w:rPr>
            </w:r>
          </w:p>
        </w:tc>
      </w:tr>
    </w:tbl>
    <w:p w:rsidR="00000000" w:rsidDel="00000000" w:rsidP="00000000" w:rsidRDefault="00000000" w:rsidRPr="00000000" w14:paraId="0000007A">
      <w:pPr>
        <w:rPr>
          <w:rFonts w:ascii="Cambria" w:cs="Cambria" w:eastAsia="Cambria" w:hAnsi="Cambria"/>
          <w:b w:val="1"/>
          <w:smallCaps w:val="1"/>
          <w:color w:val="4472c4"/>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b w:val="1"/>
          <w:smallCaps w:val="1"/>
          <w:color w:val="4472c4"/>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rPr/>
      </w:pPr>
      <w:bookmarkStart w:colFirst="0" w:colLast="0" w:name="_heading=h.1fob9te" w:id="2"/>
      <w:bookmarkEnd w:id="2"/>
      <w:r w:rsidDel="00000000" w:rsidR="00000000" w:rsidRPr="00000000">
        <w:rPr>
          <w:rtl w:val="0"/>
        </w:rPr>
        <w:t xml:space="preserve">APPENDIX A: legal obligatons relating to reporting child abuse</w:t>
      </w:r>
    </w:p>
    <w:p w:rsidR="00000000" w:rsidDel="00000000" w:rsidP="00000000" w:rsidRDefault="00000000" w:rsidRPr="00000000" w14:paraId="0000007D">
      <w:pPr>
        <w:rPr/>
      </w:pPr>
      <w:r w:rsidDel="00000000" w:rsidR="00000000" w:rsidRPr="00000000">
        <w:rPr>
          <w:rtl w:val="0"/>
        </w:rPr>
        <w:t xml:space="preserve">The following information outlines the various legal obligations relating to the reporting of child abuse to relevant authorities.</w:t>
      </w:r>
    </w:p>
    <w:p w:rsidR="00000000" w:rsidDel="00000000" w:rsidP="00000000" w:rsidRDefault="00000000" w:rsidRPr="00000000" w14:paraId="0000007E">
      <w:pPr>
        <w:rPr/>
      </w:pPr>
      <w:r w:rsidDel="00000000" w:rsidR="00000000" w:rsidRPr="00000000">
        <w:rPr>
          <w:rtl w:val="0"/>
        </w:rPr>
        <w:t xml:space="preserve">It is important to note that the procedures outlined in the above policy ensure compliance with the below reporting obligations, and also include additional steps to ensure compliance with Department policy and our school’s duty of care obligations.</w:t>
      </w:r>
    </w:p>
    <w:p w:rsidR="00000000" w:rsidDel="00000000" w:rsidP="00000000" w:rsidRDefault="00000000" w:rsidRPr="00000000" w14:paraId="0000007F">
      <w:pPr>
        <w:pStyle w:val="Heading3"/>
        <w:rPr>
          <w:i w:val="0"/>
        </w:rPr>
      </w:pPr>
      <w:r w:rsidDel="00000000" w:rsidR="00000000" w:rsidRPr="00000000">
        <w:rPr>
          <w:i w:val="0"/>
          <w:rtl w:val="0"/>
        </w:rPr>
        <w:t xml:space="preserve">Mandatory reporting to Department of Families, Fairness and Housing (DFFH) Child Protection</w:t>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individuals are mandatory reporters under the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Children, Youth and Families Act 2005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teachers and early childhood teachers (including principals and school staff who have been granted permission to teach by the VIT)</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nurses</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psychologists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 officers</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medical practitioners</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 of home care workers (excluding voluntary foster and kinship carers)</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childhood workers</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justice workers</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in religious ministry</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midwives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mandatory reporters must make a report to the Department of Families, Fairness and Housing (DFFH) Child Protection as soon as practicable if, during the course of carrying out their professional roles and responsibilities, they form a belief on reasonable grounds that:</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has suffered, or is likely to suffer, significant harm as a result of physical abuse and/ or sexual abuse; and</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child’s parents or carers have not protected, or are unlikely to protect, the child from harm of that type.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mandatory reporter who fails to comply with this legal obligation may be committing a criminal offence. It is important for all staff at Sorrento Primary School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w:t>
      </w:r>
    </w:p>
    <w:p w:rsidR="00000000" w:rsidDel="00000000" w:rsidP="00000000" w:rsidRDefault="00000000" w:rsidRPr="00000000" w14:paraId="00000090">
      <w:pPr>
        <w:rPr/>
      </w:pPr>
      <w:r w:rsidDel="00000000" w:rsidR="00000000" w:rsidRPr="00000000">
        <w:rPr>
          <w:rtl w:val="0"/>
        </w:rPr>
        <w:t xml:space="preserve">If charged with not making a mandatory report, it may be a defence for the person charged to prove that they honestly and reasonably believed that all of the reasonable grounds for their belief had been the subject of a report to child protection made by another person.</w:t>
      </w:r>
    </w:p>
    <w:p w:rsidR="00000000" w:rsidDel="00000000" w:rsidP="00000000" w:rsidRDefault="00000000" w:rsidRPr="00000000" w14:paraId="00000091">
      <w:pPr>
        <w:rPr/>
      </w:pPr>
      <w:r w:rsidDel="00000000" w:rsidR="00000000" w:rsidRPr="00000000">
        <w:rPr>
          <w:rtl w:val="0"/>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w:t>
      </w:r>
    </w:p>
    <w:p w:rsidR="00000000" w:rsidDel="00000000" w:rsidP="00000000" w:rsidRDefault="00000000" w:rsidRPr="00000000" w14:paraId="00000092">
      <w:pPr>
        <w:rPr/>
      </w:pPr>
      <w:r w:rsidDel="00000000" w:rsidR="00000000" w:rsidRPr="00000000">
        <w:rPr>
          <w:rtl w:val="0"/>
        </w:rPr>
        <w:t xml:space="preserve">At our school, all mandated school staff must undertake the </w:t>
      </w:r>
      <w:r w:rsidDel="00000000" w:rsidR="00000000" w:rsidRPr="00000000">
        <w:rPr>
          <w:i w:val="1"/>
          <w:rtl w:val="0"/>
        </w:rPr>
        <w:t xml:space="preserve">Mandatory Reporting and Other Obligations eLearning Module </w:t>
      </w:r>
      <w:r w:rsidDel="00000000" w:rsidR="00000000" w:rsidRPr="00000000">
        <w:rPr>
          <w:rtl w:val="0"/>
        </w:rPr>
        <w:t xml:space="preserve">annually. </w:t>
      </w:r>
      <w:r w:rsidDel="00000000" w:rsidR="00000000" w:rsidRPr="00000000">
        <w:rPr>
          <w:rtl w:val="0"/>
        </w:rPr>
        <w:t xml:space="preserve">We also require/encourage all other staff to undertake this module, even where they are not mandatory reporters]</w:t>
      </w:r>
    </w:p>
    <w:p w:rsidR="00000000" w:rsidDel="00000000" w:rsidP="00000000" w:rsidRDefault="00000000" w:rsidRPr="00000000" w14:paraId="00000093">
      <w:pPr>
        <w:rPr/>
      </w:pPr>
      <w:r w:rsidDel="00000000" w:rsidR="00000000" w:rsidRPr="00000000">
        <w:rPr>
          <w:rtl w:val="0"/>
        </w:rPr>
        <w:t xml:space="preserve">The policy of the Department of Education (DE) requires </w:t>
      </w:r>
      <w:r w:rsidDel="00000000" w:rsidR="00000000" w:rsidRPr="00000000">
        <w:rPr>
          <w:b w:val="1"/>
          <w:rtl w:val="0"/>
        </w:rPr>
        <w:t xml:space="preserve">all staff</w:t>
      </w:r>
      <w:r w:rsidDel="00000000" w:rsidR="00000000" w:rsidRPr="00000000">
        <w:rPr>
          <w:rtl w:val="0"/>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w:t>
      </w:r>
    </w:p>
    <w:p w:rsidR="00000000" w:rsidDel="00000000" w:rsidP="00000000" w:rsidRDefault="00000000" w:rsidRPr="00000000" w14:paraId="00000094">
      <w:pPr>
        <w:rPr/>
      </w:pPr>
      <w:r w:rsidDel="00000000" w:rsidR="00000000" w:rsidRPr="00000000">
        <w:rPr>
          <w:rtl w:val="0"/>
        </w:rPr>
        <w:t xml:space="preserve">Any person can make a report to DFFH Child Protection (131 278 – 24 hour service) if they believe on reasonable grounds that a child is in need of protection even if they are not a mandatory reporter listed above.</w:t>
      </w:r>
    </w:p>
    <w:p w:rsidR="00000000" w:rsidDel="00000000" w:rsidP="00000000" w:rsidRDefault="00000000" w:rsidRPr="00000000" w14:paraId="00000095">
      <w:pPr>
        <w:pStyle w:val="Heading3"/>
        <w:spacing w:after="120" w:lineRule="auto"/>
        <w:ind w:left="0" w:firstLine="0"/>
        <w:rPr>
          <w:i w:val="0"/>
        </w:rPr>
      </w:pPr>
      <w:r w:rsidDel="00000000" w:rsidR="00000000" w:rsidRPr="00000000">
        <w:rPr>
          <w:i w:val="0"/>
          <w:rtl w:val="0"/>
        </w:rPr>
        <w:t xml:space="preserve">Reporting student wellbeing concerns to Child FIRST/Orange Door</w:t>
      </w:r>
    </w:p>
    <w:p w:rsidR="00000000" w:rsidDel="00000000" w:rsidP="00000000" w:rsidRDefault="00000000" w:rsidRPr="00000000" w14:paraId="00000096">
      <w:pPr>
        <w:rPr>
          <w:b w:val="1"/>
          <w:i w:val="1"/>
        </w:rPr>
      </w:pPr>
      <w:r w:rsidDel="00000000" w:rsidR="00000000" w:rsidRPr="00000000">
        <w:rPr>
          <w:rtl w:val="0"/>
        </w:rPr>
        <w:t xml:space="preserve">At Sorrento Primary School we also encourage staff to make a referral to Child FIRST/Orange Door when they have significant concern for a child’s wellbeing. For more information about making a referral to Child FIRST/Orange Door </w:t>
      </w:r>
      <w:r w:rsidDel="00000000" w:rsidR="00000000" w:rsidRPr="00000000">
        <w:rPr>
          <w:rFonts w:ascii="Calibri" w:cs="Calibri" w:eastAsia="Calibri" w:hAnsi="Calibri"/>
          <w:rtl w:val="0"/>
        </w:rPr>
        <w:t xml:space="preserve">see the Policy and Advisory Library</w:t>
      </w:r>
      <w:r w:rsidDel="00000000" w:rsidR="00000000" w:rsidRPr="00000000">
        <w:rPr>
          <w:rtl w:val="0"/>
        </w:rPr>
        <w:t xml:space="preserve">: </w:t>
      </w:r>
      <w:hyperlink r:id="rId29">
        <w:r w:rsidDel="00000000" w:rsidR="00000000" w:rsidRPr="00000000">
          <w:rPr>
            <w:rFonts w:ascii="Calibri" w:cs="Calibri" w:eastAsia="Calibri" w:hAnsi="Calibri"/>
            <w:color w:val="0563c1"/>
            <w:u w:val="single"/>
            <w:rtl w:val="0"/>
          </w:rPr>
          <w:t xml:space="preserve">Protecting Children – Reporting and Other Legal Obligations</w:t>
        </w:r>
      </w:hyperlink>
      <w:r w:rsidDel="00000000" w:rsidR="00000000" w:rsidRPr="00000000">
        <w:rPr>
          <w:color w:val="0563c1"/>
          <w:u w:val="single"/>
          <w:rtl w:val="0"/>
        </w:rPr>
        <w:t xml:space="preserve">.</w:t>
      </w:r>
      <w:r w:rsidDel="00000000" w:rsidR="00000000" w:rsidRPr="00000000">
        <w:rPr>
          <w:rtl w:val="0"/>
        </w:rPr>
      </w:r>
    </w:p>
    <w:p w:rsidR="00000000" w:rsidDel="00000000" w:rsidP="00000000" w:rsidRDefault="00000000" w:rsidRPr="00000000" w14:paraId="00000097">
      <w:pPr>
        <w:pStyle w:val="Heading3"/>
        <w:spacing w:after="120" w:lineRule="auto"/>
        <w:ind w:left="0" w:firstLine="0"/>
        <w:rPr>
          <w:b w:val="0"/>
          <w:i w:val="0"/>
        </w:rPr>
      </w:pPr>
      <w:r w:rsidDel="00000000" w:rsidR="00000000" w:rsidRPr="00000000">
        <w:rPr>
          <w:i w:val="0"/>
          <w:rtl w:val="0"/>
        </w:rPr>
        <w:t xml:space="preserve">Reportable Conduct</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rsidR="00000000" w:rsidDel="00000000" w:rsidP="00000000" w:rsidRDefault="00000000" w:rsidRPr="00000000" w14:paraId="0000009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five types of ‘reportable conduct’ listed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Child Wellbeing and Safety Act 2005:</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offences against, with or in the presence of, a child</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misconduct (which includes grooming) against, with or in the presence of, a child</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violence against, with or in the presence of, a child</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that causes significant emotional or psychological harm to a child</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significant neglect of a child.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reportable conduct allegation is made where a person makes an allegation, based on a reasonable belief, that a worker or volunteer has committed reportable conduct or misconduct that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involve reportable conduct.</w:t>
      </w:r>
    </w:p>
    <w:p w:rsidR="00000000" w:rsidDel="00000000" w:rsidP="00000000" w:rsidRDefault="00000000" w:rsidRPr="00000000" w14:paraId="000000A0">
      <w:pPr>
        <w:rPr/>
      </w:pPr>
      <w:r w:rsidDel="00000000" w:rsidR="00000000" w:rsidRPr="00000000">
        <w:rPr>
          <w:rtl w:val="0"/>
        </w:rPr>
        <w:t xml:space="preserve">If school staff or volunteers become aware of reportable conduct by any current or former employee, contractor or volunteer, they must notify the school principal immediately. If the allegation relates to the principal, they must notify the Regional Director.</w:t>
      </w:r>
    </w:p>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Conduct Branch: 03 7022 0005 or </w:t>
      </w: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employee.conduct@education.vic.gov.au</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Secretary, through the Manager, Employee Conduct Branch, has a legal obligation to inform the Commission for Children and Young People when an allegation of reportable conduct is made.</w:t>
      </w:r>
    </w:p>
    <w:p w:rsidR="00000000" w:rsidDel="00000000" w:rsidP="00000000" w:rsidRDefault="00000000" w:rsidRPr="00000000" w14:paraId="000000A4">
      <w:pPr>
        <w:rPr/>
      </w:pPr>
      <w:r w:rsidDel="00000000" w:rsidR="00000000" w:rsidRPr="00000000">
        <w:rPr>
          <w:rtl w:val="0"/>
        </w:rPr>
        <w:t xml:space="preserve">For more information about reportable conduct see the Department’s </w:t>
      </w:r>
      <w:r w:rsidDel="00000000" w:rsidR="00000000" w:rsidRPr="00000000">
        <w:rPr>
          <w:i w:val="1"/>
          <w:rtl w:val="0"/>
        </w:rPr>
        <w:t xml:space="preserve">Policy and Advisory Library</w:t>
      </w:r>
      <w:r w:rsidDel="00000000" w:rsidR="00000000" w:rsidRPr="00000000">
        <w:rPr>
          <w:rtl w:val="0"/>
        </w:rPr>
        <w:t xml:space="preserve">: </w:t>
      </w:r>
      <w:hyperlink r:id="rId31">
        <w:r w:rsidDel="00000000" w:rsidR="00000000" w:rsidRPr="00000000">
          <w:rPr>
            <w:color w:val="0563c1"/>
            <w:u w:val="single"/>
            <w:rtl w:val="0"/>
          </w:rPr>
          <w:t xml:space="preserve">Reportable Conduct</w:t>
        </w:r>
      </w:hyperlink>
      <w:r w:rsidDel="00000000" w:rsidR="00000000" w:rsidRPr="00000000">
        <w:rPr>
          <w:rtl w:val="0"/>
        </w:rPr>
        <w:t xml:space="preserve"> and the Commission for Children and Young People’s </w:t>
      </w:r>
      <w:hyperlink r:id="rId32">
        <w:r w:rsidDel="00000000" w:rsidR="00000000" w:rsidRPr="00000000">
          <w:rPr>
            <w:color w:val="0563c1"/>
            <w:u w:val="single"/>
            <w:rtl w:val="0"/>
          </w:rPr>
          <w:t xml:space="preserve">website</w:t>
        </w:r>
      </w:hyperlink>
      <w:r w:rsidDel="00000000" w:rsidR="00000000" w:rsidRPr="00000000">
        <w:rPr>
          <w:rtl w:val="0"/>
        </w:rPr>
        <w:t xml:space="preserve">.</w:t>
      </w:r>
    </w:p>
    <w:p w:rsidR="00000000" w:rsidDel="00000000" w:rsidP="00000000" w:rsidRDefault="00000000" w:rsidRPr="00000000" w14:paraId="000000A5">
      <w:pPr>
        <w:pStyle w:val="Heading3"/>
        <w:tabs>
          <w:tab w:val="left" w:leader="none" w:pos="3405"/>
        </w:tabs>
        <w:spacing w:after="120" w:lineRule="auto"/>
        <w:ind w:left="0" w:firstLine="0"/>
        <w:rPr>
          <w:b w:val="0"/>
          <w:i w:val="0"/>
        </w:rPr>
      </w:pPr>
      <w:r w:rsidDel="00000000" w:rsidR="00000000" w:rsidRPr="00000000">
        <w:rPr>
          <w:i w:val="0"/>
          <w:rtl w:val="0"/>
        </w:rPr>
        <w:t xml:space="preserve">Failure to disclose offence</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w:t>
      </w:r>
    </w:p>
    <w:p w:rsidR="00000000" w:rsidDel="00000000" w:rsidP="00000000" w:rsidRDefault="00000000" w:rsidRPr="00000000" w14:paraId="000000A7">
      <w:pPr>
        <w:rPr/>
      </w:pPr>
      <w:r w:rsidDel="00000000" w:rsidR="00000000" w:rsidRPr="00000000">
        <w:rPr>
          <w:rtl w:val="0"/>
        </w:rPr>
        <w:t xml:space="preserve">Failure to disclose information to Victoria Police (by calling 000, local police station or the Police Assistance Line 131 444) as soon as practicable may amount to a criminal offence unless a person has a ‘reasonable excuse’ or exemption from doing so.</w:t>
      </w:r>
    </w:p>
    <w:p w:rsidR="00000000" w:rsidDel="00000000" w:rsidP="00000000" w:rsidRDefault="00000000" w:rsidRPr="00000000" w14:paraId="000000A8">
      <w:pPr>
        <w:rPr/>
      </w:pPr>
      <w:r w:rsidDel="00000000" w:rsidR="00000000" w:rsidRPr="00000000">
        <w:rPr>
          <w:rtl w:val="0"/>
        </w:rPr>
        <w:t xml:space="preserve">“Reasonable belief” is not the same as having proof. A ‘reasonable belief’ is formed if a reasonable person in the same position would have formed the belief on the same grounds.</w:t>
      </w:r>
    </w:p>
    <w:p w:rsidR="00000000" w:rsidDel="00000000" w:rsidP="00000000" w:rsidRDefault="00000000" w:rsidRPr="00000000" w14:paraId="000000A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a ‘reasonable belief’ might be formed when:</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have been sexually abused</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states that they know someone who has been sexually abused (sometimes the child may be talking about themselves)</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who knows a child states that the child has been sexually abused</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observations of the child’s behaviour or development leads a mandated professional to form a belief that the child has been sexually abused</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of sexual abuse leads to a belief that the child has been sexually abused.</w:t>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“Reasonable excuse” is defined by law and includes:</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 for the safety of any person including yourself or the potential victim (but not including the alleged perpetrator or an organisation)</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information has already been disclosed to Victoria Police and you have no further information to add (for example, through a mandatory report to DFFH Child Protection or a report to Victoria Police from another member of school staff).</w:t>
      </w:r>
    </w:p>
    <w:p w:rsidR="00000000" w:rsidDel="00000000" w:rsidP="00000000" w:rsidRDefault="00000000" w:rsidRPr="00000000" w14:paraId="000000B2">
      <w:pPr>
        <w:pStyle w:val="Heading3"/>
        <w:spacing w:after="120" w:lineRule="auto"/>
        <w:ind w:left="0" w:firstLine="0"/>
        <w:rPr>
          <w:i w:val="0"/>
        </w:rPr>
      </w:pPr>
      <w:r w:rsidDel="00000000" w:rsidR="00000000" w:rsidRPr="00000000">
        <w:rPr>
          <w:i w:val="0"/>
          <w:rtl w:val="0"/>
        </w:rPr>
        <w:t xml:space="preserve">Failure to protect offence</w:t>
      </w:r>
    </w:p>
    <w:p w:rsidR="00000000" w:rsidDel="00000000" w:rsidP="00000000" w:rsidRDefault="00000000" w:rsidRPr="00000000" w14:paraId="000000B3">
      <w:pPr>
        <w:rPr/>
      </w:pPr>
      <w:r w:rsidDel="00000000" w:rsidR="00000000" w:rsidRPr="00000000">
        <w:rPr>
          <w:rtl w:val="0"/>
        </w:rPr>
        <w:t xml:space="preserve">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rsidR="00000000" w:rsidDel="00000000" w:rsidP="00000000" w:rsidRDefault="00000000" w:rsidRPr="00000000" w14:paraId="000000B4">
      <w:pPr>
        <w:rPr/>
      </w:pPr>
      <w:r w:rsidDel="00000000" w:rsidR="00000000" w:rsidRPr="00000000">
        <w:rPr>
          <w:rtl w:val="0"/>
        </w:rPr>
        <w:t xml:space="preserve">This may include removing the adult (ie persons aged 18 years and over) from working with children pending an investigation and reporting your concerns to Victoria Police.</w:t>
      </w:r>
    </w:p>
    <w:p w:rsidR="00000000" w:rsidDel="00000000" w:rsidP="00000000" w:rsidRDefault="00000000" w:rsidRPr="00000000" w14:paraId="000000B5">
      <w:pPr>
        <w:rPr/>
      </w:pPr>
      <w:r w:rsidDel="00000000" w:rsidR="00000000" w:rsidRPr="00000000">
        <w:rPr>
          <w:rtl w:val="0"/>
        </w:rPr>
        <w:t xml:space="preserve">If a school staff member in a position of authority fails to take reasonable steps in these circumstances, this may amount to a criminal offence.</w:t>
      </w:r>
    </w:p>
    <w:p w:rsidR="00000000" w:rsidDel="00000000" w:rsidP="00000000" w:rsidRDefault="00000000" w:rsidRPr="00000000" w14:paraId="000000B6">
      <w:pPr>
        <w:pStyle w:val="Heading3"/>
        <w:rPr>
          <w:i w:val="0"/>
        </w:rPr>
      </w:pPr>
      <w:r w:rsidDel="00000000" w:rsidR="00000000" w:rsidRPr="00000000">
        <w:rPr>
          <w:i w:val="0"/>
          <w:rtl w:val="0"/>
        </w:rPr>
        <w:t xml:space="preserve">Further information</w:t>
      </w:r>
    </w:p>
    <w:p w:rsidR="00000000" w:rsidDel="00000000" w:rsidP="00000000" w:rsidRDefault="00000000" w:rsidRPr="00000000" w14:paraId="000000B7">
      <w:pPr>
        <w:rPr/>
      </w:pPr>
      <w:r w:rsidDel="00000000" w:rsidR="00000000" w:rsidRPr="00000000">
        <w:rPr>
          <w:rtl w:val="0"/>
        </w:rPr>
        <w:t xml:space="preserve">For more information about the offences and reporting obligations outlined in this fact sheet refer to: </w:t>
      </w:r>
      <w:hyperlink r:id="rId33">
        <w:r w:rsidDel="00000000" w:rsidR="00000000" w:rsidRPr="00000000">
          <w:rPr>
            <w:color w:val="0563c1"/>
            <w:u w:val="single"/>
            <w:rtl w:val="0"/>
          </w:rPr>
          <w:t xml:space="preserve">Protecting Children — Reporting and Other Legal Obligations</w:t>
        </w:r>
      </w:hyperlink>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pPr>
      <w:r w:rsidDel="00000000" w:rsidR="00000000" w:rsidRPr="00000000">
        <w:rPr>
          <w:rtl w:val="0"/>
        </w:rPr>
        <w:t xml:space="preserve">APPENDIX B: managing disclosures of child abuse</w:t>
      </w:r>
    </w:p>
    <w:p w:rsidR="00000000" w:rsidDel="00000000" w:rsidP="00000000" w:rsidRDefault="00000000" w:rsidRPr="00000000" w14:paraId="000000BB">
      <w:pPr>
        <w:pStyle w:val="Heading2"/>
        <w:numPr>
          <w:ilvl w:val="0"/>
          <w:numId w:val="4"/>
        </w:numPr>
        <w:ind w:left="360" w:hanging="360"/>
        <w:rPr/>
      </w:pPr>
      <w:r w:rsidDel="00000000" w:rsidR="00000000" w:rsidRPr="00000000">
        <w:rPr>
          <w:rtl w:val="0"/>
        </w:rPr>
        <w:t xml:space="preserve">Important information for staff</w:t>
      </w:r>
    </w:p>
    <w:p w:rsidR="00000000" w:rsidDel="00000000" w:rsidP="00000000" w:rsidRDefault="00000000" w:rsidRPr="00000000" w14:paraId="000000BC">
      <w:pPr>
        <w:pStyle w:val="Heading3"/>
        <w:ind w:left="206" w:firstLine="0"/>
        <w:rPr/>
      </w:pPr>
      <w:r w:rsidDel="00000000" w:rsidR="00000000" w:rsidRPr="00000000">
        <w:rPr>
          <w:rtl w:val="0"/>
        </w:rPr>
        <w:t xml:space="preserve">When managing a disclosure relating to child abuse you should:</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to the student and allow them to speak</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calm and use a neutral tone with no urgency and where possible use the child’s language and vocabulary (you do not want to frighten the child or interrupt the child)</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gentle, patient and non-judgmental throughout</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highlight to the student it was important for them to tell you about what has happened</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assure them that they are not to blame for what has occurred </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ask leading questions, for example gently ask, “What happened next?” rather than “Why?”</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patient and allow the child to talk at their own pace and in their own words</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pressure the child into telling you more than they want to, they will be asked a lot of questions by other professionals, and it is important not to force them to retell what has occurred multiple times</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reassure the child that you believe them and that disclosing the matter was important for them to do</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verbal facilitators such as “I see”, restate the child’s previous statement, and use non-suggestive words of encouragement, designed to keep the child talking in an open-ended way (“what happened next?”)</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prompt action in relation to following the procedures outlined below.</w:t>
      </w:r>
    </w:p>
    <w:p w:rsidR="00000000" w:rsidDel="00000000" w:rsidP="00000000" w:rsidRDefault="00000000" w:rsidRPr="00000000" w14:paraId="000000C9">
      <w:pPr>
        <w:pStyle w:val="Heading3"/>
        <w:ind w:left="206" w:firstLine="0"/>
        <w:rPr/>
      </w:pPr>
      <w:r w:rsidDel="00000000" w:rsidR="00000000" w:rsidRPr="00000000">
        <w:rPr>
          <w:rtl w:val="0"/>
        </w:rPr>
        <w:t xml:space="preserve">When managing a disclosure you should AVOID:</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displaying expressions of panic or shock</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questions that are investigative and potentially invasive (this may make the child feel uncomfortable and may cause the child to withdraw)</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going over the information repeatedly (you are only gathering information to help you form a belief on reasonable grounds that you need to make a report to the relevant authority)</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comments that would lead the student to believe that what has happened is their fault</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promises you will keep the information the student provided confidential</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promises to the child about what will occur next or that things will be different given the process can be unpredictable and different for each child depending on their circumstances (instead reassure them that you and others will do your best to help).</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headerReference r:id="rId34"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Child Safety Responding and Reporting Obligations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4"/>
      <w:numFmt w:val="decimal"/>
      <w:lvlText w:val="%1."/>
      <w:lvlJc w:val="left"/>
      <w:pPr>
        <w:ind w:left="361" w:hanging="360"/>
      </w:pPr>
      <w:rPr/>
    </w:lvl>
    <w:lvl w:ilvl="1">
      <w:start w:val="1"/>
      <w:numFmt w:val="lowerLetter"/>
      <w:lvlText w:val="%2."/>
      <w:lvlJc w:val="left"/>
      <w:pPr>
        <w:ind w:left="1081" w:hanging="360"/>
      </w:pPr>
      <w:rPr/>
    </w:lvl>
    <w:lvl w:ilvl="2">
      <w:start w:val="1"/>
      <w:numFmt w:val="lowerRoman"/>
      <w:lvlText w:val="%3."/>
      <w:lvlJc w:val="right"/>
      <w:pPr>
        <w:ind w:left="1801" w:hanging="180"/>
      </w:pPr>
      <w:rPr/>
    </w:lvl>
    <w:lvl w:ilvl="3">
      <w:start w:val="1"/>
      <w:numFmt w:val="decimal"/>
      <w:lvlText w:val="%4."/>
      <w:lvlJc w:val="left"/>
      <w:pPr>
        <w:ind w:left="2521" w:hanging="360"/>
      </w:pPr>
      <w:rPr/>
    </w:lvl>
    <w:lvl w:ilvl="4">
      <w:start w:val="1"/>
      <w:numFmt w:val="lowerLetter"/>
      <w:lvlText w:val="%5."/>
      <w:lvlJc w:val="left"/>
      <w:pPr>
        <w:ind w:left="3241" w:hanging="360"/>
      </w:pPr>
      <w:rPr/>
    </w:lvl>
    <w:lvl w:ilvl="5">
      <w:start w:val="1"/>
      <w:numFmt w:val="lowerRoman"/>
      <w:lvlText w:val="%6."/>
      <w:lvlJc w:val="right"/>
      <w:pPr>
        <w:ind w:left="3961" w:hanging="180"/>
      </w:pPr>
      <w:rPr/>
    </w:lvl>
    <w:lvl w:ilvl="6">
      <w:start w:val="1"/>
      <w:numFmt w:val="decimal"/>
      <w:lvlText w:val="%7."/>
      <w:lvlJc w:val="left"/>
      <w:pPr>
        <w:ind w:left="4681" w:hanging="360"/>
      </w:pPr>
      <w:rPr/>
    </w:lvl>
    <w:lvl w:ilvl="7">
      <w:start w:val="1"/>
      <w:numFmt w:val="lowerLetter"/>
      <w:lvlText w:val="%8."/>
      <w:lvlJc w:val="left"/>
      <w:pPr>
        <w:ind w:left="5401" w:hanging="360"/>
      </w:pPr>
      <w:rPr/>
    </w:lvl>
    <w:lvl w:ilvl="8">
      <w:start w:val="1"/>
      <w:numFmt w:val="lowerRoman"/>
      <w:lvlText w:val="%9."/>
      <w:lvlJc w:val="right"/>
      <w:pPr>
        <w:ind w:left="6121"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031B60"/>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031B60"/>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031B60"/>
    <w:pPr>
      <w:keepNext w:val="1"/>
      <w:numPr>
        <w:numId w:val="31"/>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031B60"/>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031B60"/>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031B60"/>
  </w:style>
  <w:style w:type="paragraph" w:styleId="ListParagraph">
    <w:name w:val="List Paragraph"/>
    <w:basedOn w:val="Normal"/>
    <w:link w:val="ListParagraphChar"/>
    <w:uiPriority w:val="34"/>
    <w:qFormat w:val="1"/>
    <w:rsid w:val="00031B60"/>
    <w:pPr>
      <w:spacing w:before="66"/>
      <w:ind w:left="839" w:hanging="359"/>
    </w:pPr>
  </w:style>
  <w:style w:type="paragraph" w:styleId="TableParagraph" w:customStyle="1">
    <w:name w:val="Table Paragraph"/>
    <w:basedOn w:val="Normal"/>
    <w:uiPriority w:val="1"/>
    <w:qFormat w:val="1"/>
    <w:rsid w:val="00031B60"/>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031B60"/>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031B60"/>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031B60"/>
    <w:rPr>
      <w:rFonts w:ascii="Calibri" w:cs="Calibri" w:eastAsia="Calibri" w:hAnsi="Calibri"/>
      <w:b w:val="1"/>
      <w:bCs w:val="1"/>
      <w:caps w:val="1"/>
      <w:noProof w:val="1"/>
      <w:color w:val="5b9bd5" w:themeColor="accent5"/>
      <w:spacing w:val="10"/>
      <w:sz w:val="28"/>
      <w:szCs w:val="28"/>
      <w:lang w:bidi="en-GB" w:eastAsia="en-GB"/>
    </w:rPr>
  </w:style>
  <w:style w:type="character" w:styleId="DHHSbodyChar" w:customStyle="1">
    <w:name w:val="DHHS body Char"/>
    <w:link w:val="DHHSbody"/>
    <w:locked w:val="1"/>
    <w:rsid w:val="00470C6F"/>
    <w:rPr>
      <w:rFonts w:ascii="Arial" w:cs="Arial" w:eastAsia="Times" w:hAnsi="Arial"/>
    </w:rPr>
  </w:style>
  <w:style w:type="paragraph" w:styleId="DHHSbody" w:customStyle="1">
    <w:name w:val="DHHS body"/>
    <w:link w:val="DHHSbodyChar"/>
    <w:rsid w:val="00470C6F"/>
    <w:pPr>
      <w:widowControl w:val="1"/>
      <w:autoSpaceDE w:val="1"/>
      <w:autoSpaceDN w:val="1"/>
      <w:spacing w:after="120" w:line="270" w:lineRule="atLeast"/>
    </w:pPr>
    <w:rPr>
      <w:rFonts w:ascii="Arial" w:cs="Arial" w:eastAsia="Times" w:hAnsi="Arial"/>
    </w:rPr>
  </w:style>
  <w:style w:type="paragraph" w:styleId="CCYPBulletsIndent" w:customStyle="1">
    <w:name w:val="CCYP Bullets Indent"/>
    <w:basedOn w:val="Normal"/>
    <w:rsid w:val="00470C6F"/>
    <w:pPr>
      <w:numPr>
        <w:numId w:val="20"/>
      </w:numPr>
      <w:autoSpaceDE w:val="1"/>
      <w:autoSpaceDN w:val="1"/>
      <w:spacing w:before="170"/>
    </w:pPr>
    <w:rPr>
      <w:rFonts w:ascii="Arial" w:cs="Times New Roman" w:eastAsia="Times New Roman" w:hAnsi="Arial"/>
      <w:color w:val="000000" w:themeColor="text1"/>
      <w:sz w:val="18"/>
      <w:szCs w:val="24"/>
      <w:lang w:bidi="ar-SA" w:eastAsia="en-US"/>
    </w:rPr>
  </w:style>
  <w:style w:type="table" w:styleId="TableGrid1" w:customStyle="1">
    <w:name w:val="Table Grid1"/>
    <w:basedOn w:val="TableNormal"/>
    <w:next w:val="TableGrid"/>
    <w:uiPriority w:val="39"/>
    <w:rsid w:val="00B76EC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1" w:customStyle="1">
    <w:name w:val="Bullet 1"/>
    <w:basedOn w:val="Normal"/>
    <w:next w:val="Normal"/>
    <w:uiPriority w:val="1"/>
    <w:qFormat w:val="1"/>
    <w:rsid w:val="00031B60"/>
    <w:pPr>
      <w:numPr>
        <w:numId w:val="32"/>
      </w:numPr>
      <w:spacing w:after="40" w:before="40"/>
      <w:jc w:val="left"/>
    </w:pPr>
  </w:style>
  <w:style w:type="paragraph" w:styleId="Letterlist" w:customStyle="1">
    <w:name w:val="Letter list"/>
    <w:basedOn w:val="ListParagraph"/>
    <w:link w:val="LetterlistChar"/>
    <w:uiPriority w:val="1"/>
    <w:qFormat w:val="1"/>
    <w:rsid w:val="00031B60"/>
    <w:pPr>
      <w:numPr>
        <w:numId w:val="33"/>
      </w:numPr>
      <w:spacing w:before="60"/>
      <w:contextualSpacing w:val="1"/>
      <w:jc w:val="left"/>
    </w:pPr>
  </w:style>
  <w:style w:type="character" w:styleId="LetterlistChar" w:customStyle="1">
    <w:name w:val="Letter list Char"/>
    <w:basedOn w:val="ListParagraphChar"/>
    <w:link w:val="Letterlist"/>
    <w:uiPriority w:val="1"/>
    <w:rsid w:val="00031B60"/>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031B60"/>
    <w:pPr>
      <w:numPr>
        <w:numId w:val="34"/>
      </w:numPr>
      <w:contextualSpacing w:val="1"/>
      <w:jc w:val="left"/>
    </w:pPr>
  </w:style>
  <w:style w:type="character" w:styleId="NumberedlistChar" w:customStyle="1">
    <w:name w:val="Numbered list Char"/>
    <w:basedOn w:val="ListParagraphChar"/>
    <w:link w:val="Numberedlist"/>
    <w:uiPriority w:val="1"/>
    <w:rsid w:val="00031B60"/>
    <w:rPr>
      <w:rFonts w:ascii="Calibri" w:cs="Calibri" w:eastAsia="Calibri" w:hAnsi="Calibri"/>
      <w:lang w:bidi="en-GB" w:eastAsia="en-GB"/>
    </w:rPr>
  </w:style>
  <w:style w:type="paragraph" w:styleId="Parabeforelist" w:customStyle="1">
    <w:name w:val="Para before list"/>
    <w:basedOn w:val="Normal"/>
    <w:qFormat w:val="1"/>
    <w:rsid w:val="00031B60"/>
    <w:pPr>
      <w:keepNext w:val="1"/>
      <w:spacing w:after="0"/>
    </w:pPr>
  </w:style>
  <w:style w:type="character" w:styleId="Heading2Char" w:customStyle="1">
    <w:name w:val="Heading 2 Char"/>
    <w:basedOn w:val="DefaultParagraphFont"/>
    <w:link w:val="Heading2"/>
    <w:uiPriority w:val="9"/>
    <w:rsid w:val="00031B60"/>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031B60"/>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031B60"/>
    <w:rPr>
      <w:rFonts w:asciiTheme="majorHAnsi" w:cstheme="majorBidi" w:eastAsiaTheme="majorEastAsia" w:hAnsiTheme="majorHAnsi"/>
      <w:i w:val="1"/>
      <w:iCs w:val="1"/>
      <w:color w:val="2f5496" w:themeColor="accent1" w:themeShade="0000BF"/>
      <w:lang w:bidi="en-GB" w:eastAsia="en-GB"/>
    </w:rPr>
  </w:style>
  <w:style w:type="paragraph" w:styleId="Title">
    <w:name w:val="Title"/>
    <w:basedOn w:val="Normal"/>
    <w:next w:val="Normal"/>
    <w:link w:val="TitleChar"/>
    <w:uiPriority w:val="10"/>
    <w:qFormat w:val="1"/>
    <w:rsid w:val="00031B60"/>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031B60"/>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031B60"/>
    <w:rPr>
      <w:rFonts w:ascii="Calibri" w:cs="Calibri" w:eastAsia="Calibri" w:hAnsi="Calibri"/>
      <w:lang w:bidi="en-GB" w:eastAsia="en-GB"/>
    </w:rPr>
  </w:style>
  <w:style w:type="character" w:styleId="BodyTextChar" w:customStyle="1">
    <w:name w:val="Body Text Char"/>
    <w:basedOn w:val="DefaultParagraphFont"/>
    <w:link w:val="BodyText"/>
    <w:uiPriority w:val="1"/>
    <w:rsid w:val="00EE09D0"/>
    <w:rPr>
      <w:rFonts w:ascii="Calibri" w:cs="Calibri" w:eastAsia="Calibri" w:hAnsi="Calibri"/>
      <w:lang w:bidi="en-GB" w:eastAsia="en-GB"/>
    </w:rPr>
  </w:style>
  <w:style w:type="paragraph" w:styleId="Paraafterlist" w:customStyle="1">
    <w:name w:val="Para after list"/>
    <w:basedOn w:val="Normal"/>
    <w:link w:val="ParaafterlistChar"/>
    <w:qFormat w:val="1"/>
    <w:rsid w:val="00031B60"/>
    <w:pPr>
      <w:spacing w:before="160"/>
    </w:pPr>
    <w:rPr>
      <w:bCs w:val="1"/>
    </w:rPr>
  </w:style>
  <w:style w:type="character" w:styleId="ParaafterlistChar" w:customStyle="1">
    <w:name w:val="Para after list Char"/>
    <w:basedOn w:val="DefaultParagraphFont"/>
    <w:link w:val="Paraafterlist"/>
    <w:rsid w:val="00031B60"/>
    <w:rPr>
      <w:rFonts w:ascii="Calibri" w:cs="Calibri" w:eastAsia="Calibri" w:hAnsi="Calibri"/>
      <w:bCs w:val="1"/>
      <w:lang w:bidi="en-GB" w:eastAsia="en-GB"/>
    </w:rPr>
  </w:style>
  <w:style w:type="character" w:styleId="SubtleEmphasis">
    <w:name w:val="Subtle Emphasis"/>
    <w:basedOn w:val="DefaultParagraphFont"/>
    <w:uiPriority w:val="19"/>
    <w:qFormat w:val="1"/>
    <w:rsid w:val="00031B60"/>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1" Type="http://schemas.openxmlformats.org/officeDocument/2006/relationships/hyperlink" Target="https://www2.education.vic.gov.au/pal/child-safe-standards/policy" TargetMode="External"/><Relationship Id="rId24" Type="http://schemas.openxmlformats.org/officeDocument/2006/relationships/hyperlink" Target="https://www2.education.vic.gov.au/pal/reportable-conduct-scheme/policy" TargetMode="External"/><Relationship Id="rId23" Type="http://schemas.openxmlformats.org/officeDocument/2006/relationships/hyperlink" Target="https://www2.education.vic.gov.au/pal/reporting-and-managing-school-incidents-including-emergencie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vic.gov.au/in-force/acts/crimes-act-1958/" TargetMode="External"/><Relationship Id="rId26" Type="http://schemas.openxmlformats.org/officeDocument/2006/relationships/hyperlink" Target="https://www.schools.vic.gov.au/identify-child-abuse" TargetMode="External"/><Relationship Id="rId25" Type="http://schemas.openxmlformats.org/officeDocument/2006/relationships/hyperlink" Target="https://www2.education.vic.gov.au/pal/restraint-seclusion/policy" TargetMode="External"/><Relationship Id="rId28" Type="http://schemas.openxmlformats.org/officeDocument/2006/relationships/hyperlink" Target="https://www.schools.vic.gov.au/identify-and-respond-student-sexual-offending" TargetMode="External"/><Relationship Id="rId27" Type="http://schemas.openxmlformats.org/officeDocument/2006/relationships/hyperlink" Target="https://www.schools.vic.gov.au/report-child-abuse-school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protecting-children/policy"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s://www2.education.vic.gov.au/pal/reportable-conduct-scheme/policy" TargetMode="External"/><Relationship Id="rId30" Type="http://schemas.openxmlformats.org/officeDocument/2006/relationships/hyperlink" Target="mailto:employee.conduct@education.vic.gov.au" TargetMode="External"/><Relationship Id="rId11" Type="http://schemas.openxmlformats.org/officeDocument/2006/relationships/hyperlink" Target="https://www.education.vic.gov.au/Documents/about/programs/health/protect/FourCriticalActions_ChildAbuse.pdf" TargetMode="External"/><Relationship Id="rId33" Type="http://schemas.openxmlformats.org/officeDocument/2006/relationships/hyperlink" Target="https://www2.education.vic.gov.au/pal/protecting-children/policy" TargetMode="External"/><Relationship Id="rId10" Type="http://schemas.openxmlformats.org/officeDocument/2006/relationships/hyperlink" Target="https://www.schools.vic.gov.au/identify-child-abuse" TargetMode="External"/><Relationship Id="rId32" Type="http://schemas.openxmlformats.org/officeDocument/2006/relationships/hyperlink" Target="https://ccyp.vic.gov.au/reportable-conduct-scheme/" TargetMode="External"/><Relationship Id="rId13" Type="http://schemas.openxmlformats.org/officeDocument/2006/relationships/hyperlink" Target="https://www.vic.gov.au/contact-us-department-education#regional-office-contact-list" TargetMode="External"/><Relationship Id="rId12" Type="http://schemas.openxmlformats.org/officeDocument/2006/relationships/hyperlink" Target="https://www.schools.vic.gov.au/identify-and-respond-student-sexual-offending" TargetMode="External"/><Relationship Id="rId34" Type="http://schemas.openxmlformats.org/officeDocument/2006/relationships/header" Target="header1.xml"/><Relationship Id="rId15" Type="http://schemas.openxmlformats.org/officeDocument/2006/relationships/hyperlink" Target="https://www2.education.vic.gov.au/pal/reporting-and-managing-school-incidents-including-emergencies/policy" TargetMode="External"/><Relationship Id="rId14" Type="http://schemas.openxmlformats.org/officeDocument/2006/relationships/hyperlink" Target="https://services.educationapps.vic.gov.au/edusafeplus" TargetMode="External"/><Relationship Id="rId17" Type="http://schemas.openxmlformats.org/officeDocument/2006/relationships/hyperlink" Target="https://www.schools.vic.gov.au/action-3-contacting-parents-or-carers" TargetMode="External"/><Relationship Id="rId16" Type="http://schemas.openxmlformats.org/officeDocument/2006/relationships/hyperlink" Target="https://www2.education.vic.gov.au/pal/reportable-conduct-scheme/policy" TargetMode="External"/><Relationship Id="rId19" Type="http://schemas.openxmlformats.org/officeDocument/2006/relationships/hyperlink" Target="https://www.education.vic.gov.au/Documents/about/programs/health/protect/SSO_ReportingTemplate.docx" TargetMode="External"/><Relationship Id="rId18" Type="http://schemas.openxmlformats.org/officeDocument/2006/relationships/hyperlink" Target="https://www.education.vic.gov.au/Documents/about/programs/health/protect/PROTECT_Schoolstemplat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DDb4h5R1kYFcSMAqMDmY3mfMw==">CgMxLjAyCGguZ2pkZ3hzMgloLjMwajB6bGwyCWguMWZvYjl0ZTgAciExRGZJSExRVTZZVThrM0VaODctajNHQ2cweGlWSjJ5cWc=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2024-11-22T01:55:00Z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Child Safety Responding and Reporting Obligations Policy and Procedures</vt:lpwstr>
  </property>
  <property fmtid="{D5CDD505-2E9C-101B-9397-08002B2CF9AE}" pid="7" name="Order">
    <vt:r8>46700.0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2024-01-17T14:07:40.0896416+11:00</vt:lpwstr>
  </property>
</Properties>
</file>