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First Name: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Last Name: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Best Phone Number: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Best Email Address: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Business Street Address (residence if applicable):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Business City, State, Postal Code (residence if applicable):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Business Name: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Company Logo: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Desired Liability Limit: $500K/$1M/$2M/$5M/$10M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How many drones do you operate: 1-2/3-5/6+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Add physical damage coverage (protect drone hull against physical damage, loss or theft)?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If Yes, which equipment and/or drones: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Optional Coverages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Personal and Advertising Injury, including privacy: $25K/$100K/$1M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Medical Expense: $500/$1K/$2K/$5K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Add Additional Insured: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Intended Use/Industry: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 the last 5 years, have you been involved in any aircraft or UAS accidents, incidents or losses?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If Yes, explain: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 the last 5 years, have any of the operators: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Been cited for violation of any FAA regulations?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Had their pilot’s or driver’s license suspended?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Been convicted of driving while intoxicated?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Been convicted of any felony charge?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Declarations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Will all flights be conducted in accordance with applicable regulations?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Will any flight be flown: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Outside over people under the FAA Operation of Unmanned Aircraft Systems Over People rule or with a waiver?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Indoors where people are present?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Will all commercial operations be conducted by an operator who holds a current Remote Pilot Airman Certificate (RPAC) with 24 month recurrency completed or under a Certificate of Authorization or Waiver (public entities only)?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Do you intend to operate beyond Visual Line of Sight?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  <w:t xml:space="preserve">Strong Foundation Systems</w:t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  <w:t xml:space="preserve">Commercial Drone Intake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