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602" w14:textId="77777777" w:rsidR="00A622E6" w:rsidRPr="00A622E6" w:rsidRDefault="00A622E6" w:rsidP="00A622E6">
      <w:pPr>
        <w:pStyle w:val="Heading1"/>
      </w:pPr>
      <w:r w:rsidRPr="00A622E6">
        <w:t>Using the Framework to Support the Ofsted Inspection Toolkit</w:t>
      </w:r>
    </w:p>
    <w:p w14:paraId="0D474C84" w14:textId="77777777" w:rsidR="00A622E6" w:rsidRPr="00A622E6" w:rsidRDefault="00A622E6" w:rsidP="00A622E6">
      <w:r w:rsidRPr="00A622E6">
        <w:rPr>
          <w:i/>
          <w:iCs/>
        </w:rPr>
        <w:t>A Guide for Schools and Alternative Provisions</w:t>
      </w:r>
    </w:p>
    <w:p w14:paraId="034F29DE" w14:textId="77777777" w:rsidR="00A622E6" w:rsidRPr="00A622E6" w:rsidRDefault="00A622E6" w:rsidP="00A622E6">
      <w:pPr>
        <w:pStyle w:val="Heading2"/>
      </w:pPr>
      <w:r w:rsidRPr="00A622E6">
        <w:t>Introduction</w:t>
      </w:r>
    </w:p>
    <w:p w14:paraId="0F05C8D2" w14:textId="77777777" w:rsidR="00A622E6" w:rsidRPr="00A622E6" w:rsidRDefault="00A622E6" w:rsidP="00A622E6">
      <w:r w:rsidRPr="00A622E6">
        <w:t>The Alternative Provision Personal Development Framework provides a structured approach for understanding, supporting and evidencing the progress of pupils whose needs extend beyond academic attainment. It is designed to complement schools’ statutory duties and inspection expectations by offering a clear, consistent way to assess barriers to learning, plan targeted support, and demonstrate impact over time.</w:t>
      </w:r>
    </w:p>
    <w:p w14:paraId="6BF5E958" w14:textId="77777777" w:rsidR="00A622E6" w:rsidRPr="00A622E6" w:rsidRDefault="00A622E6" w:rsidP="00A622E6">
      <w:r w:rsidRPr="00A622E6">
        <w:t xml:space="preserve">The framework aligns closely with the evaluation areas within the Ofsted State-Funded School Inspection Toolkit (2025), particularly Inclusion, Attendance and Behaviour, Achievement, Personal Development and Leadership. </w:t>
      </w:r>
    </w:p>
    <w:p w14:paraId="081A0963" w14:textId="7D67C535" w:rsidR="00A622E6" w:rsidRPr="00A622E6" w:rsidRDefault="00A622E6" w:rsidP="00A622E6">
      <w:r w:rsidRPr="00A622E6">
        <w:t>It also supports one of the most critical responsibilities when pupils attend Alternative Provision: maintaining oversight of their education, safety and progress while preparing for successful reintegration.</w:t>
      </w:r>
    </w:p>
    <w:p w14:paraId="3E76F020" w14:textId="77777777" w:rsidR="00A622E6" w:rsidRPr="00A622E6" w:rsidRDefault="00A622E6" w:rsidP="00A622E6">
      <w:pPr>
        <w:pStyle w:val="Heading2"/>
      </w:pPr>
      <w:r w:rsidRPr="00A622E6">
        <w:t>Supporting Inclusion</w:t>
      </w:r>
    </w:p>
    <w:p w14:paraId="73E6CCFF" w14:textId="77777777" w:rsidR="00A622E6" w:rsidRPr="00A622E6" w:rsidRDefault="00A622E6" w:rsidP="00A622E6">
      <w:r w:rsidRPr="00A622E6">
        <w:t xml:space="preserve">The toolkit emphasises that effective inclusion begins with accurate identification of need and a continuous cycle of planning, action and review. </w:t>
      </w:r>
    </w:p>
    <w:p w14:paraId="2B5F44BD" w14:textId="77777777" w:rsidR="00A622E6" w:rsidRPr="00A622E6" w:rsidRDefault="00A622E6" w:rsidP="00A622E6">
      <w:pPr>
        <w:spacing w:after="0"/>
      </w:pPr>
      <w:r w:rsidRPr="00A622E6">
        <w:t>The framework directly supports this by:</w:t>
      </w:r>
    </w:p>
    <w:p w14:paraId="00DCD7F6" w14:textId="77777777" w:rsidR="00A622E6" w:rsidRPr="00A622E6" w:rsidRDefault="00A622E6" w:rsidP="00A622E6">
      <w:pPr>
        <w:numPr>
          <w:ilvl w:val="0"/>
          <w:numId w:val="1"/>
        </w:numPr>
        <w:spacing w:after="0"/>
      </w:pPr>
      <w:r w:rsidRPr="00A622E6">
        <w:t>Providing structured assessment across key developmental domains</w:t>
      </w:r>
    </w:p>
    <w:p w14:paraId="3355AEEB" w14:textId="77777777" w:rsidR="00A622E6" w:rsidRPr="00A622E6" w:rsidRDefault="00A622E6" w:rsidP="00A622E6">
      <w:pPr>
        <w:numPr>
          <w:ilvl w:val="0"/>
          <w:numId w:val="1"/>
        </w:numPr>
        <w:spacing w:after="0"/>
      </w:pPr>
      <w:r w:rsidRPr="00A622E6">
        <w:t>Identifying specific barriers to learning and wellbeing</w:t>
      </w:r>
    </w:p>
    <w:p w14:paraId="792429D6" w14:textId="77777777" w:rsidR="00A622E6" w:rsidRPr="00A622E6" w:rsidRDefault="00A622E6" w:rsidP="00A622E6">
      <w:pPr>
        <w:numPr>
          <w:ilvl w:val="0"/>
          <w:numId w:val="1"/>
        </w:numPr>
        <w:spacing w:after="0"/>
      </w:pPr>
      <w:r w:rsidRPr="00A622E6">
        <w:t>Enabling targeted interventions</w:t>
      </w:r>
    </w:p>
    <w:p w14:paraId="7B65F27C" w14:textId="77777777" w:rsidR="00A622E6" w:rsidRPr="00A622E6" w:rsidRDefault="00A622E6" w:rsidP="00A622E6">
      <w:pPr>
        <w:numPr>
          <w:ilvl w:val="0"/>
          <w:numId w:val="1"/>
        </w:numPr>
        <w:spacing w:after="0"/>
      </w:pPr>
      <w:r w:rsidRPr="00A622E6">
        <w:t>Tracking progress over time</w:t>
      </w:r>
    </w:p>
    <w:p w14:paraId="11146B52" w14:textId="77777777" w:rsidR="00A622E6" w:rsidRPr="00A622E6" w:rsidRDefault="00A622E6" w:rsidP="00A622E6">
      <w:pPr>
        <w:numPr>
          <w:ilvl w:val="0"/>
          <w:numId w:val="1"/>
        </w:numPr>
      </w:pPr>
      <w:r w:rsidRPr="00A622E6">
        <w:t>Supporting a graduated approach (assess–plan–do–review)</w:t>
      </w:r>
    </w:p>
    <w:p w14:paraId="0AF34ADE" w14:textId="45E3FA4D" w:rsidR="00A622E6" w:rsidRDefault="00A622E6">
      <w:r w:rsidRPr="00A622E6">
        <w:t xml:space="preserve">Importantly, the framework captures </w:t>
      </w:r>
      <w:proofErr w:type="gramStart"/>
      <w:r w:rsidRPr="00A622E6">
        <w:t>needs</w:t>
      </w:r>
      <w:proofErr w:type="gramEnd"/>
      <w:r w:rsidRPr="00A622E6">
        <w:t xml:space="preserve"> that may not be visible through academic assessment alone, such as emotional regulation, independence, social functioning and resilience.</w:t>
      </w:r>
    </w:p>
    <w:p w14:paraId="7C778F13" w14:textId="1238868B" w:rsidR="00A622E6" w:rsidRPr="00A622E6" w:rsidRDefault="00A622E6" w:rsidP="00A622E6">
      <w:r w:rsidRPr="00A622E6">
        <w:t>This helps schools demonstrate that support is:</w:t>
      </w:r>
    </w:p>
    <w:p w14:paraId="0AE1EE24" w14:textId="4B3CFAA1" w:rsidR="00A622E6" w:rsidRPr="00A622E6" w:rsidRDefault="00A622E6" w:rsidP="00A622E6">
      <w:r w:rsidRPr="00A622E6">
        <w:rPr>
          <w:rFonts w:ascii="Segoe UI Symbol" w:hAnsi="Segoe UI Symbol" w:cs="Segoe UI Symbol"/>
        </w:rPr>
        <w:t>✔</w:t>
      </w:r>
      <w:r w:rsidRPr="00A622E6">
        <w:t xml:space="preserve"> Needs-led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Evidence-informed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Regularly reviewed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Focused on reducing barriers</w:t>
      </w:r>
    </w:p>
    <w:p w14:paraId="44AAF562" w14:textId="77777777" w:rsidR="00A622E6" w:rsidRPr="00A622E6" w:rsidRDefault="00A622E6" w:rsidP="00A622E6">
      <w:pPr>
        <w:pStyle w:val="Heading2"/>
      </w:pPr>
      <w:r w:rsidRPr="00A622E6">
        <w:lastRenderedPageBreak/>
        <w:t>Supporting Safeguarding and Welfare</w:t>
      </w:r>
    </w:p>
    <w:p w14:paraId="6D94795B" w14:textId="77777777" w:rsidR="00A622E6" w:rsidRPr="00A622E6" w:rsidRDefault="00A622E6" w:rsidP="00A622E6">
      <w:r w:rsidRPr="00A622E6">
        <w:t xml:space="preserve">Inspectors expect schools to understand pupils’ vulnerabilities and work effectively with partners, including Alternative Provision. </w:t>
      </w:r>
    </w:p>
    <w:p w14:paraId="52435DAD" w14:textId="77777777" w:rsidR="00A622E6" w:rsidRPr="00A622E6" w:rsidRDefault="00A622E6" w:rsidP="00A622E6">
      <w:pPr>
        <w:spacing w:after="0"/>
      </w:pPr>
      <w:r w:rsidRPr="00A622E6">
        <w:t>The framework contributes by providing:</w:t>
      </w:r>
    </w:p>
    <w:p w14:paraId="7D6D8964" w14:textId="77777777" w:rsidR="00A622E6" w:rsidRPr="00A622E6" w:rsidRDefault="00A622E6" w:rsidP="00A622E6">
      <w:pPr>
        <w:numPr>
          <w:ilvl w:val="0"/>
          <w:numId w:val="2"/>
        </w:numPr>
        <w:spacing w:after="0"/>
      </w:pPr>
      <w:r w:rsidRPr="00A622E6">
        <w:t>Insight into emotional wellbeing and risk factors</w:t>
      </w:r>
    </w:p>
    <w:p w14:paraId="6E3CAF78" w14:textId="77777777" w:rsidR="00A622E6" w:rsidRPr="00A622E6" w:rsidRDefault="00A622E6" w:rsidP="00A622E6">
      <w:pPr>
        <w:numPr>
          <w:ilvl w:val="0"/>
          <w:numId w:val="2"/>
        </w:numPr>
        <w:spacing w:after="0"/>
      </w:pPr>
      <w:r w:rsidRPr="00A622E6">
        <w:t>Evidence of monitoring for pupils off-site</w:t>
      </w:r>
    </w:p>
    <w:p w14:paraId="29248F66" w14:textId="77777777" w:rsidR="00A622E6" w:rsidRPr="00A622E6" w:rsidRDefault="00A622E6" w:rsidP="00A622E6">
      <w:pPr>
        <w:numPr>
          <w:ilvl w:val="0"/>
          <w:numId w:val="2"/>
        </w:numPr>
        <w:spacing w:after="0"/>
      </w:pPr>
      <w:r w:rsidRPr="00A622E6">
        <w:t>Structured information sharing between settings</w:t>
      </w:r>
    </w:p>
    <w:p w14:paraId="7A9DF8D1" w14:textId="77777777" w:rsidR="00A622E6" w:rsidRPr="00A622E6" w:rsidRDefault="00A622E6" w:rsidP="00A622E6">
      <w:pPr>
        <w:numPr>
          <w:ilvl w:val="0"/>
          <w:numId w:val="2"/>
        </w:numPr>
        <w:spacing w:after="0"/>
      </w:pPr>
      <w:r w:rsidRPr="00A622E6">
        <w:t>A record of support strategies and responses</w:t>
      </w:r>
    </w:p>
    <w:p w14:paraId="195F760B" w14:textId="77777777" w:rsidR="00A622E6" w:rsidRPr="00A622E6" w:rsidRDefault="00A622E6" w:rsidP="00A622E6">
      <w:pPr>
        <w:numPr>
          <w:ilvl w:val="0"/>
          <w:numId w:val="2"/>
        </w:numPr>
      </w:pPr>
      <w:r w:rsidRPr="00A622E6">
        <w:t>A mechanism for capturing pupil voice</w:t>
      </w:r>
    </w:p>
    <w:p w14:paraId="760CFFBE" w14:textId="11438DC8" w:rsidR="00A622E6" w:rsidRPr="00A622E6" w:rsidRDefault="00A622E6" w:rsidP="00A622E6">
      <w:r w:rsidRPr="00A622E6">
        <w:t>This supports schools in demonstrating that they remain responsible for pupils’ welfare and safety, even when education is delivered elsewhere.</w:t>
      </w:r>
    </w:p>
    <w:p w14:paraId="4E19BA6A" w14:textId="77777777" w:rsidR="00A622E6" w:rsidRPr="00A622E6" w:rsidRDefault="00A622E6" w:rsidP="00A622E6">
      <w:pPr>
        <w:pStyle w:val="Heading2"/>
      </w:pPr>
      <w:r w:rsidRPr="00A622E6">
        <w:t>Supporting Attendance, Behaviour and Attitudes</w:t>
      </w:r>
    </w:p>
    <w:p w14:paraId="4C115E75" w14:textId="77777777" w:rsidR="00A622E6" w:rsidRPr="00A622E6" w:rsidRDefault="00A622E6" w:rsidP="00A622E6">
      <w:r w:rsidRPr="00A622E6">
        <w:t xml:space="preserve">The toolkit emphasises that leaders must understand their pupils, the challenges they face and the impact of interventions over time. </w:t>
      </w:r>
    </w:p>
    <w:p w14:paraId="24CCB43F" w14:textId="77777777" w:rsidR="00A622E6" w:rsidRPr="00A622E6" w:rsidRDefault="00A622E6" w:rsidP="00A622E6">
      <w:pPr>
        <w:spacing w:after="0"/>
      </w:pPr>
      <w:r w:rsidRPr="00A622E6">
        <w:t>The framework enables schools and APs to:</w:t>
      </w:r>
    </w:p>
    <w:p w14:paraId="5C2BA6EF" w14:textId="77777777" w:rsidR="00A622E6" w:rsidRPr="00A622E6" w:rsidRDefault="00A622E6" w:rsidP="00A622E6">
      <w:pPr>
        <w:numPr>
          <w:ilvl w:val="0"/>
          <w:numId w:val="3"/>
        </w:numPr>
        <w:spacing w:after="0"/>
      </w:pPr>
      <w:r w:rsidRPr="00A622E6">
        <w:t>Identify underlying causes of behaviour or disengagement</w:t>
      </w:r>
    </w:p>
    <w:p w14:paraId="11AFF4B2" w14:textId="77777777" w:rsidR="00A622E6" w:rsidRPr="00A622E6" w:rsidRDefault="00A622E6" w:rsidP="00A622E6">
      <w:pPr>
        <w:numPr>
          <w:ilvl w:val="0"/>
          <w:numId w:val="3"/>
        </w:numPr>
        <w:spacing w:after="0"/>
      </w:pPr>
      <w:r w:rsidRPr="00A622E6">
        <w:t>Track improvements in self-management and resilience</w:t>
      </w:r>
    </w:p>
    <w:p w14:paraId="264B0A49" w14:textId="77777777" w:rsidR="00A622E6" w:rsidRPr="00A622E6" w:rsidRDefault="00A622E6" w:rsidP="00A622E6">
      <w:pPr>
        <w:numPr>
          <w:ilvl w:val="0"/>
          <w:numId w:val="3"/>
        </w:numPr>
        <w:spacing w:after="0"/>
      </w:pPr>
      <w:r w:rsidRPr="00A622E6">
        <w:t>Monitor motivation and readiness to learn</w:t>
      </w:r>
    </w:p>
    <w:p w14:paraId="27D66026" w14:textId="77777777" w:rsidR="00A622E6" w:rsidRPr="00A622E6" w:rsidRDefault="00A622E6" w:rsidP="00A622E6">
      <w:pPr>
        <w:numPr>
          <w:ilvl w:val="0"/>
          <w:numId w:val="3"/>
        </w:numPr>
        <w:spacing w:after="0"/>
      </w:pPr>
      <w:r w:rsidRPr="00A622E6">
        <w:t>Evaluate the impact of support strategies</w:t>
      </w:r>
    </w:p>
    <w:p w14:paraId="66334C2C" w14:textId="77777777" w:rsidR="00A622E6" w:rsidRPr="00A622E6" w:rsidRDefault="00A622E6" w:rsidP="00A622E6">
      <w:pPr>
        <w:numPr>
          <w:ilvl w:val="0"/>
          <w:numId w:val="3"/>
        </w:numPr>
      </w:pPr>
      <w:r w:rsidRPr="00A622E6">
        <w:t>Plan reintegration carefully</w:t>
      </w:r>
    </w:p>
    <w:p w14:paraId="2782F233" w14:textId="20348E1F" w:rsidR="00A622E6" w:rsidRPr="00A622E6" w:rsidRDefault="00A622E6" w:rsidP="00A622E6">
      <w:pPr>
        <w:rPr>
          <w:b/>
          <w:bCs/>
        </w:rPr>
      </w:pPr>
      <w:r w:rsidRPr="00A622E6">
        <w:t xml:space="preserve">Rather than focusing solely on incidents or sanctions, the framework </w:t>
      </w:r>
      <w:proofErr w:type="gramStart"/>
      <w:r w:rsidRPr="00A622E6">
        <w:t>evidences</w:t>
      </w:r>
      <w:proofErr w:type="gramEnd"/>
      <w:r w:rsidRPr="00A622E6">
        <w:t xml:space="preserve"> </w:t>
      </w:r>
      <w:r w:rsidRPr="00A622E6">
        <w:rPr>
          <w:b/>
          <w:bCs/>
        </w:rPr>
        <w:t>development in the skills required to succeed in school life.</w:t>
      </w:r>
    </w:p>
    <w:p w14:paraId="0D12A8AA" w14:textId="77777777" w:rsidR="00A622E6" w:rsidRPr="00A622E6" w:rsidRDefault="00A622E6" w:rsidP="00A622E6">
      <w:pPr>
        <w:pStyle w:val="Heading2"/>
        <w:spacing w:before="0"/>
      </w:pPr>
      <w:r w:rsidRPr="00A622E6">
        <w:t>Supporting Achievement</w:t>
      </w:r>
    </w:p>
    <w:p w14:paraId="1FDD3C6E" w14:textId="77777777" w:rsidR="00A622E6" w:rsidRPr="00A622E6" w:rsidRDefault="00A622E6" w:rsidP="00A622E6">
      <w:r w:rsidRPr="00A622E6">
        <w:t xml:space="preserve">Ofsted places strong emphasis on progress from starting points, particularly for pupils with SEND or disrupted education histories. </w:t>
      </w:r>
    </w:p>
    <w:p w14:paraId="68FC5A7C" w14:textId="77777777" w:rsidR="00A622E6" w:rsidRPr="00A622E6" w:rsidRDefault="00A622E6" w:rsidP="00A622E6">
      <w:r w:rsidRPr="00A622E6">
        <w:t>For many AP pupils, barriers to achievement are not primarily academic. This framework captures the personal and cognitive development that enables learning to resume.</w:t>
      </w:r>
    </w:p>
    <w:p w14:paraId="3428393D" w14:textId="65925C13" w:rsidR="00A622E6" w:rsidRPr="00A622E6" w:rsidRDefault="00A622E6" w:rsidP="00A622E6">
      <w:pPr>
        <w:spacing w:after="0"/>
      </w:pPr>
      <w:r w:rsidRPr="00A622E6">
        <w:t>Schools can therefore demonstrate that pupils are becoming:</w:t>
      </w:r>
    </w:p>
    <w:p w14:paraId="0628AC1C" w14:textId="77777777" w:rsidR="00A622E6" w:rsidRPr="00A622E6" w:rsidRDefault="00A622E6" w:rsidP="00A622E6">
      <w:pPr>
        <w:numPr>
          <w:ilvl w:val="0"/>
          <w:numId w:val="4"/>
        </w:numPr>
        <w:spacing w:after="0"/>
      </w:pPr>
      <w:r w:rsidRPr="00A622E6">
        <w:t>More ready to access the curriculum</w:t>
      </w:r>
    </w:p>
    <w:p w14:paraId="615F6491" w14:textId="77777777" w:rsidR="00A622E6" w:rsidRPr="00A622E6" w:rsidRDefault="00A622E6" w:rsidP="00A622E6">
      <w:pPr>
        <w:numPr>
          <w:ilvl w:val="0"/>
          <w:numId w:val="4"/>
        </w:numPr>
        <w:spacing w:after="0"/>
      </w:pPr>
      <w:r w:rsidRPr="00A622E6">
        <w:t>Better able to regulate behaviour</w:t>
      </w:r>
    </w:p>
    <w:p w14:paraId="23A209EF" w14:textId="77777777" w:rsidR="00A622E6" w:rsidRPr="00A622E6" w:rsidRDefault="00A622E6" w:rsidP="00A622E6">
      <w:pPr>
        <w:numPr>
          <w:ilvl w:val="0"/>
          <w:numId w:val="4"/>
        </w:numPr>
        <w:spacing w:after="0"/>
      </w:pPr>
      <w:r w:rsidRPr="00A622E6">
        <w:t>More engaged in learning</w:t>
      </w:r>
    </w:p>
    <w:p w14:paraId="1A63E7F3" w14:textId="77777777" w:rsidR="00A622E6" w:rsidRPr="00A622E6" w:rsidRDefault="00A622E6" w:rsidP="00A622E6">
      <w:pPr>
        <w:numPr>
          <w:ilvl w:val="0"/>
          <w:numId w:val="4"/>
        </w:numPr>
        <w:spacing w:after="0"/>
      </w:pPr>
      <w:r w:rsidRPr="00A622E6">
        <w:t>Increasingly independent</w:t>
      </w:r>
    </w:p>
    <w:p w14:paraId="05C60BC1" w14:textId="77777777" w:rsidR="00A622E6" w:rsidRPr="00A622E6" w:rsidRDefault="00A622E6" w:rsidP="00A622E6">
      <w:pPr>
        <w:numPr>
          <w:ilvl w:val="0"/>
          <w:numId w:val="4"/>
        </w:numPr>
      </w:pPr>
      <w:r w:rsidRPr="00A622E6">
        <w:t>Prepared for their next stage</w:t>
      </w:r>
    </w:p>
    <w:p w14:paraId="04295430" w14:textId="47C5FB39" w:rsidR="00A622E6" w:rsidRPr="00A622E6" w:rsidRDefault="00A622E6" w:rsidP="00A622E6">
      <w:pPr>
        <w:spacing w:after="240"/>
      </w:pPr>
      <w:r w:rsidRPr="00A622E6">
        <w:t>This provides a fuller picture of achievement, particularly where national test data is limited or not applicable.</w:t>
      </w:r>
    </w:p>
    <w:p w14:paraId="70E1B77A" w14:textId="77777777" w:rsidR="00A622E6" w:rsidRPr="00A622E6" w:rsidRDefault="00A622E6" w:rsidP="00A622E6">
      <w:pPr>
        <w:pStyle w:val="Heading2"/>
        <w:spacing w:before="0"/>
      </w:pPr>
      <w:r w:rsidRPr="00A622E6">
        <w:lastRenderedPageBreak/>
        <w:t>Supporting Successful Transitions and Reintegration</w:t>
      </w:r>
    </w:p>
    <w:p w14:paraId="1E48C207" w14:textId="77777777" w:rsidR="00A622E6" w:rsidRPr="00A622E6" w:rsidRDefault="00A622E6" w:rsidP="00A622E6">
      <w:r w:rsidRPr="00A622E6">
        <w:t xml:space="preserve">The toolkit highlights the importance of supporting transitions between settings, including into and out of Alternative Provision. </w:t>
      </w:r>
    </w:p>
    <w:p w14:paraId="36CC9925" w14:textId="54EA49BE" w:rsidR="00A622E6" w:rsidRPr="00A622E6" w:rsidRDefault="00A622E6" w:rsidP="00A622E6">
      <w:r w:rsidRPr="00A622E6">
        <w:t xml:space="preserve">This framework is specifically designed </w:t>
      </w:r>
      <w:r>
        <w:t xml:space="preserve">to support </w:t>
      </w:r>
      <w:r w:rsidRPr="00A622E6">
        <w:t>transition.</w:t>
      </w:r>
    </w:p>
    <w:p w14:paraId="621BE30D" w14:textId="77777777" w:rsidR="00A622E6" w:rsidRPr="00A622E6" w:rsidRDefault="00A622E6" w:rsidP="00A622E6">
      <w:pPr>
        <w:pStyle w:val="Heading3"/>
      </w:pPr>
      <w:r w:rsidRPr="00A622E6">
        <w:t>It supports reintegration by:</w:t>
      </w:r>
    </w:p>
    <w:p w14:paraId="62E255EB" w14:textId="77777777" w:rsidR="00A622E6" w:rsidRPr="00A622E6" w:rsidRDefault="00A622E6" w:rsidP="00A622E6">
      <w:pPr>
        <w:pStyle w:val="Heading4"/>
      </w:pPr>
      <w:r w:rsidRPr="00A622E6">
        <w:t>1. Building the pupil’s capacity to succeed</w:t>
      </w:r>
    </w:p>
    <w:p w14:paraId="2006FD4D" w14:textId="77777777" w:rsidR="00A622E6" w:rsidRPr="00A622E6" w:rsidRDefault="00A622E6" w:rsidP="00A622E6">
      <w:r w:rsidRPr="00A622E6">
        <w:t>Interventions target the skills needed for mainstream participation, such as emotional regulation, communication and resilience.</w:t>
      </w:r>
    </w:p>
    <w:p w14:paraId="47304026" w14:textId="77777777" w:rsidR="00A622E6" w:rsidRPr="00A622E6" w:rsidRDefault="00A622E6" w:rsidP="00A622E6">
      <w:pPr>
        <w:pStyle w:val="Heading4"/>
      </w:pPr>
      <w:r w:rsidRPr="00A622E6">
        <w:t>2. Providing a shared understanding of needs</w:t>
      </w:r>
    </w:p>
    <w:p w14:paraId="2119CF18" w14:textId="77777777" w:rsidR="00A622E6" w:rsidRPr="00A622E6" w:rsidRDefault="00A622E6" w:rsidP="00A622E6">
      <w:pPr>
        <w:spacing w:after="0"/>
      </w:pPr>
      <w:r w:rsidRPr="00A622E6">
        <w:t>Receiving schools gain clear insight into:</w:t>
      </w:r>
    </w:p>
    <w:p w14:paraId="762A84A9" w14:textId="77777777" w:rsidR="00A622E6" w:rsidRPr="00A622E6" w:rsidRDefault="00A622E6" w:rsidP="00A622E6">
      <w:pPr>
        <w:numPr>
          <w:ilvl w:val="0"/>
          <w:numId w:val="5"/>
        </w:numPr>
        <w:spacing w:after="0"/>
      </w:pPr>
      <w:r w:rsidRPr="00A622E6">
        <w:t>Strengths</w:t>
      </w:r>
    </w:p>
    <w:p w14:paraId="58304965" w14:textId="77777777" w:rsidR="00A622E6" w:rsidRPr="00A622E6" w:rsidRDefault="00A622E6" w:rsidP="00A622E6">
      <w:pPr>
        <w:numPr>
          <w:ilvl w:val="0"/>
          <w:numId w:val="5"/>
        </w:numPr>
        <w:spacing w:after="0"/>
      </w:pPr>
      <w:r w:rsidRPr="00A622E6">
        <w:t>Triggers and risks</w:t>
      </w:r>
    </w:p>
    <w:p w14:paraId="4F7C8739" w14:textId="77777777" w:rsidR="00A622E6" w:rsidRPr="00A622E6" w:rsidRDefault="00A622E6" w:rsidP="00A622E6">
      <w:pPr>
        <w:numPr>
          <w:ilvl w:val="0"/>
          <w:numId w:val="5"/>
        </w:numPr>
        <w:spacing w:after="0"/>
      </w:pPr>
      <w:r w:rsidRPr="00A622E6">
        <w:t>Effective strategies</w:t>
      </w:r>
    </w:p>
    <w:p w14:paraId="775C863F" w14:textId="77777777" w:rsidR="00A622E6" w:rsidRPr="00A622E6" w:rsidRDefault="00A622E6" w:rsidP="00A622E6">
      <w:pPr>
        <w:numPr>
          <w:ilvl w:val="0"/>
          <w:numId w:val="5"/>
        </w:numPr>
        <w:spacing w:after="0"/>
      </w:pPr>
      <w:r w:rsidRPr="00A622E6">
        <w:t>Remaining barriers</w:t>
      </w:r>
    </w:p>
    <w:p w14:paraId="33971859" w14:textId="77777777" w:rsidR="00A622E6" w:rsidRPr="00A622E6" w:rsidRDefault="00A622E6" w:rsidP="00A622E6">
      <w:pPr>
        <w:numPr>
          <w:ilvl w:val="0"/>
          <w:numId w:val="5"/>
        </w:numPr>
      </w:pPr>
      <w:r w:rsidRPr="00A622E6">
        <w:t>Progress achieved</w:t>
      </w:r>
    </w:p>
    <w:p w14:paraId="468DD2BE" w14:textId="77777777" w:rsidR="00A622E6" w:rsidRPr="00A622E6" w:rsidRDefault="00A622E6" w:rsidP="00A622E6">
      <w:pPr>
        <w:pStyle w:val="Heading4"/>
      </w:pPr>
      <w:r w:rsidRPr="00A622E6">
        <w:t>3. Enabling planned, staged reintegration</w:t>
      </w:r>
    </w:p>
    <w:p w14:paraId="49DA96A5" w14:textId="77777777" w:rsidR="00A622E6" w:rsidRPr="00A622E6" w:rsidRDefault="00A622E6" w:rsidP="00A622E6">
      <w:pPr>
        <w:spacing w:after="0"/>
      </w:pPr>
      <w:r w:rsidRPr="00A622E6">
        <w:t>Data can inform decisions about:</w:t>
      </w:r>
    </w:p>
    <w:p w14:paraId="61D206B0" w14:textId="77777777" w:rsidR="00A622E6" w:rsidRPr="00A622E6" w:rsidRDefault="00A622E6" w:rsidP="00A622E6">
      <w:pPr>
        <w:numPr>
          <w:ilvl w:val="0"/>
          <w:numId w:val="6"/>
        </w:numPr>
        <w:spacing w:after="0"/>
      </w:pPr>
      <w:r w:rsidRPr="00A622E6">
        <w:t>Timetables</w:t>
      </w:r>
    </w:p>
    <w:p w14:paraId="51578A78" w14:textId="77777777" w:rsidR="00A622E6" w:rsidRPr="00A622E6" w:rsidRDefault="00A622E6" w:rsidP="00A622E6">
      <w:pPr>
        <w:numPr>
          <w:ilvl w:val="0"/>
          <w:numId w:val="6"/>
        </w:numPr>
        <w:spacing w:after="0"/>
      </w:pPr>
      <w:r w:rsidRPr="00A622E6">
        <w:t>Support levels</w:t>
      </w:r>
    </w:p>
    <w:p w14:paraId="2667F317" w14:textId="77777777" w:rsidR="00A622E6" w:rsidRPr="00A622E6" w:rsidRDefault="00A622E6" w:rsidP="00A622E6">
      <w:pPr>
        <w:numPr>
          <w:ilvl w:val="0"/>
          <w:numId w:val="6"/>
        </w:numPr>
        <w:spacing w:after="0"/>
      </w:pPr>
      <w:r w:rsidRPr="00A622E6">
        <w:t>Environmental adaptations</w:t>
      </w:r>
    </w:p>
    <w:p w14:paraId="7CE5767E" w14:textId="77777777" w:rsidR="00A622E6" w:rsidRPr="00A622E6" w:rsidRDefault="00A622E6" w:rsidP="00A622E6">
      <w:pPr>
        <w:numPr>
          <w:ilvl w:val="0"/>
          <w:numId w:val="6"/>
        </w:numPr>
        <w:spacing w:after="0"/>
      </w:pPr>
      <w:r w:rsidRPr="00A622E6">
        <w:t>Staff awareness</w:t>
      </w:r>
    </w:p>
    <w:p w14:paraId="09FFC85F" w14:textId="77777777" w:rsidR="00A622E6" w:rsidRPr="00A622E6" w:rsidRDefault="00A622E6" w:rsidP="00A622E6">
      <w:pPr>
        <w:numPr>
          <w:ilvl w:val="0"/>
          <w:numId w:val="6"/>
        </w:numPr>
      </w:pPr>
      <w:r w:rsidRPr="00A622E6">
        <w:t>Ongoing monitoring</w:t>
      </w:r>
    </w:p>
    <w:p w14:paraId="34B69D15" w14:textId="77777777" w:rsidR="00A622E6" w:rsidRPr="00A622E6" w:rsidRDefault="00A622E6" w:rsidP="00A622E6">
      <w:pPr>
        <w:pStyle w:val="Heading4"/>
      </w:pPr>
      <w:r w:rsidRPr="00A622E6">
        <w:t>4. Reducing the risk of reintegration breakdown</w:t>
      </w:r>
    </w:p>
    <w:p w14:paraId="5CB50DC9" w14:textId="77777777" w:rsidR="00A622E6" w:rsidRPr="00A622E6" w:rsidRDefault="00A622E6" w:rsidP="00A622E6">
      <w:r w:rsidRPr="00A622E6">
        <w:t>By anticipating challenges and maintaining continuity of support.</w:t>
      </w:r>
    </w:p>
    <w:p w14:paraId="06482955" w14:textId="57B87B7F" w:rsidR="00A622E6" w:rsidRPr="00A622E6" w:rsidRDefault="00A622E6" w:rsidP="00A622E6">
      <w:pPr>
        <w:pStyle w:val="Heading2"/>
      </w:pPr>
      <w:r w:rsidRPr="00A622E6">
        <w:t>Data Transfer Between Settings</w:t>
      </w:r>
    </w:p>
    <w:p w14:paraId="19666458" w14:textId="77777777" w:rsidR="00A622E6" w:rsidRPr="00A622E6" w:rsidRDefault="00A622E6" w:rsidP="00A622E6">
      <w:r w:rsidRPr="00A622E6">
        <w:t>One of the most powerful features of the framework is its ability to travel with the pupil.</w:t>
      </w:r>
    </w:p>
    <w:p w14:paraId="08243BDE" w14:textId="77777777" w:rsidR="00A622E6" w:rsidRPr="00A622E6" w:rsidRDefault="00A622E6" w:rsidP="00A622E6">
      <w:pPr>
        <w:rPr>
          <w:b/>
          <w:bCs/>
        </w:rPr>
      </w:pPr>
      <w:r w:rsidRPr="00A622E6">
        <w:rPr>
          <w:b/>
          <w:bCs/>
        </w:rPr>
        <w:t>Information can be shared between:</w:t>
      </w:r>
    </w:p>
    <w:p w14:paraId="71197A74" w14:textId="77777777" w:rsidR="00A622E6" w:rsidRPr="00A622E6" w:rsidRDefault="00A622E6" w:rsidP="00A622E6">
      <w:pPr>
        <w:numPr>
          <w:ilvl w:val="0"/>
          <w:numId w:val="7"/>
        </w:numPr>
        <w:spacing w:after="0"/>
      </w:pPr>
      <w:r w:rsidRPr="00A622E6">
        <w:t>Home school → Alternative Provision</w:t>
      </w:r>
    </w:p>
    <w:p w14:paraId="797BA6ED" w14:textId="77777777" w:rsidR="00A622E6" w:rsidRPr="00A622E6" w:rsidRDefault="00A622E6" w:rsidP="00A622E6">
      <w:pPr>
        <w:numPr>
          <w:ilvl w:val="0"/>
          <w:numId w:val="7"/>
        </w:numPr>
        <w:spacing w:after="0"/>
      </w:pPr>
      <w:r w:rsidRPr="00A622E6">
        <w:t>Alternative Provision → Home school</w:t>
      </w:r>
    </w:p>
    <w:p w14:paraId="17BFDCCB" w14:textId="77777777" w:rsidR="00A622E6" w:rsidRPr="00A622E6" w:rsidRDefault="00A622E6" w:rsidP="00A622E6">
      <w:pPr>
        <w:numPr>
          <w:ilvl w:val="0"/>
          <w:numId w:val="7"/>
        </w:numPr>
        <w:spacing w:after="0"/>
      </w:pPr>
      <w:r w:rsidRPr="00A622E6">
        <w:t>School → School</w:t>
      </w:r>
    </w:p>
    <w:p w14:paraId="3686139D" w14:textId="77777777" w:rsidR="00A622E6" w:rsidRPr="00A622E6" w:rsidRDefault="00A622E6" w:rsidP="00A622E6">
      <w:pPr>
        <w:numPr>
          <w:ilvl w:val="0"/>
          <w:numId w:val="7"/>
        </w:numPr>
        <w:spacing w:after="0"/>
      </w:pPr>
      <w:r w:rsidRPr="00A622E6">
        <w:t>School/AP → Local Authority</w:t>
      </w:r>
    </w:p>
    <w:p w14:paraId="50AB4CE5" w14:textId="77777777" w:rsidR="00A622E6" w:rsidRPr="00A622E6" w:rsidRDefault="00A622E6" w:rsidP="00A622E6">
      <w:pPr>
        <w:numPr>
          <w:ilvl w:val="0"/>
          <w:numId w:val="7"/>
        </w:numPr>
      </w:pPr>
      <w:r w:rsidRPr="00A622E6">
        <w:t xml:space="preserve">School/AP → </w:t>
      </w:r>
      <w:proofErr w:type="gramStart"/>
      <w:r w:rsidRPr="00A622E6">
        <w:t>Multi-agency</w:t>
      </w:r>
      <w:proofErr w:type="gramEnd"/>
      <w:r w:rsidRPr="00A622E6">
        <w:t xml:space="preserve"> teams</w:t>
      </w:r>
    </w:p>
    <w:p w14:paraId="56B1C562" w14:textId="77777777" w:rsidR="00A622E6" w:rsidRPr="00A622E6" w:rsidRDefault="00A622E6" w:rsidP="00A622E6">
      <w:r w:rsidRPr="00A622E6">
        <w:t>This creates continuity of understanding rather than restarting assessment each time a pupil moves.</w:t>
      </w:r>
    </w:p>
    <w:p w14:paraId="56ECBF5F" w14:textId="77777777" w:rsidR="00A622E6" w:rsidRDefault="00A622E6" w:rsidP="00A622E6">
      <w:pPr>
        <w:rPr>
          <w:b/>
          <w:bCs/>
        </w:rPr>
      </w:pPr>
    </w:p>
    <w:p w14:paraId="5445A08F" w14:textId="6C4E1C9B" w:rsidR="00A622E6" w:rsidRPr="00A622E6" w:rsidRDefault="00A622E6" w:rsidP="00A622E6">
      <w:pPr>
        <w:pStyle w:val="Heading2"/>
      </w:pPr>
      <w:r w:rsidRPr="00A622E6">
        <w:lastRenderedPageBreak/>
        <w:t>What Transfers and Why It Matters</w:t>
      </w:r>
    </w:p>
    <w:p w14:paraId="0E2D7A60" w14:textId="77777777" w:rsidR="00A622E6" w:rsidRPr="00A622E6" w:rsidRDefault="00A622E6" w:rsidP="00A622E6">
      <w:pPr>
        <w:pStyle w:val="Heading3"/>
      </w:pPr>
      <w:r w:rsidRPr="00A622E6">
        <w:t>A shared profile of the learner</w:t>
      </w:r>
    </w:p>
    <w:p w14:paraId="01BC61FC" w14:textId="77777777" w:rsidR="00A622E6" w:rsidRPr="00A622E6" w:rsidRDefault="00A622E6" w:rsidP="00A622E6">
      <w:r w:rsidRPr="00A622E6">
        <w:t>Instead of a simple handover report, schools receive structured insight into:</w:t>
      </w:r>
    </w:p>
    <w:p w14:paraId="3307C15C" w14:textId="77777777" w:rsidR="00A622E6" w:rsidRPr="00A622E6" w:rsidRDefault="00A622E6" w:rsidP="00A622E6">
      <w:pPr>
        <w:numPr>
          <w:ilvl w:val="0"/>
          <w:numId w:val="8"/>
        </w:numPr>
        <w:spacing w:after="0"/>
      </w:pPr>
      <w:r w:rsidRPr="00A622E6">
        <w:t>Development across key domains</w:t>
      </w:r>
    </w:p>
    <w:p w14:paraId="4B91C4D5" w14:textId="77777777" w:rsidR="00A622E6" w:rsidRPr="00A622E6" w:rsidRDefault="00A622E6" w:rsidP="00A622E6">
      <w:pPr>
        <w:numPr>
          <w:ilvl w:val="0"/>
          <w:numId w:val="8"/>
        </w:numPr>
        <w:spacing w:after="0"/>
      </w:pPr>
      <w:r w:rsidRPr="00A622E6">
        <w:t>Current strengths</w:t>
      </w:r>
    </w:p>
    <w:p w14:paraId="32390B21" w14:textId="77777777" w:rsidR="00A622E6" w:rsidRPr="00A622E6" w:rsidRDefault="00A622E6" w:rsidP="00A622E6">
      <w:pPr>
        <w:numPr>
          <w:ilvl w:val="0"/>
          <w:numId w:val="8"/>
        </w:numPr>
        <w:spacing w:after="0"/>
      </w:pPr>
      <w:r w:rsidRPr="00A622E6">
        <w:t>Areas of need</w:t>
      </w:r>
    </w:p>
    <w:p w14:paraId="516CAC1B" w14:textId="77777777" w:rsidR="00A622E6" w:rsidRPr="00A622E6" w:rsidRDefault="00A622E6" w:rsidP="00A622E6">
      <w:pPr>
        <w:numPr>
          <w:ilvl w:val="0"/>
          <w:numId w:val="8"/>
        </w:numPr>
        <w:spacing w:after="0"/>
      </w:pPr>
      <w:r w:rsidRPr="00A622E6">
        <w:t>Environmental sensitivities</w:t>
      </w:r>
    </w:p>
    <w:p w14:paraId="51136DB6" w14:textId="77777777" w:rsidR="00A622E6" w:rsidRPr="00A622E6" w:rsidRDefault="00A622E6" w:rsidP="00A622E6">
      <w:pPr>
        <w:numPr>
          <w:ilvl w:val="0"/>
          <w:numId w:val="8"/>
        </w:numPr>
        <w:spacing w:after="0"/>
      </w:pPr>
      <w:r w:rsidRPr="00A622E6">
        <w:t>Learning readiness</w:t>
      </w:r>
    </w:p>
    <w:p w14:paraId="7164BA27" w14:textId="77777777" w:rsidR="00A622E6" w:rsidRPr="00A622E6" w:rsidRDefault="00A622E6" w:rsidP="00A622E6">
      <w:pPr>
        <w:numPr>
          <w:ilvl w:val="0"/>
          <w:numId w:val="8"/>
        </w:numPr>
      </w:pPr>
      <w:r w:rsidRPr="00A622E6">
        <w:t>Social functioning</w:t>
      </w:r>
    </w:p>
    <w:p w14:paraId="66A844A3" w14:textId="4CD63CDB" w:rsidR="00A622E6" w:rsidRPr="00A622E6" w:rsidRDefault="00A622E6" w:rsidP="00A622E6">
      <w:pPr>
        <w:pStyle w:val="Heading3"/>
      </w:pPr>
      <w:r w:rsidRPr="00A622E6">
        <w:t>Evidence of progress over time</w:t>
      </w:r>
    </w:p>
    <w:p w14:paraId="605E035F" w14:textId="77777777" w:rsidR="00A622E6" w:rsidRPr="00A622E6" w:rsidRDefault="00A622E6" w:rsidP="00A622E6">
      <w:r w:rsidRPr="00A622E6">
        <w:t>Receiving schools can see:</w:t>
      </w:r>
    </w:p>
    <w:p w14:paraId="11B42B68" w14:textId="77777777" w:rsidR="00A622E6" w:rsidRPr="00A622E6" w:rsidRDefault="00A622E6" w:rsidP="00A622E6">
      <w:pPr>
        <w:numPr>
          <w:ilvl w:val="0"/>
          <w:numId w:val="9"/>
        </w:numPr>
        <w:spacing w:after="0"/>
      </w:pPr>
      <w:r w:rsidRPr="00A622E6">
        <w:t>Starting points on entry to AP</w:t>
      </w:r>
    </w:p>
    <w:p w14:paraId="47F1EABB" w14:textId="77777777" w:rsidR="00A622E6" w:rsidRPr="00A622E6" w:rsidRDefault="00A622E6" w:rsidP="00A622E6">
      <w:pPr>
        <w:numPr>
          <w:ilvl w:val="0"/>
          <w:numId w:val="9"/>
        </w:numPr>
        <w:spacing w:after="0"/>
      </w:pPr>
      <w:r w:rsidRPr="00A622E6">
        <w:t>Interventions delivered</w:t>
      </w:r>
    </w:p>
    <w:p w14:paraId="26C6D962" w14:textId="77777777" w:rsidR="00A622E6" w:rsidRPr="00A622E6" w:rsidRDefault="00A622E6" w:rsidP="00A622E6">
      <w:pPr>
        <w:numPr>
          <w:ilvl w:val="0"/>
          <w:numId w:val="9"/>
        </w:numPr>
        <w:spacing w:after="0"/>
      </w:pPr>
      <w:r w:rsidRPr="00A622E6">
        <w:t>Impact achieved</w:t>
      </w:r>
    </w:p>
    <w:p w14:paraId="358E4916" w14:textId="77777777" w:rsidR="00A622E6" w:rsidRPr="00A622E6" w:rsidRDefault="00A622E6" w:rsidP="00A622E6">
      <w:pPr>
        <w:numPr>
          <w:ilvl w:val="0"/>
          <w:numId w:val="9"/>
        </w:numPr>
      </w:pPr>
      <w:r w:rsidRPr="00A622E6">
        <w:t>Remaining priorities</w:t>
      </w:r>
    </w:p>
    <w:p w14:paraId="2E96AB95" w14:textId="77777777" w:rsidR="00A622E6" w:rsidRPr="00A622E6" w:rsidRDefault="00A622E6" w:rsidP="00A622E6">
      <w:r w:rsidRPr="00A622E6">
        <w:t>This supports inspectors’ focus on progress from starting points and sustained improvement.</w:t>
      </w:r>
    </w:p>
    <w:p w14:paraId="12EB1206" w14:textId="77777777" w:rsidR="00A622E6" w:rsidRPr="00A622E6" w:rsidRDefault="00A622E6" w:rsidP="00A622E6">
      <w:pPr>
        <w:pStyle w:val="Heading3"/>
      </w:pPr>
      <w:r w:rsidRPr="00A622E6">
        <w:t>Effective strategies</w:t>
      </w:r>
    </w:p>
    <w:p w14:paraId="5F1F1BC9" w14:textId="77777777" w:rsidR="00A622E6" w:rsidRPr="00A622E6" w:rsidRDefault="00A622E6" w:rsidP="00A622E6">
      <w:r w:rsidRPr="00A622E6">
        <w:t>Crucially, the framework communicates:</w:t>
      </w:r>
    </w:p>
    <w:p w14:paraId="4779E348" w14:textId="77777777" w:rsidR="00A622E6" w:rsidRPr="00A622E6" w:rsidRDefault="00A622E6" w:rsidP="00A622E6">
      <w:pPr>
        <w:numPr>
          <w:ilvl w:val="0"/>
          <w:numId w:val="10"/>
        </w:numPr>
        <w:spacing w:after="0"/>
      </w:pPr>
      <w:r w:rsidRPr="00A622E6">
        <w:t>What works</w:t>
      </w:r>
    </w:p>
    <w:p w14:paraId="2A112543" w14:textId="77777777" w:rsidR="00A622E6" w:rsidRPr="00A622E6" w:rsidRDefault="00A622E6" w:rsidP="00A622E6">
      <w:pPr>
        <w:numPr>
          <w:ilvl w:val="0"/>
          <w:numId w:val="10"/>
        </w:numPr>
        <w:spacing w:after="0"/>
      </w:pPr>
      <w:r w:rsidRPr="00A622E6">
        <w:t>What does not work</w:t>
      </w:r>
    </w:p>
    <w:p w14:paraId="6ECF4897" w14:textId="77777777" w:rsidR="00A622E6" w:rsidRPr="00A622E6" w:rsidRDefault="00A622E6" w:rsidP="00A622E6">
      <w:pPr>
        <w:numPr>
          <w:ilvl w:val="0"/>
          <w:numId w:val="10"/>
        </w:numPr>
        <w:spacing w:after="0"/>
      </w:pPr>
      <w:r w:rsidRPr="00A622E6">
        <w:t>How support should be delivered</w:t>
      </w:r>
    </w:p>
    <w:p w14:paraId="2120AD1D" w14:textId="77777777" w:rsidR="00A622E6" w:rsidRPr="00A622E6" w:rsidRDefault="00A622E6" w:rsidP="00A622E6">
      <w:pPr>
        <w:numPr>
          <w:ilvl w:val="0"/>
          <w:numId w:val="10"/>
        </w:numPr>
      </w:pPr>
      <w:r w:rsidRPr="00A622E6">
        <w:t>Early warning signs of difficulty</w:t>
      </w:r>
    </w:p>
    <w:p w14:paraId="7D9DE682" w14:textId="77777777" w:rsidR="00A622E6" w:rsidRPr="00A622E6" w:rsidRDefault="00A622E6" w:rsidP="00A622E6">
      <w:r w:rsidRPr="00A622E6">
        <w:t>This prevents the loss of valuable professional knowledge during transition.</w:t>
      </w:r>
    </w:p>
    <w:p w14:paraId="129DD932" w14:textId="1D264B94" w:rsidR="00A622E6" w:rsidRPr="00A622E6" w:rsidRDefault="00A622E6" w:rsidP="00A622E6">
      <w:pPr>
        <w:pStyle w:val="Heading3"/>
      </w:pPr>
      <w:r w:rsidRPr="00A622E6">
        <w:t>A common language across settings</w:t>
      </w:r>
    </w:p>
    <w:p w14:paraId="4CA21074" w14:textId="77777777" w:rsidR="00A622E6" w:rsidRPr="00A622E6" w:rsidRDefault="00A622E6" w:rsidP="00A622E6">
      <w:r w:rsidRPr="00A622E6">
        <w:t>Because both settings use the same domains and descriptors:</w:t>
      </w:r>
    </w:p>
    <w:p w14:paraId="005E2250" w14:textId="77777777" w:rsidR="00A622E6" w:rsidRPr="00A622E6" w:rsidRDefault="00A622E6" w:rsidP="00A622E6">
      <w:r w:rsidRPr="00A622E6">
        <w:rPr>
          <w:rFonts w:ascii="Segoe UI Symbol" w:hAnsi="Segoe UI Symbol" w:cs="Segoe UI Symbol"/>
        </w:rPr>
        <w:t>✔</w:t>
      </w:r>
      <w:r w:rsidRPr="00A622E6">
        <w:t xml:space="preserve"> Communication is clearer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Planning is faster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Support is consistent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Expectations are aligned</w:t>
      </w:r>
      <w:r w:rsidRPr="00A622E6">
        <w:br/>
      </w:r>
      <w:r w:rsidRPr="00A622E6">
        <w:rPr>
          <w:rFonts w:ascii="Segoe UI Symbol" w:hAnsi="Segoe UI Symbol" w:cs="Segoe UI Symbol"/>
        </w:rPr>
        <w:t>✔</w:t>
      </w:r>
      <w:r w:rsidRPr="00A622E6">
        <w:t xml:space="preserve"> Accountability is strengthened</w:t>
      </w:r>
    </w:p>
    <w:p w14:paraId="36570751" w14:textId="090CB7D8" w:rsidR="00A622E6" w:rsidRPr="00A622E6" w:rsidRDefault="00A622E6" w:rsidP="00A622E6"/>
    <w:p w14:paraId="469066A4" w14:textId="77777777" w:rsidR="00A622E6" w:rsidRDefault="00A622E6">
      <w:pPr>
        <w:rPr>
          <w:rFonts w:eastAsiaTheme="majorEastAsia" w:cstheme="majorBidi"/>
          <w:color w:val="0F4761" w:themeColor="accent1" w:themeShade="BF"/>
          <w:sz w:val="32"/>
          <w:szCs w:val="28"/>
        </w:rPr>
      </w:pPr>
      <w:r>
        <w:br w:type="page"/>
      </w:r>
    </w:p>
    <w:p w14:paraId="43C0875E" w14:textId="560630F1" w:rsidR="00A622E6" w:rsidRPr="00A622E6" w:rsidRDefault="00A622E6" w:rsidP="00A622E6">
      <w:pPr>
        <w:pStyle w:val="Heading3"/>
      </w:pPr>
      <w:r w:rsidRPr="00A622E6">
        <w:lastRenderedPageBreak/>
        <w:t>Maintaining Ongoing Understanding</w:t>
      </w:r>
    </w:p>
    <w:p w14:paraId="4C15FA50" w14:textId="77777777" w:rsidR="00A622E6" w:rsidRPr="00A622E6" w:rsidRDefault="00A622E6" w:rsidP="00A622E6">
      <w:r w:rsidRPr="00A622E6">
        <w:t>The framework can continue to be used after reintegration to:</w:t>
      </w:r>
    </w:p>
    <w:p w14:paraId="0230AEC0" w14:textId="77777777" w:rsidR="00A622E6" w:rsidRPr="00A622E6" w:rsidRDefault="00A622E6" w:rsidP="00A622E6">
      <w:pPr>
        <w:numPr>
          <w:ilvl w:val="0"/>
          <w:numId w:val="11"/>
        </w:numPr>
        <w:spacing w:after="0"/>
      </w:pPr>
      <w:r w:rsidRPr="00A622E6">
        <w:t>Monitor adjustment to mainstream</w:t>
      </w:r>
    </w:p>
    <w:p w14:paraId="20ACAD81" w14:textId="77777777" w:rsidR="00A622E6" w:rsidRPr="00A622E6" w:rsidRDefault="00A622E6" w:rsidP="00A622E6">
      <w:pPr>
        <w:numPr>
          <w:ilvl w:val="0"/>
          <w:numId w:val="11"/>
        </w:numPr>
        <w:spacing w:after="0"/>
      </w:pPr>
      <w:r w:rsidRPr="00A622E6">
        <w:t>Identify emerging difficulties early</w:t>
      </w:r>
    </w:p>
    <w:p w14:paraId="1B88F8B9" w14:textId="77777777" w:rsidR="00A622E6" w:rsidRPr="00A622E6" w:rsidRDefault="00A622E6" w:rsidP="00A622E6">
      <w:pPr>
        <w:numPr>
          <w:ilvl w:val="0"/>
          <w:numId w:val="11"/>
        </w:numPr>
        <w:spacing w:after="0"/>
      </w:pPr>
      <w:r w:rsidRPr="00A622E6">
        <w:t>Support reviews of provision</w:t>
      </w:r>
    </w:p>
    <w:p w14:paraId="70BA86EE" w14:textId="77777777" w:rsidR="00A622E6" w:rsidRPr="00A622E6" w:rsidRDefault="00A622E6" w:rsidP="00A622E6">
      <w:pPr>
        <w:numPr>
          <w:ilvl w:val="0"/>
          <w:numId w:val="11"/>
        </w:numPr>
        <w:spacing w:after="0"/>
      </w:pPr>
      <w:r w:rsidRPr="00A622E6">
        <w:t>Inform EHCP reviews where relevant</w:t>
      </w:r>
    </w:p>
    <w:p w14:paraId="3ED73B5E" w14:textId="77777777" w:rsidR="00A622E6" w:rsidRPr="00A622E6" w:rsidRDefault="00A622E6" w:rsidP="00A622E6">
      <w:pPr>
        <w:numPr>
          <w:ilvl w:val="0"/>
          <w:numId w:val="11"/>
        </w:numPr>
      </w:pPr>
      <w:r w:rsidRPr="00A622E6">
        <w:t>Demonstrate sustained progress</w:t>
      </w:r>
    </w:p>
    <w:p w14:paraId="620D55FF" w14:textId="77777777" w:rsidR="00A622E6" w:rsidRPr="00A622E6" w:rsidRDefault="00A622E6" w:rsidP="00A622E6">
      <w:r w:rsidRPr="00A622E6">
        <w:t>This supports the toolkit’s emphasis on continuous improvement rather than one-off intervention.</w:t>
      </w:r>
    </w:p>
    <w:p w14:paraId="503647A3" w14:textId="77777777" w:rsidR="00A622E6" w:rsidRPr="00A622E6" w:rsidRDefault="00A622E6" w:rsidP="00A622E6">
      <w:pPr>
        <w:pStyle w:val="Heading2"/>
      </w:pPr>
      <w:r w:rsidRPr="00A622E6">
        <w:t>Supporting Leadership and Oversight</w:t>
      </w:r>
    </w:p>
    <w:p w14:paraId="4D672636" w14:textId="77777777" w:rsidR="00A622E6" w:rsidRPr="00A622E6" w:rsidRDefault="00A622E6" w:rsidP="00A622E6">
      <w:r w:rsidRPr="00A622E6">
        <w:t>Leaders remain accountable for pupils placed in Alternative Provision. The framework helps them demonstrate:</w:t>
      </w:r>
    </w:p>
    <w:p w14:paraId="0931B1F9" w14:textId="77777777" w:rsidR="00A622E6" w:rsidRPr="00A622E6" w:rsidRDefault="00A622E6" w:rsidP="00A622E6">
      <w:pPr>
        <w:numPr>
          <w:ilvl w:val="0"/>
          <w:numId w:val="12"/>
        </w:numPr>
        <w:spacing w:after="0"/>
      </w:pPr>
      <w:r w:rsidRPr="00A622E6">
        <w:t>Clear rationale for placement</w:t>
      </w:r>
    </w:p>
    <w:p w14:paraId="52855474" w14:textId="77777777" w:rsidR="00A622E6" w:rsidRPr="00A622E6" w:rsidRDefault="00A622E6" w:rsidP="00A622E6">
      <w:pPr>
        <w:numPr>
          <w:ilvl w:val="0"/>
          <w:numId w:val="12"/>
        </w:numPr>
        <w:spacing w:after="0"/>
      </w:pPr>
      <w:r w:rsidRPr="00A622E6">
        <w:t>Monitoring of provision quality</w:t>
      </w:r>
    </w:p>
    <w:p w14:paraId="6005CC6B" w14:textId="77777777" w:rsidR="00A622E6" w:rsidRPr="00A622E6" w:rsidRDefault="00A622E6" w:rsidP="00A622E6">
      <w:pPr>
        <w:numPr>
          <w:ilvl w:val="0"/>
          <w:numId w:val="12"/>
        </w:numPr>
        <w:spacing w:after="0"/>
      </w:pPr>
      <w:r w:rsidRPr="00A622E6">
        <w:t>Evidence of impact</w:t>
      </w:r>
    </w:p>
    <w:p w14:paraId="597FFC63" w14:textId="77777777" w:rsidR="00A622E6" w:rsidRPr="00A622E6" w:rsidRDefault="00A622E6" w:rsidP="00A622E6">
      <w:pPr>
        <w:numPr>
          <w:ilvl w:val="0"/>
          <w:numId w:val="12"/>
        </w:numPr>
        <w:spacing w:after="0"/>
      </w:pPr>
      <w:r w:rsidRPr="00A622E6">
        <w:t>Oversight of welfare and education</w:t>
      </w:r>
    </w:p>
    <w:p w14:paraId="1E0241CD" w14:textId="77777777" w:rsidR="00A622E6" w:rsidRPr="00A622E6" w:rsidRDefault="00A622E6" w:rsidP="00A622E6">
      <w:pPr>
        <w:numPr>
          <w:ilvl w:val="0"/>
          <w:numId w:val="12"/>
        </w:numPr>
      </w:pPr>
      <w:r w:rsidRPr="00A622E6">
        <w:t>Strategic planning for reintegration</w:t>
      </w:r>
    </w:p>
    <w:p w14:paraId="57A31529" w14:textId="77777777" w:rsidR="00A622E6" w:rsidRPr="00A622E6" w:rsidRDefault="00A622E6" w:rsidP="00A622E6">
      <w:r w:rsidRPr="00A622E6">
        <w:t>This aligns strongly with inspection expectations around leadership responsibility for off-site provision.</w:t>
      </w:r>
    </w:p>
    <w:p w14:paraId="259466D9" w14:textId="3008970A" w:rsidR="00A622E6" w:rsidRPr="00A622E6" w:rsidRDefault="00A622E6" w:rsidP="00A622E6">
      <w:pPr>
        <w:pStyle w:val="Heading2"/>
      </w:pPr>
      <w:r w:rsidRPr="00A622E6">
        <w:t>Conclusion</w:t>
      </w:r>
    </w:p>
    <w:p w14:paraId="493A5166" w14:textId="77777777" w:rsidR="00A622E6" w:rsidRPr="00A622E6" w:rsidRDefault="00A622E6" w:rsidP="00A622E6">
      <w:r w:rsidRPr="00A622E6">
        <w:t>This framework enables schools and Alternative Provisions to move beyond anecdotal evidence toward a structured, shared understanding of pupils’ development and needs.</w:t>
      </w:r>
    </w:p>
    <w:p w14:paraId="5D51833B" w14:textId="77777777" w:rsidR="00A622E6" w:rsidRPr="00A622E6" w:rsidRDefault="00A622E6" w:rsidP="00A622E6">
      <w:r w:rsidRPr="00A622E6">
        <w:t>By capturing progress in the personal, social and emotional factors that underpin engagement with education, it supports both the pupil’s growth and the system’s ability to respond effectively.</w:t>
      </w:r>
    </w:p>
    <w:p w14:paraId="1B244BB9" w14:textId="77777777" w:rsidR="00A622E6" w:rsidRPr="00A622E6" w:rsidRDefault="00A622E6" w:rsidP="00A622E6">
      <w:r w:rsidRPr="00A622E6">
        <w:t>Most importantly, it transforms transition from a handover of paperwork into a transfer of understanding — giving receiving schools the insight they need to support pupils successfully and sustainably.</w:t>
      </w:r>
    </w:p>
    <w:p w14:paraId="499AD7DB" w14:textId="77777777" w:rsidR="00724263" w:rsidRDefault="00724263"/>
    <w:sectPr w:rsidR="00724263" w:rsidSect="00A622E6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110A"/>
    <w:multiLevelType w:val="multilevel"/>
    <w:tmpl w:val="B144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FBD"/>
    <w:multiLevelType w:val="multilevel"/>
    <w:tmpl w:val="57EA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B2108"/>
    <w:multiLevelType w:val="multilevel"/>
    <w:tmpl w:val="BEE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40A18"/>
    <w:multiLevelType w:val="multilevel"/>
    <w:tmpl w:val="E342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66F31"/>
    <w:multiLevelType w:val="multilevel"/>
    <w:tmpl w:val="D2E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B7B0E"/>
    <w:multiLevelType w:val="multilevel"/>
    <w:tmpl w:val="1E6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A078E"/>
    <w:multiLevelType w:val="multilevel"/>
    <w:tmpl w:val="23B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C01D9"/>
    <w:multiLevelType w:val="multilevel"/>
    <w:tmpl w:val="03C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C146E"/>
    <w:multiLevelType w:val="multilevel"/>
    <w:tmpl w:val="C35E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6634F"/>
    <w:multiLevelType w:val="multilevel"/>
    <w:tmpl w:val="2E2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929B1"/>
    <w:multiLevelType w:val="multilevel"/>
    <w:tmpl w:val="69E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6659F"/>
    <w:multiLevelType w:val="multilevel"/>
    <w:tmpl w:val="922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673791">
    <w:abstractNumId w:val="11"/>
  </w:num>
  <w:num w:numId="2" w16cid:durableId="211038836">
    <w:abstractNumId w:val="1"/>
  </w:num>
  <w:num w:numId="3" w16cid:durableId="108478969">
    <w:abstractNumId w:val="5"/>
  </w:num>
  <w:num w:numId="4" w16cid:durableId="1455636061">
    <w:abstractNumId w:val="2"/>
  </w:num>
  <w:num w:numId="5" w16cid:durableId="1662196831">
    <w:abstractNumId w:val="6"/>
  </w:num>
  <w:num w:numId="6" w16cid:durableId="323898057">
    <w:abstractNumId w:val="3"/>
  </w:num>
  <w:num w:numId="7" w16cid:durableId="1973709790">
    <w:abstractNumId w:val="7"/>
  </w:num>
  <w:num w:numId="8" w16cid:durableId="840243106">
    <w:abstractNumId w:val="10"/>
  </w:num>
  <w:num w:numId="9" w16cid:durableId="1056661679">
    <w:abstractNumId w:val="8"/>
  </w:num>
  <w:num w:numId="10" w16cid:durableId="1655908344">
    <w:abstractNumId w:val="9"/>
  </w:num>
  <w:num w:numId="11" w16cid:durableId="471365220">
    <w:abstractNumId w:val="0"/>
  </w:num>
  <w:num w:numId="12" w16cid:durableId="1964922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E6"/>
    <w:rsid w:val="00272E25"/>
    <w:rsid w:val="00724263"/>
    <w:rsid w:val="008D2F44"/>
    <w:rsid w:val="00A61DEE"/>
    <w:rsid w:val="00A622E6"/>
    <w:rsid w:val="00D64BCD"/>
    <w:rsid w:val="00E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9071"/>
  <w15:chartTrackingRefBased/>
  <w15:docId w15:val="{CB1B2104-45E2-401C-9392-3B26F970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2E6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E6"/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2E6"/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2E6"/>
    <w:rPr>
      <w:rFonts w:eastAsiaTheme="majorEastAsia" w:cstheme="majorBidi"/>
      <w:color w:val="0F4761" w:themeColor="accent1" w:themeShade="BF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2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5730a-83a3-4a0f-8fff-f04da01bf6a0" xsi:nil="true"/>
    <lcf76f155ced4ddcb4097134ff3c332f xmlns="33ff9016-fb1f-4009-b4b7-05ddc17b3b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35B80230D864ABC0E7FEE58234629" ma:contentTypeVersion="14" ma:contentTypeDescription="Create a new document." ma:contentTypeScope="" ma:versionID="72c945881fdc2dc1187e3fb0f38d7425">
  <xsd:schema xmlns:xsd="http://www.w3.org/2001/XMLSchema" xmlns:xs="http://www.w3.org/2001/XMLSchema" xmlns:p="http://schemas.microsoft.com/office/2006/metadata/properties" xmlns:ns2="33ff9016-fb1f-4009-b4b7-05ddc17b3be8" xmlns:ns3="11b5730a-83a3-4a0f-8fff-f04da01bf6a0" targetNamespace="http://schemas.microsoft.com/office/2006/metadata/properties" ma:root="true" ma:fieldsID="663fb7ec3dc51f6095453a6331e4456f" ns2:_="" ns3:_="">
    <xsd:import namespace="33ff9016-fb1f-4009-b4b7-05ddc17b3be8"/>
    <xsd:import namespace="11b5730a-83a3-4a0f-8fff-f04da01bf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9016-fb1f-4009-b4b7-05ddc17b3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1bf5ec-283e-426b-a1dd-a4ff1c233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5730a-83a3-4a0f-8fff-f04da01bf6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4e725c-b677-4fed-92fe-5e4733a8fd9b}" ma:internalName="TaxCatchAll" ma:showField="CatchAllData" ma:web="11b5730a-83a3-4a0f-8fff-f04da01bf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81F75-2E14-45A0-B928-F4AEF7CB39BD}">
  <ds:schemaRefs>
    <ds:schemaRef ds:uri="http://schemas.microsoft.com/office/2006/metadata/properties"/>
    <ds:schemaRef ds:uri="http://schemas.microsoft.com/office/infopath/2007/PartnerControls"/>
    <ds:schemaRef ds:uri="11b5730a-83a3-4a0f-8fff-f04da01bf6a0"/>
    <ds:schemaRef ds:uri="33ff9016-fb1f-4009-b4b7-05ddc17b3be8"/>
  </ds:schemaRefs>
</ds:datastoreItem>
</file>

<file path=customXml/itemProps2.xml><?xml version="1.0" encoding="utf-8"?>
<ds:datastoreItem xmlns:ds="http://schemas.openxmlformats.org/officeDocument/2006/customXml" ds:itemID="{AC89F919-8BAD-4F0E-8DF6-04D0539F4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5E397-3855-4C08-A6D9-3F1929DB6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9016-fb1f-4009-b4b7-05ddc17b3be8"/>
    <ds:schemaRef ds:uri="11b5730a-83a3-4a0f-8fff-f04da01bf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6252</Characters>
  <Application>Microsoft Office Word</Application>
  <DocSecurity>0</DocSecurity>
  <Lines>162</Lines>
  <Paragraphs>122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Pickles</dc:creator>
  <cp:keywords/>
  <dc:description/>
  <cp:lastModifiedBy>Philip Parker</cp:lastModifiedBy>
  <cp:revision>2</cp:revision>
  <dcterms:created xsi:type="dcterms:W3CDTF">2026-02-26T09:34:00Z</dcterms:created>
  <dcterms:modified xsi:type="dcterms:W3CDTF">2026-02-26T09:34:00Z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0x01010074D35B80230D864ABC0E7FEE58234629</vt:lpwstr>
  </property>
</Properties>
</file>