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000000"/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000000" w:val="clear"/>
            <w:tcMar>
              <w:top w:type="dxa" w:w="0"/>
              <w:left w:type="dxa" w:w="720"/>
              <w:bottom w:type="dxa" w:w="0"/>
              <w:right w:type="dxa" w:w="7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5943600" cy="1981200"/>
                  <wp:effectExtent l="0" t="0" r="0" b="0"/>
                  <wp:docPr id="1" name="Logo" descr="Burnout to Buyout Exit Roadmap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60"/>
            </w:pPr>
            <w:r>
              <w:rPr>
                <w:rFonts w:ascii="Courier New" w:cs="Courier New" w:eastAsia="Courier New" w:hAnsi="Courier New"/>
                <w:color w:val="FFFFFF"/>
                <w:sz w:val="20"/>
                <w:szCs w:val="20"/>
              </w:rPr>
              <w:t xml:space="preserve">A 12-Month Framework to Scale, Systemize, and Sell</w:t>
            </w:r>
          </w:p>
          <w:p>
            <w:pPr>
              <w:spacing w:after="480" w:before="0"/>
            </w:pPr>
            <w:r>
              <w:rPr>
                <w:rFonts w:ascii="Courier New" w:cs="Courier New" w:eastAsia="Courier New" w:hAnsi="Courier New"/>
                <w:color w:val="00FF00"/>
                <w:sz w:val="16"/>
                <w:szCs w:val="16"/>
              </w:rPr>
              <w:t xml:space="preserve">Jason Gilbert  •  hello@burnouttobuyout.com</w:t>
            </w:r>
          </w:p>
        </w:tc>
      </w:tr>
    </w:tbl>
    <w:p>
      <w:pPr>
        <w:spacing w:after="20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"/>
        <w:gridCol w:w="9280"/>
      </w:tblGrid>
      <w:tr>
        <w:tc>
          <w:tcPr>
            <w:tcW w:type="dxa" w:w="8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00FF0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t xml:space="preserve"/>
            </w:r>
          </w:p>
        </w:tc>
        <w:tc>
          <w:tcPr>
            <w:tcW w:type="dxa" w:w="928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1A1A1A" w:val="clear"/>
            <w:tcMar>
              <w:top w:type="dxa" w:w="160"/>
              <w:left w:type="dxa" w:w="280"/>
              <w:bottom w:type="dxa" w:w="160"/>
              <w:right w:type="dxa" w:w="280"/>
            </w:tcMar>
          </w:tcPr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INTRODUCTION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4"/>
                <w:szCs w:val="24"/>
              </w:rPr>
              <w:t xml:space="preserve">You Don't Need More Hustle. You Need Structure.</w:t>
            </w:r>
          </w:p>
          <w:p>
            <w:pPr>
              <w:spacing w:after="0" w:before="6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Most founders are trapped inside their own businesses. They are the product, the salesperson, the decision-maker, and the bottleneck — all at once. This roadmap is the way out.</w:t>
            </w:r>
          </w:p>
        </w:tc>
      </w:tr>
    </w:tbl>
    <w:p>
      <w:pPr>
        <w:spacing w:after="20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000000" w:val="clear"/>
            <w:tcMar>
              <w:top w:type="dxa" w:w="120"/>
              <w:left w:type="dxa" w:w="360"/>
              <w:bottom w:type="dxa" w:w="40"/>
              <w:right w:type="dxa" w:w="360"/>
            </w:tcMar>
          </w:tcPr>
          <w:p>
            <w:pPr>
              <w:spacing w:after="8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20"/>
                <w:szCs w:val="20"/>
              </w:rPr>
              <w:t xml:space="preserve">THE 12-MONTH ROADMAP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222222" w:val="clear"/>
            <w:tcMar>
              <w:top w:type="dxa" w:w="200"/>
              <w:left w:type="dxa" w:w="280"/>
              <w:bottom w:type="dxa" w:w="2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PHASE 01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4"/>
                <w:szCs w:val="24"/>
              </w:rPr>
              <w:t xml:space="preserve">STABILIZE</w:t>
            </w:r>
          </w:p>
          <w:p>
            <w:pPr>
              <w:spacing w:after="0" w:before="0"/>
            </w:pPr>
            <w:r>
              <w:rPr>
                <w:rFonts w:ascii="Courier New" w:cs="Courier New" w:eastAsia="Courier New" w:hAnsi="Courier New"/>
                <w:color w:val="00FF00"/>
                <w:sz w:val="16"/>
                <w:szCs w:val="16"/>
              </w:rPr>
              <w:t xml:space="preserve">Months 1 – 3</w:t>
            </w:r>
          </w:p>
        </w:tc>
        <w:tc>
          <w:tcPr>
            <w:tcW w:type="dxa" w:w="576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111111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Audit where your time actually goes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Identify bottlenecks — especially you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Document the 3 things only you can do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Stop taking on work that belongs to someone else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222222" w:val="clear"/>
            <w:tcMar>
              <w:top w:type="dxa" w:w="200"/>
              <w:left w:type="dxa" w:w="280"/>
              <w:bottom w:type="dxa" w:w="2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PHASE 02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4"/>
                <w:szCs w:val="24"/>
              </w:rPr>
              <w:t xml:space="preserve">BUILD SYSTEMS</w:t>
            </w:r>
          </w:p>
          <w:p>
            <w:pPr>
              <w:spacing w:after="0" w:before="0"/>
            </w:pPr>
            <w:r>
              <w:rPr>
                <w:rFonts w:ascii="Courier New" w:cs="Courier New" w:eastAsia="Courier New" w:hAnsi="Courier New"/>
                <w:color w:val="00FF00"/>
                <w:sz w:val="16"/>
                <w:szCs w:val="16"/>
              </w:rPr>
              <w:t xml:space="preserve">Months 4 – 6</w:t>
            </w:r>
          </w:p>
        </w:tc>
        <w:tc>
          <w:tcPr>
            <w:tcW w:type="dxa" w:w="576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111111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Write SOPs for your 10 most-repeated processes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Standardize client delivery and onboarding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Create a quality-control layer without you in 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Introduce basic KPIs the team owns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222222" w:val="clear"/>
            <w:tcMar>
              <w:top w:type="dxa" w:w="200"/>
              <w:left w:type="dxa" w:w="280"/>
              <w:bottom w:type="dxa" w:w="2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PHASE 03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4"/>
                <w:szCs w:val="24"/>
              </w:rPr>
              <w:t xml:space="preserve">BUILD TEAM</w:t>
            </w:r>
          </w:p>
          <w:p>
            <w:pPr>
              <w:spacing w:after="0" w:before="0"/>
            </w:pPr>
            <w:r>
              <w:rPr>
                <w:rFonts w:ascii="Courier New" w:cs="Courier New" w:eastAsia="Courier New" w:hAnsi="Courier New"/>
                <w:color w:val="00FF00"/>
                <w:sz w:val="16"/>
                <w:szCs w:val="16"/>
              </w:rPr>
              <w:t xml:space="preserve">Months 7 – 9</w:t>
            </w:r>
          </w:p>
        </w:tc>
        <w:tc>
          <w:tcPr>
            <w:tcW w:type="dxa" w:w="576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111111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Hire or promote for the roles you are filling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Delegate responsibilities — not just tasks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Build a leadership layer that runs weekly ops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Test: can the business function without you for 30 days?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222222" w:val="clear"/>
            <w:tcMar>
              <w:top w:type="dxa" w:w="200"/>
              <w:left w:type="dxa" w:w="280"/>
              <w:bottom w:type="dxa" w:w="200"/>
              <w:right w:type="dxa" w:w="200"/>
            </w:tcMar>
          </w:tcPr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PHASE 04</w:t>
            </w:r>
          </w:p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4"/>
                <w:szCs w:val="24"/>
              </w:rPr>
              <w:t xml:space="preserve">PREPARE FOR EXIT</w:t>
            </w:r>
          </w:p>
          <w:p>
            <w:pPr>
              <w:spacing w:after="0" w:before="0"/>
            </w:pPr>
            <w:r>
              <w:rPr>
                <w:rFonts w:ascii="Courier New" w:cs="Courier New" w:eastAsia="Courier New" w:hAnsi="Courier New"/>
                <w:color w:val="00FF00"/>
                <w:sz w:val="16"/>
                <w:szCs w:val="16"/>
              </w:rPr>
              <w:t xml:space="preserve">Months 10 – 12</w:t>
            </w:r>
          </w:p>
        </w:tc>
        <w:tc>
          <w:tcPr>
            <w:tcW w:type="dxa" w:w="5760"/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111111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Improve EBITDA and clean up the P&amp;L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Document value drivers a buyer will care about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Prepare a CIM-ready financial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Run the business as if you are presenting it to a buyer</w:t>
            </w:r>
          </w:p>
        </w:tc>
      </w:tr>
    </w:tbl>
    <w:p>
      <w:pPr>
        <w:spacing w:after="24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000000" w:val="clear"/>
            <w:tcMar>
              <w:top w:type="dxa" w:w="120"/>
              <w:left w:type="dxa" w:w="360"/>
              <w:bottom w:type="dxa" w:w="60"/>
              <w:right w:type="dxa" w:w="36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20"/>
                <w:szCs w:val="20"/>
              </w:rPr>
              <w:t xml:space="preserve">THE BURNOUT TO SCALE BLUEPRINT</w:t>
            </w:r>
          </w:p>
          <w:p>
            <w:pPr>
              <w:spacing w:after="0" w:before="0"/>
            </w:pPr>
            <w:r>
              <w:rPr>
                <w:rFonts w:ascii="Courier New" w:cs="Courier New" w:eastAsia="Courier New" w:hAnsi="Courier New"/>
                <w:color w:val="FFFFFF"/>
                <w:sz w:val="18"/>
                <w:szCs w:val="18"/>
              </w:rPr>
              <w:t xml:space="preserve">5 Steps to Build a Business That Can Run — and Sell — Without You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000000" w:sz="0"/>
              <w:left w:val="single" w:color="00FF00" w:sz="12"/>
              <w:bottom w:val="nil" w:color="000000" w:sz="0"/>
              <w:right w:val="nil" w:color="000000" w:sz="0"/>
            </w:tcBorders>
            <w:shd w:fill="00FF0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0000"/>
                <w:sz w:val="17"/>
                <w:szCs w:val="17"/>
              </w:rPr>
              <w:t xml:space="preserve">STEP 1  </w:t>
            </w:r>
            <w:r>
              <w:rPr>
                <w:rFonts w:ascii="Courier New" w:cs="Courier New" w:eastAsia="Courier New" w:hAnsi="Courier New"/>
                <w:b/>
                <w:bCs/>
                <w:color w:val="000000"/>
                <w:sz w:val="20"/>
                <w:szCs w:val="20"/>
              </w:rPr>
              <w:t xml:space="preserve">STOP BEING THE BOTTLENECK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Identify everything that only YOU do today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Delegate or document every single one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If everything flows through you, growth stops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000000" w:sz="0"/>
              <w:left w:val="single" w:color="00FF00" w:sz="12"/>
              <w:bottom w:val="nil" w:color="000000" w:sz="0"/>
              <w:right w:val="nil" w:color="000000" w:sz="0"/>
            </w:tcBorders>
            <w:shd w:fill="00FF0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0000"/>
                <w:sz w:val="17"/>
                <w:szCs w:val="17"/>
              </w:rPr>
              <w:t xml:space="preserve">STEP 2  </w:t>
            </w:r>
            <w:r>
              <w:rPr>
                <w:rFonts w:ascii="Courier New" w:cs="Courier New" w:eastAsia="Courier New" w:hAnsi="Courier New"/>
                <w:b/>
                <w:bCs/>
                <w:color w:val="000000"/>
                <w:sz w:val="20"/>
                <w:szCs w:val="20"/>
              </w:rPr>
              <w:t xml:space="preserve">PRODUCTIZE YOUR SERVICE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Move from custom work to standardized offers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Define exactly what you deliver, how, and at what price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Predictability is the foundation of scale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000000" w:sz="0"/>
              <w:left w:val="single" w:color="00FF00" w:sz="12"/>
              <w:bottom w:val="nil" w:color="000000" w:sz="0"/>
              <w:right w:val="nil" w:color="000000" w:sz="0"/>
            </w:tcBorders>
            <w:shd w:fill="00FF0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0000"/>
                <w:sz w:val="17"/>
                <w:szCs w:val="17"/>
              </w:rPr>
              <w:t xml:space="preserve">STEP 3  </w:t>
            </w:r>
            <w:r>
              <w:rPr>
                <w:rFonts w:ascii="Courier New" w:cs="Courier New" w:eastAsia="Courier New" w:hAnsi="Courier New"/>
                <w:b/>
                <w:bCs/>
                <w:color w:val="000000"/>
                <w:sz w:val="20"/>
                <w:szCs w:val="20"/>
              </w:rPr>
              <w:t xml:space="preserve">BUILD RECURRING REVENUE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Shift from projects to contracts, retainers, or subscriptions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MRR / ARR directly increases business valuation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Stability makes your business attractive to buyers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000000" w:sz="0"/>
              <w:left w:val="single" w:color="00FF00" w:sz="12"/>
              <w:bottom w:val="nil" w:color="000000" w:sz="0"/>
              <w:right w:val="nil" w:color="000000" w:sz="0"/>
            </w:tcBorders>
            <w:shd w:fill="00FF0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0000"/>
                <w:sz w:val="17"/>
                <w:szCs w:val="17"/>
              </w:rPr>
              <w:t xml:space="preserve">STEP 4  </w:t>
            </w:r>
            <w:r>
              <w:rPr>
                <w:rFonts w:ascii="Courier New" w:cs="Courier New" w:eastAsia="Courier New" w:hAnsi="Courier New"/>
                <w:b/>
                <w:bCs/>
                <w:color w:val="000000"/>
                <w:sz w:val="20"/>
                <w:szCs w:val="20"/>
              </w:rPr>
              <w:t xml:space="preserve">INSTALL AN OPERATING SYSTEM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Implement EOS, OKRs, or a similar framework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Weekly meetings with clear agendas and owners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Accountability chart with defined roles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Every team member knows what winning looks like</w:t>
            </w:r>
          </w:p>
          <w:p>
            <w:pPr>
              <w:spacing w:after="0" w:before="60"/>
            </w:pPr>
            <w:r>
              <w:rPr>
                <w:rFonts w:ascii="Courier New" w:cs="Courier New" w:eastAsia="Courier New" w:hAnsi="Courier New"/>
                <w:i/>
                <w:iCs/>
                <w:color w:val="222222"/>
                <w:sz w:val="17"/>
                <w:szCs w:val="17"/>
              </w:rPr>
              <w:t xml:space="preserve">(EOS — Entrepreneurial Operating System — is a strong starting point)</w:t>
            </w:r>
          </w:p>
        </w:tc>
      </w:tr>
    </w:tbl>
    <w:p>
      <w:pPr>
        <w:spacing w:after="16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il" w:color="000000" w:sz="0"/>
              <w:left w:val="single" w:color="00FF00" w:sz="12"/>
              <w:bottom w:val="nil" w:color="000000" w:sz="0"/>
              <w:right w:val="nil" w:color="000000" w:sz="0"/>
            </w:tcBorders>
            <w:shd w:fill="00FF0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 w:before="0"/>
            </w:pPr>
            <w:r>
              <w:rPr>
                <w:rFonts w:ascii="Courier New" w:cs="Courier New" w:eastAsia="Courier New" w:hAnsi="Courier New"/>
                <w:b/>
                <w:bCs/>
                <w:color w:val="000000"/>
                <w:sz w:val="17"/>
                <w:szCs w:val="17"/>
              </w:rPr>
              <w:t xml:space="preserve">STEP 5  </w:t>
            </w:r>
            <w:r>
              <w:rPr>
                <w:rFonts w:ascii="Courier New" w:cs="Courier New" w:eastAsia="Courier New" w:hAnsi="Courier New"/>
                <w:b/>
                <w:bCs/>
                <w:color w:val="000000"/>
                <w:sz w:val="20"/>
                <w:szCs w:val="20"/>
              </w:rPr>
              <w:t xml:space="preserve">THINK LIKE A BUYER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Ask: Would YOU buy your business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Would it feel like an asset — or a liability?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40"/>
            </w:pPr>
            <w:r>
              <w:rPr>
                <w:rFonts w:ascii="Courier New" w:cs="Courier New" w:eastAsia="Courier New" w:hAnsi="Courier New"/>
                <w:color w:val="000000"/>
                <w:sz w:val="18"/>
                <w:szCs w:val="18"/>
              </w:rPr>
              <w:t xml:space="preserve">Build for optionality, not just revenue</w:t>
            </w:r>
          </w:p>
        </w:tc>
      </w:tr>
    </w:tbl>
    <w:p>
      <w:pPr>
        <w:spacing w:after="24" w:before="0"/>
      </w:pPr>
      <w:r>
        <w:rPr>
          <w:color w:val="000000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il" w:color="000000" w:sz="0"/>
              <w:left w:val="nil" w:color="000000" w:sz="0"/>
              <w:bottom w:val="nil" w:color="000000" w:sz="0"/>
              <w:right w:val="nil" w:color="000000" w:sz="0"/>
            </w:tcBorders>
            <w:shd w:fill="000000" w:val="clear"/>
            <w:tcMar>
              <w:top w:type="dxa" w:w="120"/>
              <w:left w:type="dxa" w:w="360"/>
              <w:bottom w:type="dxa" w:w="200"/>
              <w:right w:type="dxa" w:w="360"/>
            </w:tcMar>
          </w:tcPr>
          <w:p>
            <w:pPr>
              <w:spacing w:after="40" w:before="0"/>
              <w:jc w:val="left"/>
            </w:pPr>
            <w:r>
              <w:rPr>
                <w:rFonts w:ascii="Courier New" w:cs="Courier New" w:eastAsia="Courier New" w:hAnsi="Courier New"/>
                <w:color w:val="00FF00"/>
                <w:sz w:val="14"/>
                <w:szCs w:val="14"/>
              </w:rPr>
              <w:t xml:space="preserve">____________________________________________________</w:t>
            </w:r>
          </w:p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0"/>
                <w:szCs w:val="20"/>
              </w:rPr>
              <w:t xml:space="preserve">This is just the framework.</w:t>
            </w:r>
          </w:p>
          <w:p>
            <w:pPr>
              <w:spacing w:after="60" w:before="0"/>
            </w:pPr>
            <w:r>
              <w:rPr>
                <w:rFonts w:ascii="Courier New" w:cs="Courier New" w:eastAsia="Courier New" w:hAnsi="Courier New"/>
                <w:color w:val="FFFFFF"/>
                <w:sz w:val="19"/>
                <w:szCs w:val="19"/>
              </w:rPr>
              <w:t xml:space="preserve">Burnout to Buyout gives you the tools, the playbook, and the community to actually execute it.</w:t>
            </w:r>
          </w:p>
          <w:p>
            <w:pPr>
              <w:spacing w:after="0" w:before="20"/>
            </w:pPr>
            <w:r>
              <w:rPr>
                <w:rFonts w:ascii="Courier New" w:cs="Courier New" w:eastAsia="Courier New" w:hAnsi="Courier New"/>
                <w:b/>
                <w:bCs/>
                <w:color w:val="00FF00"/>
                <w:sz w:val="18"/>
                <w:szCs w:val="18"/>
              </w:rPr>
              <w:t xml:space="preserve">→  hello@burnouttobuyout.com</w:t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→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cs="Courier New" w:eastAsia="Courier New" w:hAnsi="Courier New"/>
        <w:color w:val="FFFFF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image" Target="media/logo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2026-06-22T21:17:36.160Z</dcterms:created>
  <dcterms:modified xsi:type="dcterms:W3CDTF">2026-06-22T21:17:36.161Z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