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5F7" w:rsidRDefault="00914E66" w:rsidP="004D1F30">
      <w:pPr>
        <w:spacing w:line="276" w:lineRule="auto"/>
        <w:jc w:val="center"/>
        <w:rPr>
          <w:sz w:val="28"/>
          <w:szCs w:val="28"/>
        </w:rPr>
      </w:pPr>
      <w:r>
        <w:rPr>
          <w:noProof/>
        </w:rPr>
        <w:drawing>
          <wp:inline distT="0" distB="0" distL="0" distR="0">
            <wp:extent cx="1364673" cy="1364673"/>
            <wp:effectExtent l="0" t="0" r="0" b="0"/>
            <wp:docPr id="20" name="Picture 1" descr="D:\Preuzimanja\LOGO ENG-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euzimanja\LOGO ENG-page-001.jpg"/>
                    <pic:cNvPicPr>
                      <a:picLocks noChangeAspect="1" noChangeArrowheads="1"/>
                    </pic:cNvPicPr>
                  </pic:nvPicPr>
                  <pic:blipFill>
                    <a:blip r:embed="rId8" cstate="print"/>
                    <a:srcRect/>
                    <a:stretch>
                      <a:fillRect/>
                    </a:stretch>
                  </pic:blipFill>
                  <pic:spPr bwMode="auto">
                    <a:xfrm>
                      <a:off x="0" y="0"/>
                      <a:ext cx="1371996" cy="1371996"/>
                    </a:xfrm>
                    <a:prstGeom prst="rect">
                      <a:avLst/>
                    </a:prstGeom>
                    <a:noFill/>
                    <a:ln w="9525">
                      <a:noFill/>
                      <a:miter lim="800000"/>
                      <a:headEnd/>
                      <a:tailEnd/>
                    </a:ln>
                  </pic:spPr>
                </pic:pic>
              </a:graphicData>
            </a:graphic>
          </wp:inline>
        </w:drawing>
      </w:r>
    </w:p>
    <w:p w:rsidR="00914E66" w:rsidRDefault="00914E66" w:rsidP="004D1F30">
      <w:pPr>
        <w:spacing w:line="276" w:lineRule="auto"/>
        <w:jc w:val="center"/>
        <w:rPr>
          <w:sz w:val="28"/>
          <w:szCs w:val="28"/>
        </w:rPr>
      </w:pPr>
    </w:p>
    <w:p w:rsidR="00C82524" w:rsidRPr="00DB61E5" w:rsidRDefault="00C82524" w:rsidP="004D1F30">
      <w:pPr>
        <w:spacing w:line="276" w:lineRule="auto"/>
        <w:jc w:val="center"/>
        <w:rPr>
          <w:sz w:val="28"/>
          <w:szCs w:val="28"/>
        </w:rPr>
      </w:pPr>
    </w:p>
    <w:p w:rsidR="004945F7" w:rsidRPr="004945F7" w:rsidRDefault="004945F7" w:rsidP="004D1F30">
      <w:pPr>
        <w:spacing w:line="276" w:lineRule="auto"/>
        <w:jc w:val="center"/>
        <w:rPr>
          <w:b/>
          <w:i/>
          <w:sz w:val="28"/>
          <w:szCs w:val="28"/>
        </w:rPr>
      </w:pPr>
      <w:r w:rsidRPr="004945F7">
        <w:rPr>
          <w:b/>
          <w:i/>
          <w:sz w:val="28"/>
          <w:szCs w:val="28"/>
        </w:rPr>
        <w:t xml:space="preserve">Milenko Popović </w:t>
      </w:r>
    </w:p>
    <w:p w:rsidR="004945F7" w:rsidRPr="008C415E" w:rsidRDefault="008C415E" w:rsidP="004D1F30">
      <w:pPr>
        <w:spacing w:line="276" w:lineRule="auto"/>
        <w:jc w:val="center"/>
        <w:rPr>
          <w:b/>
          <w:i/>
          <w:sz w:val="28"/>
          <w:szCs w:val="28"/>
        </w:rPr>
      </w:pPr>
      <w:r w:rsidRPr="008C415E">
        <w:rPr>
          <w:b/>
          <w:i/>
          <w:sz w:val="28"/>
          <w:szCs w:val="28"/>
        </w:rPr>
        <w:t xml:space="preserve">Milija </w:t>
      </w:r>
      <w:r>
        <w:rPr>
          <w:b/>
          <w:i/>
          <w:sz w:val="28"/>
          <w:szCs w:val="28"/>
        </w:rPr>
        <w:t xml:space="preserve">Čabarkapa </w:t>
      </w:r>
    </w:p>
    <w:p w:rsidR="004945F7" w:rsidRPr="004945F7" w:rsidRDefault="004945F7" w:rsidP="004D1F30">
      <w:pPr>
        <w:spacing w:line="276" w:lineRule="auto"/>
        <w:jc w:val="center"/>
        <w:rPr>
          <w:sz w:val="28"/>
          <w:szCs w:val="28"/>
        </w:rPr>
      </w:pPr>
    </w:p>
    <w:p w:rsidR="004945F7" w:rsidRDefault="004945F7" w:rsidP="004945F7">
      <w:pPr>
        <w:spacing w:line="276" w:lineRule="auto"/>
        <w:jc w:val="center"/>
        <w:rPr>
          <w:sz w:val="28"/>
          <w:szCs w:val="28"/>
        </w:rPr>
      </w:pPr>
    </w:p>
    <w:p w:rsidR="00914E66" w:rsidRPr="004945F7" w:rsidRDefault="00914E66" w:rsidP="004945F7">
      <w:pPr>
        <w:spacing w:line="276" w:lineRule="auto"/>
        <w:jc w:val="center"/>
        <w:rPr>
          <w:sz w:val="28"/>
          <w:szCs w:val="28"/>
        </w:rPr>
      </w:pPr>
    </w:p>
    <w:p w:rsidR="004945F7" w:rsidRPr="004945F7" w:rsidRDefault="004945F7" w:rsidP="004D1F30">
      <w:pPr>
        <w:spacing w:line="276" w:lineRule="auto"/>
        <w:jc w:val="center"/>
        <w:rPr>
          <w:sz w:val="28"/>
          <w:szCs w:val="28"/>
        </w:rPr>
      </w:pPr>
    </w:p>
    <w:p w:rsidR="00790ED6" w:rsidRDefault="00EB7156" w:rsidP="004D1F30">
      <w:pPr>
        <w:spacing w:line="276" w:lineRule="auto"/>
        <w:jc w:val="center"/>
        <w:rPr>
          <w:b/>
          <w:i/>
          <w:sz w:val="32"/>
          <w:szCs w:val="32"/>
        </w:rPr>
      </w:pPr>
      <w:r w:rsidRPr="005A764D">
        <w:rPr>
          <w:b/>
          <w:i/>
          <w:sz w:val="32"/>
          <w:szCs w:val="32"/>
        </w:rPr>
        <w:t>PROCJENA KUMULATIVNIH UTICAJA MALIH HIDROELEKTRANA NA ŽIVOTNU SREDINU I LOKALNI EKONOMSKI RAZVOJ</w:t>
      </w:r>
    </w:p>
    <w:p w:rsidR="004945F7" w:rsidRDefault="004945F7" w:rsidP="0046040A">
      <w:pPr>
        <w:spacing w:line="276" w:lineRule="auto"/>
        <w:jc w:val="center"/>
        <w:rPr>
          <w:sz w:val="28"/>
          <w:szCs w:val="28"/>
        </w:rPr>
      </w:pPr>
    </w:p>
    <w:p w:rsidR="004945F7" w:rsidRDefault="004945F7" w:rsidP="004D1F30">
      <w:pPr>
        <w:spacing w:line="276" w:lineRule="auto"/>
        <w:jc w:val="center"/>
        <w:rPr>
          <w:sz w:val="28"/>
          <w:szCs w:val="28"/>
        </w:rPr>
      </w:pPr>
    </w:p>
    <w:p w:rsidR="004945F7" w:rsidRDefault="004945F7" w:rsidP="004D1F30">
      <w:pPr>
        <w:spacing w:line="276" w:lineRule="auto"/>
        <w:jc w:val="center"/>
        <w:rPr>
          <w:sz w:val="28"/>
          <w:szCs w:val="28"/>
        </w:rPr>
      </w:pPr>
    </w:p>
    <w:p w:rsidR="004945F7" w:rsidRDefault="004945F7" w:rsidP="004D1F30">
      <w:pPr>
        <w:spacing w:line="276" w:lineRule="auto"/>
        <w:jc w:val="center"/>
        <w:rPr>
          <w:sz w:val="28"/>
          <w:szCs w:val="28"/>
        </w:rPr>
      </w:pPr>
    </w:p>
    <w:p w:rsidR="00914E66" w:rsidRDefault="00914E66" w:rsidP="004D1F30">
      <w:pPr>
        <w:spacing w:line="276" w:lineRule="auto"/>
        <w:jc w:val="center"/>
        <w:rPr>
          <w:sz w:val="28"/>
          <w:szCs w:val="28"/>
        </w:rPr>
      </w:pPr>
    </w:p>
    <w:p w:rsidR="00914E66" w:rsidRDefault="00914E66" w:rsidP="004D1F30">
      <w:pPr>
        <w:spacing w:line="276" w:lineRule="auto"/>
        <w:jc w:val="center"/>
        <w:rPr>
          <w:sz w:val="28"/>
          <w:szCs w:val="28"/>
        </w:rPr>
      </w:pPr>
    </w:p>
    <w:p w:rsidR="008C415E" w:rsidRDefault="008C415E" w:rsidP="008C415E">
      <w:pPr>
        <w:spacing w:line="276" w:lineRule="auto"/>
        <w:jc w:val="center"/>
        <w:rPr>
          <w:b/>
          <w:sz w:val="28"/>
          <w:szCs w:val="28"/>
        </w:rPr>
      </w:pPr>
      <w:r>
        <w:rPr>
          <w:b/>
          <w:sz w:val="28"/>
          <w:szCs w:val="28"/>
        </w:rPr>
        <w:t>U Podgorici</w:t>
      </w:r>
    </w:p>
    <w:p w:rsidR="00914E66" w:rsidRDefault="00095599" w:rsidP="00914E66">
      <w:pPr>
        <w:spacing w:line="276" w:lineRule="auto"/>
        <w:jc w:val="center"/>
        <w:rPr>
          <w:b/>
          <w:sz w:val="28"/>
          <w:szCs w:val="28"/>
        </w:rPr>
      </w:pPr>
      <w:r>
        <w:rPr>
          <w:b/>
          <w:sz w:val="28"/>
          <w:szCs w:val="28"/>
        </w:rPr>
        <w:t>avgust</w:t>
      </w:r>
      <w:r w:rsidR="00C82524">
        <w:rPr>
          <w:b/>
          <w:sz w:val="28"/>
          <w:szCs w:val="28"/>
        </w:rPr>
        <w:t xml:space="preserve">, </w:t>
      </w:r>
      <w:r w:rsidR="00914E66">
        <w:rPr>
          <w:b/>
          <w:sz w:val="28"/>
          <w:szCs w:val="28"/>
        </w:rPr>
        <w:t xml:space="preserve">2019. </w:t>
      </w:r>
    </w:p>
    <w:p w:rsidR="00C82524" w:rsidRPr="00914E66" w:rsidRDefault="00C82524" w:rsidP="00914E66">
      <w:pPr>
        <w:spacing w:line="276" w:lineRule="auto"/>
        <w:jc w:val="center"/>
        <w:rPr>
          <w:b/>
          <w:sz w:val="28"/>
          <w:szCs w:val="28"/>
        </w:rPr>
      </w:pPr>
    </w:p>
    <w:p w:rsidR="00C82524" w:rsidRDefault="00C82524">
      <w:pPr>
        <w:sectPr w:rsidR="00C82524" w:rsidSect="00095599">
          <w:footerReference w:type="default" r:id="rId9"/>
          <w:footerReference w:type="first" r:id="rId10"/>
          <w:pgSz w:w="12240" w:h="15840" w:code="1"/>
          <w:pgMar w:top="1440" w:right="1440" w:bottom="1440" w:left="1440" w:header="720" w:footer="720" w:gutter="0"/>
          <w:cols w:space="720"/>
          <w:titlePg/>
          <w:docGrid w:linePitch="360"/>
        </w:sectPr>
      </w:pPr>
    </w:p>
    <w:p w:rsidR="004945F7" w:rsidRDefault="004945F7"/>
    <w:p w:rsidR="000A7748" w:rsidRPr="00802C8F" w:rsidRDefault="00790ED6" w:rsidP="00802C8F">
      <w:pPr>
        <w:spacing w:line="276" w:lineRule="auto"/>
        <w:jc w:val="center"/>
        <w:rPr>
          <w:b/>
          <w:i/>
        </w:rPr>
      </w:pPr>
      <w:r w:rsidRPr="00101CA2">
        <w:rPr>
          <w:b/>
          <w:i/>
        </w:rPr>
        <w:t>SADRŽAJ</w:t>
      </w:r>
    </w:p>
    <w:p w:rsidR="00D36A3B" w:rsidRPr="00654406" w:rsidRDefault="00C1620C" w:rsidP="00C1620C">
      <w:pPr>
        <w:spacing w:line="276" w:lineRule="auto"/>
      </w:pPr>
      <w:r w:rsidRPr="00654406">
        <w:t xml:space="preserve">1. </w:t>
      </w:r>
      <w:r w:rsidR="001606EB" w:rsidRPr="00654406">
        <w:t>UVODNE</w:t>
      </w:r>
      <w:r w:rsidR="00F30281">
        <w:t xml:space="preserve"> </w:t>
      </w:r>
      <w:r w:rsidR="00C04DB3" w:rsidRPr="00654406">
        <w:t>I</w:t>
      </w:r>
      <w:r w:rsidR="000A7748" w:rsidRPr="00654406">
        <w:t xml:space="preserve"> METODOLOŠKE NAPOMENE</w:t>
      </w:r>
      <w:r w:rsidR="00914E66">
        <w:tab/>
      </w:r>
      <w:r w:rsidR="00914E66">
        <w:tab/>
      </w:r>
      <w:r w:rsidR="00914E66">
        <w:tab/>
      </w:r>
      <w:r w:rsidR="00914E66">
        <w:tab/>
      </w:r>
      <w:r w:rsidR="00914E66">
        <w:tab/>
      </w:r>
      <w:r w:rsidR="00914E66">
        <w:tab/>
        <w:t xml:space="preserve">  1</w:t>
      </w:r>
    </w:p>
    <w:p w:rsidR="00DD7990" w:rsidRPr="00654406" w:rsidRDefault="00C1620C" w:rsidP="00732E4B">
      <w:pPr>
        <w:spacing w:after="0" w:line="276" w:lineRule="auto"/>
      </w:pPr>
      <w:r w:rsidRPr="00654406">
        <w:t xml:space="preserve">2. </w:t>
      </w:r>
      <w:r w:rsidR="00C04DB3" w:rsidRPr="00654406">
        <w:t>PRIVATNA RENTABILNOST</w:t>
      </w:r>
      <w:r w:rsidR="00DD7990" w:rsidRPr="00654406">
        <w:t xml:space="preserve"> I ISPLATIVOST MALIH HIDROELEKTRANA </w:t>
      </w:r>
      <w:r w:rsidR="00914E66">
        <w:tab/>
      </w:r>
      <w:r w:rsidR="00914E66">
        <w:tab/>
      </w:r>
      <w:r w:rsidR="00914E66">
        <w:tab/>
      </w:r>
      <w:r w:rsidR="00397FF5">
        <w:t xml:space="preserve">  8 </w:t>
      </w:r>
    </w:p>
    <w:p w:rsidR="00C04DB3" w:rsidRPr="00654406" w:rsidRDefault="00C04DB3" w:rsidP="00732E4B">
      <w:pPr>
        <w:spacing w:after="0" w:line="276" w:lineRule="auto"/>
      </w:pPr>
      <w:r w:rsidRPr="00654406">
        <w:tab/>
        <w:t xml:space="preserve">2.1. Kratak opis projekta dvije mHE koje su predmet studije slučaja </w:t>
      </w:r>
      <w:r w:rsidR="00914E66">
        <w:tab/>
      </w:r>
      <w:r w:rsidR="00914E66">
        <w:tab/>
      </w:r>
      <w:r w:rsidR="00397FF5">
        <w:t xml:space="preserve">  8 </w:t>
      </w:r>
    </w:p>
    <w:p w:rsidR="00C04DB3" w:rsidRPr="00654406" w:rsidRDefault="00732E4B" w:rsidP="00732E4B">
      <w:pPr>
        <w:spacing w:after="0" w:line="276" w:lineRule="auto"/>
        <w:ind w:firstLine="720"/>
      </w:pPr>
      <w:r w:rsidRPr="00654406">
        <w:t xml:space="preserve">2.2. Tokovi privatnih troškova i koristi od projekta </w:t>
      </w:r>
      <w:r w:rsidR="00914E66">
        <w:tab/>
      </w:r>
      <w:r w:rsidR="00914E66">
        <w:tab/>
      </w:r>
      <w:r w:rsidR="00914E66">
        <w:tab/>
      </w:r>
      <w:r w:rsidR="00914E66">
        <w:tab/>
      </w:r>
      <w:r w:rsidR="00397FF5">
        <w:t xml:space="preserve"> 14 </w:t>
      </w:r>
    </w:p>
    <w:p w:rsidR="00732E4B" w:rsidRPr="00654406" w:rsidRDefault="00732E4B" w:rsidP="00732E4B">
      <w:pPr>
        <w:spacing w:after="0" w:line="276" w:lineRule="auto"/>
        <w:ind w:firstLine="720"/>
      </w:pPr>
      <w:r w:rsidRPr="00654406">
        <w:t xml:space="preserve">2.3. Ocjena private rentabilnosti projekta </w:t>
      </w:r>
      <w:r w:rsidR="00914E66">
        <w:tab/>
      </w:r>
      <w:r w:rsidR="00914E66">
        <w:tab/>
      </w:r>
      <w:r w:rsidR="00914E66">
        <w:tab/>
      </w:r>
      <w:r w:rsidR="00914E66">
        <w:tab/>
      </w:r>
      <w:r w:rsidR="00914E66">
        <w:tab/>
      </w:r>
      <w:r w:rsidR="00397FF5">
        <w:t xml:space="preserve"> 21 </w:t>
      </w:r>
    </w:p>
    <w:p w:rsidR="00732E4B" w:rsidRPr="00654406" w:rsidRDefault="00732E4B" w:rsidP="00C04DB3">
      <w:pPr>
        <w:spacing w:line="276" w:lineRule="auto"/>
        <w:ind w:firstLine="720"/>
      </w:pPr>
      <w:r w:rsidRPr="00654406">
        <w:t xml:space="preserve">2.4. Analiza osjetljivosti projekta </w:t>
      </w:r>
      <w:r w:rsidR="00914E66">
        <w:tab/>
      </w:r>
      <w:r w:rsidR="00914E66">
        <w:tab/>
      </w:r>
      <w:r w:rsidR="00914E66">
        <w:tab/>
      </w:r>
      <w:r w:rsidR="00914E66">
        <w:tab/>
      </w:r>
      <w:r w:rsidR="00914E66">
        <w:tab/>
      </w:r>
      <w:r w:rsidR="00914E66">
        <w:tab/>
      </w:r>
      <w:r w:rsidR="00397FF5">
        <w:t xml:space="preserve"> 32 </w:t>
      </w:r>
    </w:p>
    <w:p w:rsidR="00DD7990" w:rsidRPr="00654406" w:rsidRDefault="00732E4B" w:rsidP="00947011">
      <w:pPr>
        <w:spacing w:after="0" w:line="276" w:lineRule="auto"/>
      </w:pPr>
      <w:r w:rsidRPr="00654406">
        <w:t>3. EFIKASNOST I ISPLATIVOST mHE PROJEKATA</w:t>
      </w:r>
      <w:r w:rsidR="000A7748" w:rsidRPr="00654406">
        <w:t xml:space="preserve"> IZ UGLA</w:t>
      </w:r>
      <w:r w:rsidRPr="00654406">
        <w:t xml:space="preserve">SVIH </w:t>
      </w:r>
      <w:r w:rsidR="00C32F63" w:rsidRPr="00654406">
        <w:t xml:space="preserve">STAKEHOLDERA </w:t>
      </w:r>
      <w:r w:rsidR="00914E66">
        <w:tab/>
      </w:r>
      <w:r w:rsidR="00914E66">
        <w:tab/>
      </w:r>
      <w:r w:rsidR="00397FF5">
        <w:t xml:space="preserve"> 39 </w:t>
      </w:r>
    </w:p>
    <w:p w:rsidR="00947011" w:rsidRPr="00654406" w:rsidRDefault="00947011" w:rsidP="00947011">
      <w:pPr>
        <w:spacing w:after="0" w:line="276" w:lineRule="auto"/>
      </w:pPr>
      <w:r w:rsidRPr="00654406">
        <w:tab/>
        <w:t xml:space="preserve">3.1. Uvodne napomene </w:t>
      </w:r>
      <w:r w:rsidR="00914E66">
        <w:tab/>
      </w:r>
      <w:r w:rsidR="00914E66">
        <w:tab/>
      </w:r>
      <w:r w:rsidR="00914E66">
        <w:tab/>
      </w:r>
      <w:r w:rsidR="00914E66">
        <w:tab/>
      </w:r>
      <w:r w:rsidR="00914E66">
        <w:tab/>
      </w:r>
      <w:r w:rsidR="00914E66">
        <w:tab/>
      </w:r>
      <w:r w:rsidR="00914E66">
        <w:tab/>
      </w:r>
      <w:r w:rsidR="00914E66">
        <w:tab/>
      </w:r>
      <w:r w:rsidR="00397FF5">
        <w:t xml:space="preserve"> 39 </w:t>
      </w:r>
    </w:p>
    <w:p w:rsidR="00947011" w:rsidRPr="00654406" w:rsidRDefault="00947011" w:rsidP="00947011">
      <w:pPr>
        <w:spacing w:after="0" w:line="276" w:lineRule="auto"/>
      </w:pPr>
      <w:r w:rsidRPr="00654406">
        <w:tab/>
        <w:t xml:space="preserve">3.2. Uticaj subvencionisanih cijena na položaj potrošača i proizvođača struje </w:t>
      </w:r>
      <w:r w:rsidR="00914E66">
        <w:tab/>
      </w:r>
      <w:r w:rsidR="00397FF5">
        <w:t xml:space="preserve"> 41 </w:t>
      </w:r>
    </w:p>
    <w:p w:rsidR="00947011" w:rsidRPr="00654406" w:rsidRDefault="00947011" w:rsidP="00947011">
      <w:pPr>
        <w:spacing w:after="0" w:line="276" w:lineRule="auto"/>
      </w:pPr>
      <w:r w:rsidRPr="00654406">
        <w:tab/>
        <w:t xml:space="preserve">3.3. Dobici budžeta države </w:t>
      </w:r>
      <w:r w:rsidR="00914E66">
        <w:tab/>
      </w:r>
      <w:r w:rsidR="00914E66">
        <w:tab/>
      </w:r>
      <w:r w:rsidR="00914E66">
        <w:tab/>
      </w:r>
      <w:r w:rsidR="00914E66">
        <w:tab/>
      </w:r>
      <w:r w:rsidR="00914E66">
        <w:tab/>
      </w:r>
      <w:r w:rsidR="00914E66">
        <w:tab/>
      </w:r>
      <w:r w:rsidR="00914E66">
        <w:tab/>
      </w:r>
      <w:r w:rsidR="001C700D">
        <w:t xml:space="preserve">43 </w:t>
      </w:r>
    </w:p>
    <w:p w:rsidR="00947011" w:rsidRPr="00654406" w:rsidRDefault="00947011" w:rsidP="00947011">
      <w:pPr>
        <w:spacing w:after="0" w:line="276" w:lineRule="auto"/>
      </w:pPr>
      <w:r w:rsidRPr="00654406">
        <w:tab/>
        <w:t xml:space="preserve">3.4. Dobici budžeta lokalne samouprave </w:t>
      </w:r>
      <w:r w:rsidR="00914E66">
        <w:tab/>
      </w:r>
      <w:r w:rsidR="00914E66">
        <w:tab/>
      </w:r>
      <w:r w:rsidR="00914E66">
        <w:tab/>
      </w:r>
      <w:r w:rsidR="00914E66">
        <w:tab/>
      </w:r>
      <w:r w:rsidR="00914E66">
        <w:tab/>
      </w:r>
      <w:r w:rsidR="001C700D">
        <w:t xml:space="preserve"> 47 </w:t>
      </w:r>
    </w:p>
    <w:p w:rsidR="00947011" w:rsidRPr="00654406" w:rsidRDefault="00947011" w:rsidP="00947011">
      <w:pPr>
        <w:spacing w:after="0" w:line="276" w:lineRule="auto"/>
      </w:pPr>
      <w:r w:rsidRPr="00654406">
        <w:tab/>
        <w:t xml:space="preserve">3.5. Dobici zaposlenih </w:t>
      </w:r>
      <w:r w:rsidR="00914E66">
        <w:tab/>
      </w:r>
      <w:r w:rsidR="00914E66">
        <w:tab/>
      </w:r>
      <w:r w:rsidR="00914E66">
        <w:tab/>
      </w:r>
      <w:r w:rsidR="00914E66">
        <w:tab/>
      </w:r>
      <w:r w:rsidR="00914E66">
        <w:tab/>
      </w:r>
      <w:r w:rsidR="00914E66">
        <w:tab/>
      </w:r>
      <w:r w:rsidR="00914E66">
        <w:tab/>
      </w:r>
      <w:r w:rsidR="00914E66">
        <w:tab/>
      </w:r>
      <w:r w:rsidR="001C700D">
        <w:t xml:space="preserve"> 48 </w:t>
      </w:r>
    </w:p>
    <w:p w:rsidR="00947011" w:rsidRPr="00654406" w:rsidRDefault="00947011" w:rsidP="004D1F30">
      <w:pPr>
        <w:spacing w:line="276" w:lineRule="auto"/>
      </w:pPr>
      <w:r w:rsidRPr="00654406">
        <w:tab/>
        <w:t xml:space="preserve">3.6. Ukupne društvene neto koristi projekta iz ugla svih stakeholder </w:t>
      </w:r>
      <w:r w:rsidR="00914E66">
        <w:tab/>
      </w:r>
      <w:r w:rsidR="00914E66">
        <w:tab/>
      </w:r>
      <w:r w:rsidR="001C700D">
        <w:t xml:space="preserve"> 49 </w:t>
      </w:r>
    </w:p>
    <w:p w:rsidR="00DD7990" w:rsidRPr="00654406" w:rsidRDefault="00C1620C" w:rsidP="00BB47ED">
      <w:pPr>
        <w:spacing w:after="0" w:line="276" w:lineRule="auto"/>
      </w:pPr>
      <w:r w:rsidRPr="00654406">
        <w:t>4.</w:t>
      </w:r>
      <w:r w:rsidR="00BB47ED" w:rsidRPr="00654406">
        <w:t xml:space="preserve"> UTICAJ PROJEKATA mHE NA DRUGE SEKTORE U LOKALNOJ ZAJEDNICI </w:t>
      </w:r>
      <w:r w:rsidR="00914E66">
        <w:tab/>
      </w:r>
      <w:r w:rsidR="00914E66">
        <w:tab/>
      </w:r>
      <w:r w:rsidR="00914E66">
        <w:tab/>
      </w:r>
      <w:r w:rsidR="001C700D">
        <w:t xml:space="preserve"> 56 </w:t>
      </w:r>
    </w:p>
    <w:p w:rsidR="00BB47ED" w:rsidRPr="00654406" w:rsidRDefault="00BB47ED" w:rsidP="00BB47ED">
      <w:pPr>
        <w:spacing w:after="0" w:line="276" w:lineRule="auto"/>
      </w:pPr>
      <w:r w:rsidRPr="00654406">
        <w:tab/>
        <w:t xml:space="preserve">4.1. Identifikacija negativnih uticaja i gubitaka u drugim sektorima </w:t>
      </w:r>
      <w:r w:rsidR="00914E66">
        <w:tab/>
      </w:r>
      <w:r w:rsidR="00914E66">
        <w:tab/>
      </w:r>
      <w:r w:rsidR="001C700D">
        <w:t xml:space="preserve"> 56 </w:t>
      </w:r>
    </w:p>
    <w:p w:rsidR="00BB47ED" w:rsidRPr="00654406" w:rsidRDefault="00BB47ED" w:rsidP="00BB47ED">
      <w:pPr>
        <w:spacing w:after="0" w:line="276" w:lineRule="auto"/>
      </w:pPr>
      <w:r w:rsidRPr="00654406">
        <w:tab/>
        <w:t xml:space="preserve">4.2. Mogući gubici u turizmu </w:t>
      </w:r>
      <w:r w:rsidR="00914E66">
        <w:tab/>
      </w:r>
      <w:r w:rsidR="00914E66">
        <w:tab/>
      </w:r>
      <w:r w:rsidR="00914E66">
        <w:tab/>
      </w:r>
      <w:r w:rsidR="00914E66">
        <w:tab/>
      </w:r>
      <w:r w:rsidR="00914E66">
        <w:tab/>
      </w:r>
      <w:r w:rsidR="00914E66">
        <w:tab/>
      </w:r>
      <w:r w:rsidR="00914E66">
        <w:tab/>
      </w:r>
      <w:r w:rsidR="001C700D">
        <w:t xml:space="preserve"> 59 </w:t>
      </w:r>
    </w:p>
    <w:p w:rsidR="00BB47ED" w:rsidRPr="00654406" w:rsidRDefault="00BB47ED" w:rsidP="00BB47ED">
      <w:pPr>
        <w:spacing w:after="0" w:line="276" w:lineRule="auto"/>
      </w:pPr>
      <w:r w:rsidRPr="00654406">
        <w:tab/>
        <w:t xml:space="preserve">4.3. Mogući gubici u poljoprivredi </w:t>
      </w:r>
      <w:r w:rsidR="00914E66">
        <w:tab/>
      </w:r>
      <w:r w:rsidR="00914E66">
        <w:tab/>
      </w:r>
      <w:r w:rsidR="00914E66">
        <w:tab/>
      </w:r>
      <w:r w:rsidR="00914E66">
        <w:tab/>
      </w:r>
      <w:r w:rsidR="00914E66">
        <w:tab/>
      </w:r>
      <w:r w:rsidR="00914E66">
        <w:tab/>
      </w:r>
      <w:r w:rsidR="001C700D">
        <w:t xml:space="preserve">63 </w:t>
      </w:r>
    </w:p>
    <w:p w:rsidR="00BB47ED" w:rsidRPr="00654406" w:rsidRDefault="00BB47ED" w:rsidP="004D1F30">
      <w:pPr>
        <w:spacing w:line="276" w:lineRule="auto"/>
      </w:pPr>
      <w:r w:rsidRPr="00654406">
        <w:tab/>
        <w:t xml:space="preserve">4.4. Društveni tokovi korigovani za efekte u drugim djelatnostima </w:t>
      </w:r>
      <w:r w:rsidR="00914E66">
        <w:tab/>
      </w:r>
      <w:r w:rsidR="00914E66">
        <w:tab/>
      </w:r>
      <w:r w:rsidR="001C700D">
        <w:t xml:space="preserve"> 65 </w:t>
      </w:r>
    </w:p>
    <w:p w:rsidR="00DD7990" w:rsidRPr="00654406" w:rsidRDefault="00C1620C" w:rsidP="00BB47ED">
      <w:pPr>
        <w:spacing w:after="0" w:line="276" w:lineRule="auto"/>
      </w:pPr>
      <w:r w:rsidRPr="00654406">
        <w:t>5.</w:t>
      </w:r>
      <w:r w:rsidR="00DD7990" w:rsidRPr="00654406">
        <w:t xml:space="preserve"> EKOLOŠKI EFEKT</w:t>
      </w:r>
      <w:r w:rsidR="000A7748" w:rsidRPr="00654406">
        <w:t>I I MOGUĆNOST NJIHOVE EKONOMSKE</w:t>
      </w:r>
      <w:r w:rsidR="00DD7990" w:rsidRPr="00654406">
        <w:t xml:space="preserve"> EVALUACIJE </w:t>
      </w:r>
      <w:r w:rsidR="00914E66">
        <w:tab/>
      </w:r>
      <w:r w:rsidR="00914E66">
        <w:tab/>
      </w:r>
      <w:r w:rsidR="00914E66">
        <w:tab/>
      </w:r>
      <w:r w:rsidR="001C700D">
        <w:t xml:space="preserve"> 81 </w:t>
      </w:r>
    </w:p>
    <w:p w:rsidR="00BB47ED" w:rsidRPr="00654406" w:rsidRDefault="00BB47ED" w:rsidP="00BB47ED">
      <w:pPr>
        <w:spacing w:after="0" w:line="276" w:lineRule="auto"/>
      </w:pPr>
      <w:r w:rsidRPr="00654406">
        <w:tab/>
        <w:t xml:space="preserve">5.1. Ekološke usluge </w:t>
      </w:r>
      <w:r w:rsidR="00914E66">
        <w:tab/>
      </w:r>
      <w:r w:rsidR="00914E66">
        <w:tab/>
      </w:r>
      <w:r w:rsidR="00914E66">
        <w:tab/>
      </w:r>
      <w:r w:rsidR="00914E66">
        <w:tab/>
      </w:r>
      <w:r w:rsidR="00914E66">
        <w:tab/>
      </w:r>
      <w:r w:rsidR="00914E66">
        <w:tab/>
      </w:r>
      <w:r w:rsidR="00914E66">
        <w:tab/>
      </w:r>
      <w:r w:rsidR="00914E66">
        <w:tab/>
      </w:r>
      <w:r w:rsidR="001C700D">
        <w:t xml:space="preserve"> 82 </w:t>
      </w:r>
    </w:p>
    <w:p w:rsidR="00BB47ED" w:rsidRPr="00654406" w:rsidRDefault="00BB47ED" w:rsidP="00BB47ED">
      <w:pPr>
        <w:spacing w:after="0" w:line="276" w:lineRule="auto"/>
      </w:pPr>
      <w:r w:rsidRPr="00654406">
        <w:tab/>
        <w:t xml:space="preserve">5.2. Ekonomska vrijednost ekoloških usluga </w:t>
      </w:r>
      <w:r w:rsidR="00914E66">
        <w:tab/>
      </w:r>
      <w:r w:rsidR="00914E66">
        <w:tab/>
      </w:r>
      <w:r w:rsidR="00914E66">
        <w:tab/>
      </w:r>
      <w:r w:rsidR="00914E66">
        <w:tab/>
      </w:r>
      <w:r w:rsidR="00914E66">
        <w:tab/>
      </w:r>
      <w:r w:rsidR="001C700D">
        <w:t xml:space="preserve"> 85 </w:t>
      </w:r>
    </w:p>
    <w:p w:rsidR="00BB47ED" w:rsidRPr="00654406" w:rsidRDefault="00BB47ED" w:rsidP="008343E7">
      <w:pPr>
        <w:spacing w:after="0" w:line="276" w:lineRule="auto"/>
      </w:pPr>
      <w:r w:rsidRPr="00654406">
        <w:tab/>
        <w:t xml:space="preserve">5.3. </w:t>
      </w:r>
      <w:r w:rsidR="008343E7" w:rsidRPr="00654406">
        <w:t xml:space="preserve">Metodi ocjene ekonomske vrijednosti ekoloških usluga </w:t>
      </w:r>
      <w:r w:rsidR="00914E66">
        <w:tab/>
      </w:r>
      <w:r w:rsidR="00914E66">
        <w:tab/>
      </w:r>
      <w:r w:rsidR="00914E66">
        <w:tab/>
      </w:r>
      <w:r w:rsidR="001C700D">
        <w:t xml:space="preserve"> 90 </w:t>
      </w:r>
    </w:p>
    <w:p w:rsidR="008343E7" w:rsidRPr="00654406" w:rsidRDefault="008343E7" w:rsidP="008343E7">
      <w:pPr>
        <w:spacing w:after="0" w:line="276" w:lineRule="auto"/>
      </w:pPr>
      <w:r w:rsidRPr="00654406">
        <w:tab/>
        <w:t xml:space="preserve">5.4. Transfer vrijednosti kao metod ocjene ekoloških efekata </w:t>
      </w:r>
      <w:r w:rsidR="00914E66">
        <w:tab/>
      </w:r>
      <w:r w:rsidR="00914E66">
        <w:tab/>
      </w:r>
      <w:r w:rsidR="00914E66">
        <w:tab/>
      </w:r>
      <w:r w:rsidR="000C679A">
        <w:t xml:space="preserve">94 </w:t>
      </w:r>
    </w:p>
    <w:p w:rsidR="008343E7" w:rsidRPr="00654406" w:rsidRDefault="008343E7" w:rsidP="008343E7">
      <w:pPr>
        <w:spacing w:after="0" w:line="276" w:lineRule="auto"/>
      </w:pPr>
      <w:r w:rsidRPr="00654406">
        <w:tab/>
        <w:t xml:space="preserve">5.5. Kada ne možemo a kada ne moramo vrijednosno izraziti ekološke efekte </w:t>
      </w:r>
      <w:r w:rsidR="00914E66">
        <w:tab/>
      </w:r>
      <w:r w:rsidR="000C679A">
        <w:t xml:space="preserve"> 96 </w:t>
      </w:r>
    </w:p>
    <w:p w:rsidR="008343E7" w:rsidRPr="00654406" w:rsidRDefault="008343E7" w:rsidP="008343E7">
      <w:pPr>
        <w:spacing w:after="0" w:line="276" w:lineRule="auto"/>
      </w:pPr>
      <w:r w:rsidRPr="00654406">
        <w:tab/>
        <w:t xml:space="preserve">5.6. Identifikacija ekoloških problema na mHE Jare i mHE Babino Polje </w:t>
      </w:r>
      <w:r w:rsidR="00914E66">
        <w:tab/>
      </w:r>
      <w:r w:rsidR="00914E66">
        <w:tab/>
      </w:r>
      <w:r w:rsidR="000C679A">
        <w:t xml:space="preserve"> 98 </w:t>
      </w:r>
    </w:p>
    <w:p w:rsidR="008343E7" w:rsidRPr="00654406" w:rsidRDefault="008343E7" w:rsidP="008343E7">
      <w:pPr>
        <w:spacing w:after="0" w:line="276" w:lineRule="auto"/>
      </w:pPr>
      <w:r w:rsidRPr="00654406">
        <w:tab/>
      </w:r>
      <w:r w:rsidRPr="00654406">
        <w:tab/>
        <w:t>a) Nalazi ekološke studije o mHE Jara</w:t>
      </w:r>
      <w:r w:rsidR="00914E66">
        <w:tab/>
      </w:r>
      <w:r w:rsidR="00914E66">
        <w:tab/>
      </w:r>
      <w:r w:rsidR="00914E66">
        <w:tab/>
      </w:r>
      <w:r w:rsidR="00914E66">
        <w:tab/>
      </w:r>
      <w:r w:rsidR="00914E66">
        <w:tab/>
      </w:r>
      <w:r w:rsidR="000C679A">
        <w:t xml:space="preserve"> 98 </w:t>
      </w:r>
    </w:p>
    <w:p w:rsidR="008343E7" w:rsidRPr="00654406" w:rsidRDefault="008343E7" w:rsidP="008343E7">
      <w:pPr>
        <w:spacing w:after="0" w:line="276" w:lineRule="auto"/>
      </w:pPr>
      <w:r w:rsidRPr="00654406">
        <w:tab/>
      </w:r>
      <w:r w:rsidRPr="00654406">
        <w:tab/>
        <w:t xml:space="preserve">b) Nalazi ekološke studije o mHE Babino Polje </w:t>
      </w:r>
      <w:r w:rsidR="00914E66">
        <w:tab/>
      </w:r>
      <w:r w:rsidR="00914E66">
        <w:tab/>
      </w:r>
      <w:r w:rsidR="00914E66">
        <w:tab/>
      </w:r>
      <w:r w:rsidR="00914E66">
        <w:tab/>
      </w:r>
      <w:r w:rsidR="000C679A">
        <w:t xml:space="preserve">101 </w:t>
      </w:r>
    </w:p>
    <w:p w:rsidR="008343E7" w:rsidRPr="00654406" w:rsidRDefault="008343E7" w:rsidP="008343E7">
      <w:pPr>
        <w:spacing w:after="0" w:line="276" w:lineRule="auto"/>
      </w:pPr>
      <w:r w:rsidRPr="00654406">
        <w:tab/>
      </w:r>
      <w:r w:rsidRPr="00654406">
        <w:tab/>
        <w:t xml:space="preserve">c) Ekološki efekti identifikovani nakon dvije godine rada elektrana </w:t>
      </w:r>
      <w:r w:rsidR="00914E66">
        <w:tab/>
      </w:r>
      <w:r w:rsidR="000C679A">
        <w:t xml:space="preserve">105 </w:t>
      </w:r>
    </w:p>
    <w:p w:rsidR="008343E7" w:rsidRDefault="008343E7" w:rsidP="00802C8F">
      <w:pPr>
        <w:spacing w:after="0" w:line="276" w:lineRule="auto"/>
      </w:pPr>
      <w:r w:rsidRPr="00654406">
        <w:tab/>
        <w:t xml:space="preserve">5.7. </w:t>
      </w:r>
      <w:r w:rsidR="00696714" w:rsidRPr="00654406">
        <w:t xml:space="preserve">Ocjena ekonomske vrijednosti neto ekoloških efekata dvije mHE </w:t>
      </w:r>
      <w:r w:rsidR="00914E66">
        <w:tab/>
      </w:r>
      <w:r w:rsidR="00914E66">
        <w:tab/>
      </w:r>
      <w:r w:rsidR="000C679A">
        <w:t xml:space="preserve">107 </w:t>
      </w:r>
    </w:p>
    <w:p w:rsidR="00802C8F" w:rsidRPr="00802C8F" w:rsidRDefault="00802C8F" w:rsidP="00802C8F">
      <w:pPr>
        <w:pStyle w:val="ListParagraph"/>
        <w:numPr>
          <w:ilvl w:val="0"/>
          <w:numId w:val="38"/>
        </w:numPr>
        <w:spacing w:line="276" w:lineRule="auto"/>
        <w:jc w:val="both"/>
      </w:pPr>
      <w:r w:rsidRPr="00802C8F">
        <w:t xml:space="preserve">Ekološke koristi od smanjenja emisije CO2 </w:t>
      </w:r>
      <w:r w:rsidR="00914E66">
        <w:tab/>
      </w:r>
      <w:r w:rsidR="00914E66">
        <w:tab/>
      </w:r>
      <w:r w:rsidR="00914E66">
        <w:tab/>
      </w:r>
      <w:r w:rsidR="00914E66">
        <w:tab/>
      </w:r>
      <w:r w:rsidR="000C679A">
        <w:t xml:space="preserve">107 </w:t>
      </w:r>
    </w:p>
    <w:p w:rsidR="00802C8F" w:rsidRPr="00802C8F" w:rsidRDefault="00802C8F" w:rsidP="004D1F30">
      <w:pPr>
        <w:pStyle w:val="ListParagraph"/>
        <w:numPr>
          <w:ilvl w:val="0"/>
          <w:numId w:val="38"/>
        </w:numPr>
        <w:spacing w:line="276" w:lineRule="auto"/>
        <w:jc w:val="both"/>
      </w:pPr>
      <w:r w:rsidRPr="00802C8F">
        <w:t xml:space="preserve">Ekološke štete usled izgradnje dviju mHE </w:t>
      </w:r>
      <w:r w:rsidR="00914E66">
        <w:tab/>
      </w:r>
      <w:r w:rsidR="00914E66">
        <w:tab/>
      </w:r>
      <w:r w:rsidR="00914E66">
        <w:tab/>
      </w:r>
      <w:r w:rsidR="00914E66">
        <w:tab/>
      </w:r>
      <w:r w:rsidR="000C679A">
        <w:t xml:space="preserve">109 </w:t>
      </w:r>
    </w:p>
    <w:p w:rsidR="005A764D" w:rsidRPr="00654406" w:rsidRDefault="00C1620C" w:rsidP="004D1F30">
      <w:pPr>
        <w:spacing w:line="276" w:lineRule="auto"/>
      </w:pPr>
      <w:r w:rsidRPr="00654406">
        <w:t xml:space="preserve">6. </w:t>
      </w:r>
      <w:r w:rsidR="00DD7990" w:rsidRPr="00654406">
        <w:t xml:space="preserve">ZAKLJUČCI </w:t>
      </w:r>
      <w:r w:rsidR="00914E66">
        <w:tab/>
      </w:r>
      <w:r w:rsidR="00914E66">
        <w:tab/>
      </w:r>
      <w:r w:rsidR="00914E66">
        <w:tab/>
      </w:r>
      <w:r w:rsidR="00914E66">
        <w:tab/>
      </w:r>
      <w:r w:rsidR="00914E66">
        <w:tab/>
      </w:r>
      <w:r w:rsidR="00914E66">
        <w:tab/>
      </w:r>
      <w:r w:rsidR="00914E66">
        <w:tab/>
      </w:r>
      <w:r w:rsidR="00914E66">
        <w:tab/>
      </w:r>
      <w:r w:rsidR="00914E66">
        <w:tab/>
      </w:r>
      <w:r w:rsidR="00914E66">
        <w:tab/>
      </w:r>
      <w:r w:rsidR="000C679A">
        <w:t xml:space="preserve">110 </w:t>
      </w:r>
    </w:p>
    <w:p w:rsidR="00F71FF3" w:rsidRDefault="005A764D" w:rsidP="004D1F30">
      <w:pPr>
        <w:spacing w:line="276" w:lineRule="auto"/>
      </w:pPr>
      <w:r w:rsidRPr="00654406">
        <w:t xml:space="preserve">CITIRANA LITERATURA </w:t>
      </w:r>
      <w:r w:rsidR="00914E66">
        <w:tab/>
      </w:r>
      <w:r w:rsidR="00914E66">
        <w:tab/>
      </w:r>
      <w:r w:rsidR="00914E66">
        <w:tab/>
      </w:r>
      <w:r w:rsidR="00914E66">
        <w:tab/>
      </w:r>
      <w:r w:rsidR="00914E66">
        <w:tab/>
      </w:r>
      <w:r w:rsidR="00914E66">
        <w:tab/>
      </w:r>
      <w:r w:rsidR="00914E66">
        <w:tab/>
      </w:r>
      <w:r w:rsidR="00914E66">
        <w:tab/>
      </w:r>
      <w:r w:rsidR="00914E66">
        <w:tab/>
      </w:r>
      <w:r w:rsidR="000C679A">
        <w:t xml:space="preserve">113 </w:t>
      </w:r>
    </w:p>
    <w:p w:rsidR="002F4BC2" w:rsidRPr="00654406" w:rsidRDefault="002F4BC2" w:rsidP="004D1F30">
      <w:pPr>
        <w:spacing w:line="276" w:lineRule="auto"/>
      </w:pPr>
    </w:p>
    <w:p w:rsidR="00F71FF3" w:rsidRPr="00654406" w:rsidRDefault="00F71FF3" w:rsidP="004D1F30">
      <w:pPr>
        <w:spacing w:line="276" w:lineRule="auto"/>
        <w:sectPr w:rsidR="00F71FF3" w:rsidRPr="00654406" w:rsidSect="00F30281">
          <w:pgSz w:w="12240" w:h="15840" w:code="1"/>
          <w:pgMar w:top="1440" w:right="1440" w:bottom="1440" w:left="1440" w:header="720" w:footer="720" w:gutter="0"/>
          <w:cols w:space="720"/>
          <w:titlePg/>
          <w:docGrid w:linePitch="360"/>
        </w:sectPr>
      </w:pPr>
    </w:p>
    <w:p w:rsidR="00DD7990" w:rsidRPr="004D1F30" w:rsidRDefault="00DD7990" w:rsidP="004D1F30">
      <w:pPr>
        <w:spacing w:line="276" w:lineRule="auto"/>
      </w:pPr>
    </w:p>
    <w:p w:rsidR="00832C48" w:rsidRPr="00E60832" w:rsidRDefault="00832C48" w:rsidP="004D1F30">
      <w:pPr>
        <w:spacing w:line="276" w:lineRule="auto"/>
      </w:pPr>
    </w:p>
    <w:p w:rsidR="00A81EF2" w:rsidRPr="00A81EF2" w:rsidRDefault="00A81EF2" w:rsidP="00A81EF2">
      <w:pPr>
        <w:spacing w:line="276" w:lineRule="auto"/>
        <w:rPr>
          <w:b/>
          <w:sz w:val="28"/>
          <w:szCs w:val="28"/>
        </w:rPr>
      </w:pPr>
      <w:r w:rsidRPr="00A81EF2">
        <w:rPr>
          <w:b/>
          <w:sz w:val="28"/>
          <w:szCs w:val="28"/>
        </w:rPr>
        <w:t>1.</w:t>
      </w:r>
      <w:r w:rsidR="005D34F7" w:rsidRPr="00A81EF2">
        <w:rPr>
          <w:b/>
          <w:sz w:val="28"/>
          <w:szCs w:val="28"/>
        </w:rPr>
        <w:t xml:space="preserve">UVODNE </w:t>
      </w:r>
      <w:r w:rsidR="000A7748" w:rsidRPr="00A81EF2">
        <w:rPr>
          <w:b/>
          <w:sz w:val="28"/>
          <w:szCs w:val="28"/>
        </w:rPr>
        <w:t xml:space="preserve">I METODOLOŠKE </w:t>
      </w:r>
      <w:r w:rsidR="005D34F7" w:rsidRPr="00A81EF2">
        <w:rPr>
          <w:b/>
          <w:sz w:val="28"/>
          <w:szCs w:val="28"/>
        </w:rPr>
        <w:t xml:space="preserve">NAPOMENE </w:t>
      </w:r>
    </w:p>
    <w:p w:rsidR="006B4DBE" w:rsidRPr="00A81EF2" w:rsidRDefault="000D2E5D" w:rsidP="00A81EF2">
      <w:pPr>
        <w:jc w:val="both"/>
      </w:pPr>
      <w:r>
        <w:rPr>
          <w:rFonts w:cs="Times New Roman"/>
        </w:rPr>
        <w:t xml:space="preserve">1. </w:t>
      </w:r>
      <w:r w:rsidR="00387662" w:rsidRPr="00A81EF2">
        <w:rPr>
          <w:rFonts w:cs="Times New Roman"/>
        </w:rPr>
        <w:t>Kljucni</w:t>
      </w:r>
      <w:r w:rsidR="00A81EF2">
        <w:rPr>
          <w:rFonts w:cs="Times New Roman"/>
        </w:rPr>
        <w:t xml:space="preserve">izvodi iz </w:t>
      </w:r>
      <w:r w:rsidR="00A81EF2" w:rsidRPr="00A4481C">
        <w:rPr>
          <w:rFonts w:cs="Times New Roman"/>
          <w:b/>
        </w:rPr>
        <w:t>Ugovora</w:t>
      </w:r>
      <w:r w:rsidR="00A81EF2">
        <w:rPr>
          <w:rFonts w:cs="Times New Roman"/>
        </w:rPr>
        <w:t xml:space="preserve"> kojim je dogovorena ova analiza </w:t>
      </w:r>
      <w:r w:rsidR="003277BC">
        <w:rPr>
          <w:rFonts w:cs="Times New Roman"/>
        </w:rPr>
        <w:t xml:space="preserve">su dati u sledeća dva paragrafa: </w:t>
      </w:r>
    </w:p>
    <w:p w:rsidR="006B4DBE" w:rsidRPr="004D1F30" w:rsidRDefault="006B4DBE" w:rsidP="00A81EF2">
      <w:pPr>
        <w:spacing w:line="276" w:lineRule="auto"/>
        <w:jc w:val="both"/>
        <w:rPr>
          <w:rFonts w:cs="Times New Roman"/>
        </w:rPr>
      </w:pPr>
      <w:r w:rsidRPr="004D1F30">
        <w:rPr>
          <w:rFonts w:cs="Times New Roman"/>
        </w:rPr>
        <w:t xml:space="preserve">“Ekspert će biti angažovan za izradu studije slučaja - </w:t>
      </w:r>
      <w:r w:rsidRPr="004D1F30">
        <w:rPr>
          <w:rFonts w:cs="Times New Roman"/>
          <w:lang w:val="sr-Latn-CS"/>
        </w:rPr>
        <w:t>socio ekonomska analiza eksploatacije selektovanih malih hidroelektrana</w:t>
      </w:r>
      <w:r w:rsidR="00A81EF2">
        <w:rPr>
          <w:rFonts w:cs="Times New Roman"/>
          <w:lang w:val="sr-Latn-CS"/>
        </w:rPr>
        <w:t>.</w:t>
      </w:r>
      <w:r w:rsidRPr="004D1F30">
        <w:rPr>
          <w:rFonts w:cs="Times New Roman"/>
          <w:lang w:val="sr-Latn-CS"/>
        </w:rPr>
        <w:t xml:space="preserve">“ (Napomena autora: Slučajevi su </w:t>
      </w:r>
      <w:r w:rsidR="00A81EF2">
        <w:rPr>
          <w:rFonts w:cs="Times New Roman"/>
          <w:lang w:val="sr-Latn-CS"/>
        </w:rPr>
        <w:t xml:space="preserve">mHE </w:t>
      </w:r>
      <w:r w:rsidRPr="004D1F30">
        <w:rPr>
          <w:rFonts w:cs="Times New Roman"/>
          <w:lang w:val="sr-Latn-CS"/>
        </w:rPr>
        <w:t>Jara i</w:t>
      </w:r>
      <w:r w:rsidR="00A81EF2">
        <w:rPr>
          <w:rFonts w:cs="Times New Roman"/>
          <w:lang w:val="sr-Latn-CS"/>
        </w:rPr>
        <w:t xml:space="preserve"> mHE</w:t>
      </w:r>
      <w:r w:rsidRPr="004D1F30">
        <w:rPr>
          <w:rFonts w:cs="Times New Roman"/>
          <w:lang w:val="sr-Latn-CS"/>
        </w:rPr>
        <w:t xml:space="preserve"> Babino Polje) </w:t>
      </w:r>
    </w:p>
    <w:p w:rsidR="006B4DBE" w:rsidRDefault="006B4DBE" w:rsidP="00A81EF2">
      <w:pPr>
        <w:spacing w:line="276" w:lineRule="auto"/>
        <w:jc w:val="both"/>
        <w:rPr>
          <w:rFonts w:cs="Times New Roman"/>
        </w:rPr>
      </w:pPr>
      <w:r w:rsidRPr="004D1F30">
        <w:rPr>
          <w:rFonts w:cs="Times New Roman"/>
        </w:rPr>
        <w:t xml:space="preserve">“Glavni fokus studije mora biti na uticaju malih hidroelektrana na poljoprivredu, lokalnu infrastrukturu, ribolov i turizam” </w:t>
      </w:r>
    </w:p>
    <w:p w:rsidR="00A70BEB" w:rsidRDefault="00A70BEB" w:rsidP="00A81EF2">
      <w:pPr>
        <w:spacing w:line="276" w:lineRule="auto"/>
        <w:jc w:val="both"/>
        <w:rPr>
          <w:rFonts w:cs="Times New Roman"/>
        </w:rPr>
      </w:pPr>
      <w:r>
        <w:rPr>
          <w:rFonts w:cs="Times New Roman"/>
        </w:rPr>
        <w:t xml:space="preserve">Riječ je očito o zahtevnom zadatku kako u pogledu metodologije koju treba primijeniti u definisanju </w:t>
      </w:r>
      <w:r w:rsidR="00ED2F39">
        <w:rPr>
          <w:rFonts w:cs="Times New Roman"/>
        </w:rPr>
        <w:t xml:space="preserve">i mjerenju </w:t>
      </w:r>
      <w:r>
        <w:rPr>
          <w:rFonts w:cs="Times New Roman"/>
        </w:rPr>
        <w:t>sveobuhvatnog socio-ekonomskog e</w:t>
      </w:r>
      <w:r w:rsidR="00FD674B">
        <w:rPr>
          <w:rFonts w:cs="Times New Roman"/>
        </w:rPr>
        <w:t>f</w:t>
      </w:r>
      <w:r>
        <w:rPr>
          <w:rFonts w:cs="Times New Roman"/>
        </w:rPr>
        <w:t xml:space="preserve">ekta mHE tako i u pogledu podataka </w:t>
      </w:r>
      <w:r w:rsidR="00ED2F39">
        <w:rPr>
          <w:rFonts w:cs="Times New Roman"/>
        </w:rPr>
        <w:t>na kojima se jedna takva metodologija</w:t>
      </w:r>
      <w:r>
        <w:rPr>
          <w:rFonts w:cs="Times New Roman"/>
        </w:rPr>
        <w:t xml:space="preserve"> mora bazirati. U dogovoru sa naručiocem studije smo se saglasili da, s obzirom da je čak i </w:t>
      </w:r>
      <w:r w:rsidR="004B11D3" w:rsidRPr="0040174E">
        <w:rPr>
          <w:rFonts w:cs="Times New Roman"/>
          <w:i/>
        </w:rPr>
        <w:t>Cost Benefit Analiza</w:t>
      </w:r>
      <w:r>
        <w:rPr>
          <w:rFonts w:cs="Times New Roman"/>
        </w:rPr>
        <w:t xml:space="preserve"> (CBA) koju smo primijenili u ovom radu manje poznata našoj stručnoj javnosti i da se čak često brka sa feasibility studijama za pojedine projekte, učinimo dodatni napor i gdje god je potrebno </w:t>
      </w:r>
      <w:r w:rsidR="00ED2F39">
        <w:rPr>
          <w:rFonts w:cs="Times New Roman"/>
        </w:rPr>
        <w:t xml:space="preserve">objasnimo sva važna pitanja analize i mjerenja pojedinih efekata mHE na razne segmente društva. </w:t>
      </w:r>
      <w:r w:rsidR="00F46A41">
        <w:rPr>
          <w:rFonts w:cs="Times New Roman"/>
        </w:rPr>
        <w:t>Sve ovo treba, prema ugovoru, test</w:t>
      </w:r>
      <w:r w:rsidR="000D2E5D">
        <w:rPr>
          <w:rFonts w:cs="Times New Roman"/>
        </w:rPr>
        <w:t>irati na dvije mHE realizovane u</w:t>
      </w:r>
      <w:r w:rsidR="00F46A41">
        <w:rPr>
          <w:rFonts w:cs="Times New Roman"/>
        </w:rPr>
        <w:t xml:space="preserve"> Opštini Plav: mHE Jare i mHE Babino Polje. </w:t>
      </w:r>
    </w:p>
    <w:p w:rsidR="00CB3813" w:rsidRDefault="00CB3813" w:rsidP="00A81EF2">
      <w:pPr>
        <w:spacing w:line="276" w:lineRule="auto"/>
        <w:jc w:val="both"/>
        <w:rPr>
          <w:rFonts w:cs="Times New Roman"/>
        </w:rPr>
      </w:pPr>
      <w:r>
        <w:rPr>
          <w:rFonts w:cs="Times New Roman"/>
        </w:rPr>
        <w:t xml:space="preserve">Poseban problem predstavljao je </w:t>
      </w:r>
      <w:r w:rsidRPr="00A4481C">
        <w:rPr>
          <w:rFonts w:cs="Times New Roman"/>
          <w:b/>
        </w:rPr>
        <w:t>nedostatak podataka</w:t>
      </w:r>
      <w:r>
        <w:rPr>
          <w:rFonts w:cs="Times New Roman"/>
        </w:rPr>
        <w:t xml:space="preserve"> za jednu ovakvu zahtjevnu analizu. Čak ni</w:t>
      </w:r>
      <w:r w:rsidR="000D2E5D">
        <w:rPr>
          <w:rFonts w:cs="Times New Roman"/>
        </w:rPr>
        <w:t>je</w:t>
      </w:r>
      <w:r>
        <w:rPr>
          <w:rFonts w:cs="Times New Roman"/>
        </w:rPr>
        <w:t xml:space="preserve">smo mogli dobiti ni poslovni plan koji smo dva puta tražili od resornog ministarstva a koji je ministarstvo bilo obavezno dostaviti. </w:t>
      </w:r>
      <w:r w:rsidR="006159A5">
        <w:rPr>
          <w:rFonts w:cs="Times New Roman"/>
        </w:rPr>
        <w:t xml:space="preserve">Jednom smo eksplicite odbijeni a drugi put smo odbijeni ćutanjem. </w:t>
      </w:r>
      <w:r>
        <w:rPr>
          <w:rFonts w:cs="Times New Roman"/>
        </w:rPr>
        <w:t>To je vrlo važno ograničenje jer nam poslovni plan služi</w:t>
      </w:r>
      <w:r w:rsidR="003277BC">
        <w:rPr>
          <w:rFonts w:cs="Times New Roman"/>
        </w:rPr>
        <w:t xml:space="preserve"> ne samo kao</w:t>
      </w:r>
      <w:r>
        <w:rPr>
          <w:rFonts w:cs="Times New Roman"/>
        </w:rPr>
        <w:t xml:space="preserve"> osnov za procjenu privat</w:t>
      </w:r>
      <w:r w:rsidR="006159A5">
        <w:rPr>
          <w:rFonts w:cs="Times New Roman"/>
        </w:rPr>
        <w:t>n</w:t>
      </w:r>
      <w:r>
        <w:rPr>
          <w:rFonts w:cs="Times New Roman"/>
        </w:rPr>
        <w:t xml:space="preserve">e isplativosti projekata </w:t>
      </w:r>
      <w:r w:rsidR="003277BC">
        <w:rPr>
          <w:rFonts w:cs="Times New Roman"/>
        </w:rPr>
        <w:t>već, pošto se ostali efekti utvrđuju nadovezivanjem na private, nam taj nedostatak otežavao i posao oko utvrđivanja svih drugih društvenih efekata projekta.</w:t>
      </w:r>
      <w:r>
        <w:rPr>
          <w:rFonts w:cs="Times New Roman"/>
        </w:rPr>
        <w:t xml:space="preserve"> Problem smo riješili na dva načina. </w:t>
      </w:r>
      <w:r w:rsidR="006159A5">
        <w:rPr>
          <w:rFonts w:cs="Times New Roman"/>
        </w:rPr>
        <w:t>Prvo, kom</w:t>
      </w:r>
      <w:r w:rsidR="000D2E5D">
        <w:rPr>
          <w:rFonts w:cs="Times New Roman"/>
        </w:rPr>
        <w:t>b</w:t>
      </w:r>
      <w:r w:rsidR="006159A5">
        <w:rPr>
          <w:rFonts w:cs="Times New Roman"/>
        </w:rPr>
        <w:t>inovali smo podatke iz raznih drugih dokumenata koji su nam b</w:t>
      </w:r>
      <w:r w:rsidR="000D2E5D">
        <w:rPr>
          <w:rFonts w:cs="Times New Roman"/>
        </w:rPr>
        <w:t>ili dostupni, prvenstvemo podatke date</w:t>
      </w:r>
      <w:r w:rsidR="006159A5">
        <w:rPr>
          <w:rFonts w:cs="Times New Roman"/>
        </w:rPr>
        <w:t xml:space="preserve"> u ekološkim studijama i podatke dobijene iz bilansa uspjeha i stanja ove dvije mHE koji su raspoloživi na websiteu poreske službe. Ispostavilo se da se prihodi pa i obim prouzvodnje koji oni impliciraju razlikuju čak za čitavu trećinu</w:t>
      </w:r>
      <w:r w:rsidR="00A61E7D">
        <w:rPr>
          <w:rFonts w:cs="Times New Roman"/>
        </w:rPr>
        <w:t xml:space="preserve"> u ove dvije grupe dokumenata</w:t>
      </w:r>
      <w:r w:rsidR="006159A5">
        <w:rPr>
          <w:rFonts w:cs="Times New Roman"/>
        </w:rPr>
        <w:t xml:space="preserve">. Drugo, u okviru analize osjetljivosti projekta smo napravili </w:t>
      </w:r>
      <w:r w:rsidR="00551763">
        <w:rPr>
          <w:rFonts w:cs="Times New Roman"/>
        </w:rPr>
        <w:t xml:space="preserve">četiri varijante projekta kako bi </w:t>
      </w:r>
      <w:r w:rsidR="00A61E7D">
        <w:rPr>
          <w:rFonts w:cs="Times New Roman"/>
        </w:rPr>
        <w:t>vidjeli ne samo kolika je rentabilnost</w:t>
      </w:r>
      <w:r w:rsidR="00551763" w:rsidRPr="00A4481C">
        <w:rPr>
          <w:rFonts w:cs="Times New Roman"/>
        </w:rPr>
        <w:t>projekta osjetljiva na ulazne varijable, već i da bi ocijenili osjetljivost projekta na vjerodostojnost</w:t>
      </w:r>
      <w:r w:rsidR="00551763">
        <w:rPr>
          <w:rFonts w:cs="Times New Roman"/>
        </w:rPr>
        <w:t xml:space="preserve"> podataka. Naše varijacije su, mada to nije bila prvobitna namjena, </w:t>
      </w:r>
      <w:r w:rsidR="00974725">
        <w:rPr>
          <w:rFonts w:cs="Times New Roman"/>
        </w:rPr>
        <w:t>tačno u rasponu koji dobijamo kada koristimo dva</w:t>
      </w:r>
      <w:r w:rsidR="006D1C87">
        <w:rPr>
          <w:rFonts w:cs="Times New Roman"/>
        </w:rPr>
        <w:t>,</w:t>
      </w:r>
      <w:r w:rsidR="00974725">
        <w:rPr>
          <w:rFonts w:cs="Times New Roman"/>
        </w:rPr>
        <w:t xml:space="preserve"> gore navedena</w:t>
      </w:r>
      <w:r w:rsidR="006D1C87">
        <w:rPr>
          <w:rFonts w:cs="Times New Roman"/>
        </w:rPr>
        <w:t>,</w:t>
      </w:r>
      <w:r w:rsidR="00974725">
        <w:rPr>
          <w:rFonts w:cs="Times New Roman"/>
        </w:rPr>
        <w:t xml:space="preserve"> različita izvora podataka. </w:t>
      </w:r>
    </w:p>
    <w:p w:rsidR="00347383" w:rsidRPr="00C05F6D" w:rsidRDefault="00D61C45" w:rsidP="00671E46">
      <w:pPr>
        <w:spacing w:line="276" w:lineRule="auto"/>
        <w:jc w:val="both"/>
        <w:rPr>
          <w:rFonts w:cs="Times New Roman"/>
        </w:rPr>
      </w:pPr>
      <w:r w:rsidRPr="00C05F6D">
        <w:rPr>
          <w:rFonts w:cs="Times New Roman"/>
        </w:rPr>
        <w:t>2</w:t>
      </w:r>
      <w:r w:rsidR="005310F4" w:rsidRPr="00C05F6D">
        <w:rPr>
          <w:rFonts w:cs="Times New Roman"/>
        </w:rPr>
        <w:t xml:space="preserve">. </w:t>
      </w:r>
      <w:r w:rsidR="00671E46" w:rsidRPr="00C05F6D">
        <w:rPr>
          <w:rFonts w:cs="Times New Roman"/>
        </w:rPr>
        <w:t xml:space="preserve">Izuzetna kompleksnost materije koja je predmet analize nametnula je i potrebu za posebnim pristupom u analizi. </w:t>
      </w:r>
      <w:r w:rsidR="00A033C8" w:rsidRPr="00C05F6D">
        <w:rPr>
          <w:rFonts w:cs="Times New Roman"/>
        </w:rPr>
        <w:t xml:space="preserve">Mnoštvo efekata i uticaja mHE se jedino moglo obuhvatiti sistematskom analizom u kojoj su posebno analizirani </w:t>
      </w:r>
      <w:r w:rsidR="00A033C8" w:rsidRPr="00A4481C">
        <w:rPr>
          <w:rFonts w:cs="Times New Roman"/>
          <w:b/>
        </w:rPr>
        <w:t>pojedi</w:t>
      </w:r>
      <w:r w:rsidR="003F36AA" w:rsidRPr="00A4481C">
        <w:rPr>
          <w:rFonts w:cs="Times New Roman"/>
          <w:b/>
        </w:rPr>
        <w:t xml:space="preserve">ni slojevi realnosti </w:t>
      </w:r>
      <w:r w:rsidR="003F36AA" w:rsidRPr="00C05F6D">
        <w:rPr>
          <w:rFonts w:cs="Times New Roman"/>
        </w:rPr>
        <w:t xml:space="preserve">na koje male hidroelektrane, direktno ili idirektno, imaju uticaja. </w:t>
      </w:r>
      <w:r w:rsidR="00347383" w:rsidRPr="00C05F6D">
        <w:rPr>
          <w:rFonts w:cs="Times New Roman"/>
        </w:rPr>
        <w:t>Pošli smo od jezgra</w:t>
      </w:r>
      <w:r w:rsidR="00774177" w:rsidRPr="00C05F6D">
        <w:rPr>
          <w:rFonts w:cs="Times New Roman"/>
        </w:rPr>
        <w:t xml:space="preserve"> i bližih slojeva uticaja ka najudaljenijim </w:t>
      </w:r>
      <w:r w:rsidR="00347383" w:rsidRPr="00C05F6D">
        <w:rPr>
          <w:rFonts w:cs="Times New Roman"/>
        </w:rPr>
        <w:t xml:space="preserve">slojevima i </w:t>
      </w:r>
      <w:r w:rsidR="00774177" w:rsidRPr="00C05F6D">
        <w:rPr>
          <w:rFonts w:cs="Times New Roman"/>
        </w:rPr>
        <w:t>sferama uticaja projek</w:t>
      </w:r>
      <w:r w:rsidR="00347383" w:rsidRPr="00C05F6D">
        <w:rPr>
          <w:rFonts w:cs="Times New Roman"/>
        </w:rPr>
        <w:t>a</w:t>
      </w:r>
      <w:r w:rsidR="00774177" w:rsidRPr="00C05F6D">
        <w:rPr>
          <w:rFonts w:cs="Times New Roman"/>
        </w:rPr>
        <w:t xml:space="preserve">ta. </w:t>
      </w:r>
      <w:r w:rsidR="00347383" w:rsidRPr="00C05F6D">
        <w:rPr>
          <w:rFonts w:cs="Times New Roman"/>
        </w:rPr>
        <w:t>Sama organizacija izlaganja koje slijedi upravo prati ove slojeve analize.</w:t>
      </w:r>
      <w:r w:rsidR="00E13883" w:rsidRPr="00C05F6D">
        <w:rPr>
          <w:rFonts w:cs="Times New Roman"/>
        </w:rPr>
        <w:t xml:space="preserve"> Tu spadaju sledeći slojevi analize: analiza uticaja mHE projekata na poziciju stock-holdere, odnosno investiture; analiza uticaja projekta na poziciju ostalih stake-holdere (potrošači, javni sector, zaposleni); analiza eksternih </w:t>
      </w:r>
      <w:r w:rsidR="00E13883" w:rsidRPr="00C05F6D">
        <w:rPr>
          <w:rFonts w:cs="Times New Roman"/>
        </w:rPr>
        <w:lastRenderedPageBreak/>
        <w:t>efekata projekta, posebno analiza uticaja na ostale djelatnosti i na životnu sredinu; konačno treba dati i</w:t>
      </w:r>
      <w:r w:rsidR="00901556" w:rsidRPr="00C05F6D">
        <w:rPr>
          <w:rFonts w:cs="Times New Roman"/>
        </w:rPr>
        <w:t xml:space="preserve"> analizu (re)distributivnih uticaja.</w:t>
      </w:r>
      <w:r w:rsidR="00347383" w:rsidRPr="00C05F6D">
        <w:rPr>
          <w:rFonts w:cs="Times New Roman"/>
        </w:rPr>
        <w:t xml:space="preserve">Slijedi par riječi o svakom od njih. </w:t>
      </w:r>
    </w:p>
    <w:p w:rsidR="003819DD" w:rsidRPr="00C05F6D" w:rsidRDefault="00774177" w:rsidP="00671E46">
      <w:pPr>
        <w:spacing w:line="276" w:lineRule="auto"/>
        <w:jc w:val="both"/>
        <w:rPr>
          <w:rFonts w:cs="Times New Roman"/>
        </w:rPr>
      </w:pPr>
      <w:r w:rsidRPr="00C05F6D">
        <w:rPr>
          <w:rFonts w:cs="Times New Roman"/>
        </w:rPr>
        <w:t>Prirodno, razmatranje otpočinjemo analizom isplativosti projekta iz perspektive direktnog s</w:t>
      </w:r>
      <w:r w:rsidR="0089636A" w:rsidRPr="00C05F6D">
        <w:rPr>
          <w:rFonts w:cs="Times New Roman"/>
        </w:rPr>
        <w:t>t</w:t>
      </w:r>
      <w:r w:rsidRPr="00C05F6D">
        <w:rPr>
          <w:rFonts w:cs="Times New Roman"/>
        </w:rPr>
        <w:t xml:space="preserve">ock-holdera, odnosno investitora i zajmodavca kao indirektnog i privremenog investitora. Ova nam analiza daje ocjenu privatne rentabilnosti projekta. </w:t>
      </w:r>
      <w:r w:rsidR="007E080C" w:rsidRPr="00C05F6D">
        <w:rPr>
          <w:rFonts w:cs="Times New Roman"/>
        </w:rPr>
        <w:t xml:space="preserve">Kao što je već ranije rečeno, kako bi riješili problem nedostatka i neizvjesnosti podataka </w:t>
      </w:r>
      <w:r w:rsidR="00805FB9" w:rsidRPr="00C05F6D">
        <w:rPr>
          <w:rFonts w:cs="Times New Roman"/>
        </w:rPr>
        <w:t>i</w:t>
      </w:r>
      <w:r w:rsidR="007E080C" w:rsidRPr="00C05F6D">
        <w:rPr>
          <w:rFonts w:cs="Times New Roman"/>
        </w:rPr>
        <w:t xml:space="preserve"> istovremeno ispitali osjetljivost projekta, ovu analizu smo napravili u četiri varijante. Pošto se sledeći slojevi analize nadovezuju </w:t>
      </w:r>
      <w:r w:rsidR="00805FB9" w:rsidRPr="00C05F6D">
        <w:rPr>
          <w:rFonts w:cs="Times New Roman"/>
        </w:rPr>
        <w:t xml:space="preserve">i nadograđuju </w:t>
      </w:r>
      <w:r w:rsidR="007E080C" w:rsidRPr="00C05F6D">
        <w:rPr>
          <w:rFonts w:cs="Times New Roman"/>
        </w:rPr>
        <w:t>na</w:t>
      </w:r>
      <w:r w:rsidR="00857EED" w:rsidRPr="00C05F6D">
        <w:rPr>
          <w:rFonts w:cs="Times New Roman"/>
        </w:rPr>
        <w:t>ovaj</w:t>
      </w:r>
      <w:r w:rsidR="00805FB9" w:rsidRPr="00C05F6D">
        <w:rPr>
          <w:rFonts w:cs="Times New Roman"/>
        </w:rPr>
        <w:t xml:space="preserve"> sloj</w:t>
      </w:r>
      <w:r w:rsidR="00857EED" w:rsidRPr="00C05F6D">
        <w:rPr>
          <w:rFonts w:cs="Times New Roman"/>
        </w:rPr>
        <w:t xml:space="preserve">, logićno je </w:t>
      </w:r>
      <w:r w:rsidR="00805FB9" w:rsidRPr="00C05F6D">
        <w:rPr>
          <w:rFonts w:cs="Times New Roman"/>
        </w:rPr>
        <w:t xml:space="preserve">da su i sve ostale analize raznih slojeva date u četiri varijante. </w:t>
      </w:r>
    </w:p>
    <w:p w:rsidR="00DB0601" w:rsidRPr="00C05F6D" w:rsidRDefault="00DB0601" w:rsidP="00671E46">
      <w:pPr>
        <w:spacing w:line="276" w:lineRule="auto"/>
        <w:jc w:val="both"/>
        <w:rPr>
          <w:rFonts w:cs="Times New Roman"/>
        </w:rPr>
      </w:pPr>
      <w:r w:rsidRPr="00C05F6D">
        <w:rPr>
          <w:rFonts w:cs="Times New Roman"/>
        </w:rPr>
        <w:t>Nakon toga pristupa se analizi isplativosti projekta iz perspektive svih ostalih subjekata koji imaju interesa u projektu malih hidroelektrana. Njih obično n</w:t>
      </w:r>
      <w:r w:rsidR="00027464" w:rsidRPr="00C05F6D">
        <w:rPr>
          <w:rFonts w:cs="Times New Roman"/>
        </w:rPr>
        <w:t>azivamo ostalim stake-holderima. Nazivamo ih</w:t>
      </w:r>
      <w:r w:rsidRPr="00C05F6D">
        <w:rPr>
          <w:rFonts w:cs="Times New Roman"/>
        </w:rPr>
        <w:t xml:space="preserve"> ostalim zato što i stock-holderi predstavljaju stake-holdere</w:t>
      </w:r>
      <w:r w:rsidR="00027464" w:rsidRPr="00C05F6D">
        <w:rPr>
          <w:rFonts w:cs="Times New Roman"/>
        </w:rPr>
        <w:t xml:space="preserve"> i to često, mada ne nužno, najvažnije stake-holdere</w:t>
      </w:r>
      <w:r w:rsidRPr="00C05F6D">
        <w:rPr>
          <w:rFonts w:cs="Times New Roman"/>
        </w:rPr>
        <w:t xml:space="preserve">. </w:t>
      </w:r>
      <w:r w:rsidR="0060028F" w:rsidRPr="00C05F6D">
        <w:rPr>
          <w:rFonts w:cs="Times New Roman"/>
        </w:rPr>
        <w:t xml:space="preserve">Među ostale stake-holdere spadaju prije svega potrošači električne energije koji </w:t>
      </w:r>
      <w:r w:rsidR="00027464" w:rsidRPr="00C05F6D">
        <w:rPr>
          <w:rFonts w:cs="Times New Roman"/>
        </w:rPr>
        <w:t>i</w:t>
      </w:r>
      <w:r w:rsidR="0060028F" w:rsidRPr="00C05F6D">
        <w:rPr>
          <w:rFonts w:cs="Times New Roman"/>
        </w:rPr>
        <w:t xml:space="preserve">te kako mogu </w:t>
      </w:r>
      <w:r w:rsidR="00E13883" w:rsidRPr="00C05F6D">
        <w:rPr>
          <w:rFonts w:cs="Times New Roman"/>
        </w:rPr>
        <w:t xml:space="preserve">biti </w:t>
      </w:r>
      <w:r w:rsidR="0060028F" w:rsidRPr="00C05F6D">
        <w:rPr>
          <w:rFonts w:cs="Times New Roman"/>
        </w:rPr>
        <w:t xml:space="preserve">izloženi pozitivnom ili </w:t>
      </w:r>
      <w:r w:rsidR="00E13883" w:rsidRPr="00C05F6D">
        <w:rPr>
          <w:rFonts w:cs="Times New Roman"/>
        </w:rPr>
        <w:t>negativnom uticaju mHE</w:t>
      </w:r>
      <w:r w:rsidR="0060028F" w:rsidRPr="00C05F6D">
        <w:rPr>
          <w:rFonts w:cs="Times New Roman"/>
        </w:rPr>
        <w:t xml:space="preserve"> projekata. U konkretnom slučaju na pozitivnoj strani se nalaze navodni ekološki uticaji vezani za smanjenu emisiju CO2 koju bi dalja potrošnja struje bazirane na termo elektranama </w:t>
      </w:r>
      <w:r w:rsidR="00027464" w:rsidRPr="00C05F6D">
        <w:rPr>
          <w:rFonts w:cs="Times New Roman"/>
        </w:rPr>
        <w:t xml:space="preserve">nužno povećala. Na negativnoj strani se nalaze subvencije proizvođačima struje iz malih hidro elektrana a koje mogu imati eksplicitnog i vidljivog uticaja na smanjenje blagostanja potrošača, onda kada potrošači plaćaju subvencije </w:t>
      </w:r>
      <w:r w:rsidR="007759C0" w:rsidRPr="00C05F6D">
        <w:rPr>
          <w:rFonts w:cs="Times New Roman"/>
        </w:rPr>
        <w:t>“na računima” za struju, ili njihov uticaj može biti implicitan i manje vidljiv</w:t>
      </w:r>
      <w:r w:rsidR="00FC6D94" w:rsidRPr="00C05F6D">
        <w:rPr>
          <w:rFonts w:cs="Times New Roman"/>
        </w:rPr>
        <w:t>,</w:t>
      </w:r>
      <w:r w:rsidR="007759C0" w:rsidRPr="00C05F6D">
        <w:rPr>
          <w:rFonts w:cs="Times New Roman"/>
        </w:rPr>
        <w:t xml:space="preserve"> onda kada se subvencije plaćaju iz budžeta, odnosno iz poreza koje potrošači kao građani plaćaju. </w:t>
      </w:r>
      <w:r w:rsidR="00B60FC0" w:rsidRPr="00C05F6D">
        <w:rPr>
          <w:rFonts w:cs="Times New Roman"/>
        </w:rPr>
        <w:t xml:space="preserve">U negativne efekte projekta na potrošače / građane spadaju i negativni ekološki uticaji koje, kao što ćemo u ovoj analizi videti, same mHE mogu proizvesti. </w:t>
      </w:r>
    </w:p>
    <w:p w:rsidR="008A69F2" w:rsidRPr="00C05F6D" w:rsidRDefault="008A69F2" w:rsidP="00671E46">
      <w:pPr>
        <w:spacing w:line="276" w:lineRule="auto"/>
        <w:jc w:val="both"/>
        <w:rPr>
          <w:rFonts w:cs="Times New Roman"/>
        </w:rPr>
      </w:pPr>
      <w:r w:rsidRPr="00C05F6D">
        <w:rPr>
          <w:rFonts w:cs="Times New Roman"/>
        </w:rPr>
        <w:t xml:space="preserve">Sledeću važnu </w:t>
      </w:r>
      <w:r w:rsidR="00FC6D94" w:rsidRPr="00C05F6D">
        <w:rPr>
          <w:rFonts w:cs="Times New Roman"/>
        </w:rPr>
        <w:t>kategoriju stake-holdera čini javni sektor. Uticaj projekta se ovdje ispoljava prvo kroz povećanje prihoda državnog budžeta nastalog usled plaćanja koncesija za korišćenje vodotokova i naknada za korišćenje voda,</w:t>
      </w:r>
      <w:r w:rsidR="00B60FC0" w:rsidRPr="00C05F6D">
        <w:rPr>
          <w:rFonts w:cs="Times New Roman"/>
        </w:rPr>
        <w:t xml:space="preserve"> zatim</w:t>
      </w:r>
      <w:r w:rsidR="00FC6D94" w:rsidRPr="00C05F6D">
        <w:rPr>
          <w:rFonts w:cs="Times New Roman"/>
        </w:rPr>
        <w:t xml:space="preserve"> usled prirasta poreza na dodatu vrijednost, poreza na profit i poreza na plate zaposlenih koje su direktna posledica realizacije investicije u mHE</w:t>
      </w:r>
      <w:r w:rsidR="00B60FC0" w:rsidRPr="00C05F6D">
        <w:rPr>
          <w:rFonts w:cs="Times New Roman"/>
        </w:rPr>
        <w:t>. Takođe o</w:t>
      </w:r>
      <w:r w:rsidR="00FC6D94" w:rsidRPr="00C05F6D">
        <w:rPr>
          <w:rFonts w:cs="Times New Roman"/>
        </w:rPr>
        <w:t xml:space="preserve">vdje </w:t>
      </w:r>
      <w:r w:rsidR="00B60FC0" w:rsidRPr="00C05F6D">
        <w:rPr>
          <w:rFonts w:cs="Times New Roman"/>
        </w:rPr>
        <w:t>spada</w:t>
      </w:r>
      <w:r w:rsidR="00FC6D94" w:rsidRPr="00C05F6D">
        <w:rPr>
          <w:rFonts w:cs="Times New Roman"/>
        </w:rPr>
        <w:t xml:space="preserve"> i prirast prihoda lokalne samouprave koji nastaje usled realizacije investicije. </w:t>
      </w:r>
      <w:r w:rsidR="00B60FC0" w:rsidRPr="00C05F6D">
        <w:rPr>
          <w:rFonts w:cs="Times New Roman"/>
        </w:rPr>
        <w:t xml:space="preserve">Naravno, mora se uzeti u obzir samo onaj prirast javnih prihoda koji je direktna posledica investicije u mHE a ne i onaj prirast koji je posledica preusmjeravanja prihoda usled subvencija i ostalih privilegija koje mHE imaju. </w:t>
      </w:r>
      <w:r w:rsidR="0057394C" w:rsidRPr="00C05F6D">
        <w:rPr>
          <w:rFonts w:cs="Times New Roman"/>
        </w:rPr>
        <w:t xml:space="preserve">Konačno, poslednju kategoriju stake-holdera </w:t>
      </w:r>
      <w:r w:rsidR="007E080C" w:rsidRPr="00C05F6D">
        <w:rPr>
          <w:rFonts w:cs="Times New Roman"/>
        </w:rPr>
        <w:t xml:space="preserve">čine zaposleni čiji su dobici od projekta njihove plate i zarade. </w:t>
      </w:r>
    </w:p>
    <w:p w:rsidR="00A32659" w:rsidRPr="00C05F6D" w:rsidRDefault="00893D9B" w:rsidP="00671E46">
      <w:pPr>
        <w:spacing w:line="276" w:lineRule="auto"/>
        <w:jc w:val="both"/>
        <w:rPr>
          <w:rFonts w:cs="Times New Roman"/>
        </w:rPr>
      </w:pPr>
      <w:r w:rsidRPr="00C05F6D">
        <w:rPr>
          <w:rFonts w:cs="Times New Roman"/>
        </w:rPr>
        <w:t>Nakon analize uticaja projekata mHE na blagostanje os</w:t>
      </w:r>
      <w:r w:rsidR="00783677" w:rsidRPr="00C05F6D">
        <w:rPr>
          <w:rFonts w:cs="Times New Roman"/>
        </w:rPr>
        <w:t>talih stake-holdere pristupa</w:t>
      </w:r>
      <w:r w:rsidRPr="00C05F6D">
        <w:rPr>
          <w:rFonts w:cs="Times New Roman"/>
        </w:rPr>
        <w:t>mo razmatranju onog sloja</w:t>
      </w:r>
      <w:r w:rsidR="00AB4074" w:rsidRPr="00C05F6D">
        <w:rPr>
          <w:rFonts w:cs="Times New Roman"/>
        </w:rPr>
        <w:t xml:space="preserve"> analize u kojem se ispituju eksterni efekti projekta. Ovdje su posebno analizirane dvije vrste eksternih efekata. Prvu kategoriju eksternih efekata čine oni efekti koji se odnose na uticaj konkretnog projekta na ostale sektore privrede. </w:t>
      </w:r>
      <w:r w:rsidR="002F4010" w:rsidRPr="00C05F6D">
        <w:rPr>
          <w:rFonts w:cs="Times New Roman"/>
        </w:rPr>
        <w:t xml:space="preserve">Ova vrsta efekata se ponekad naziva i Maršalijanskim eksternim efektima. Idealno bi bilo kada bi mogli primijeniti </w:t>
      </w:r>
      <w:r w:rsidR="00800A7B" w:rsidRPr="00C05F6D">
        <w:rPr>
          <w:rFonts w:cs="Times New Roman"/>
        </w:rPr>
        <w:t>među-</w:t>
      </w:r>
      <w:r w:rsidR="002F4010" w:rsidRPr="00C05F6D">
        <w:rPr>
          <w:rFonts w:cs="Times New Roman"/>
        </w:rPr>
        <w:t xml:space="preserve">regionalnu </w:t>
      </w:r>
      <w:r w:rsidR="00800A7B" w:rsidRPr="00C05F6D">
        <w:rPr>
          <w:rFonts w:cs="Times New Roman"/>
        </w:rPr>
        <w:t xml:space="preserve">varijantu Leontijevljeve </w:t>
      </w:r>
      <w:r w:rsidR="00800A7B" w:rsidRPr="00C05F6D">
        <w:rPr>
          <w:rFonts w:cs="Times New Roman"/>
          <w:i/>
        </w:rPr>
        <w:t>međusektorske</w:t>
      </w:r>
      <w:r w:rsidR="00800A7B" w:rsidRPr="00C05F6D">
        <w:rPr>
          <w:rFonts w:cs="Times New Roman"/>
        </w:rPr>
        <w:t>ili</w:t>
      </w:r>
      <w:r w:rsidR="00800A7B" w:rsidRPr="00C05F6D">
        <w:rPr>
          <w:rFonts w:cs="Times New Roman"/>
          <w:i/>
        </w:rPr>
        <w:t>Input-Output</w:t>
      </w:r>
      <w:r w:rsidR="00800A7B" w:rsidRPr="00C05F6D">
        <w:rPr>
          <w:rFonts w:cs="Times New Roman"/>
        </w:rPr>
        <w:t xml:space="preserve"> analize</w:t>
      </w:r>
      <w:r w:rsidR="002F4010" w:rsidRPr="00C05F6D">
        <w:rPr>
          <w:rFonts w:cs="Times New Roman"/>
        </w:rPr>
        <w:t xml:space="preserve"> za precizno mjerenje ovih uticaja. </w:t>
      </w:r>
      <w:r w:rsidR="00FB4D99" w:rsidRPr="00C05F6D">
        <w:rPr>
          <w:rFonts w:cs="Times New Roman"/>
        </w:rPr>
        <w:t>Nažalost, ovako neš</w:t>
      </w:r>
      <w:r w:rsidR="002F4010" w:rsidRPr="00C05F6D">
        <w:rPr>
          <w:rFonts w:cs="Times New Roman"/>
        </w:rPr>
        <w:t>to ni mnogo bogatije zemlje ne mogu priuštiti, već</w:t>
      </w:r>
      <w:r w:rsidR="00FB4D99" w:rsidRPr="00C05F6D">
        <w:rPr>
          <w:rFonts w:cs="Times New Roman"/>
        </w:rPr>
        <w:t xml:space="preserve"> se pristupa samo analizi najvaž</w:t>
      </w:r>
      <w:r w:rsidR="002F4010" w:rsidRPr="00C05F6D">
        <w:rPr>
          <w:rFonts w:cs="Times New Roman"/>
        </w:rPr>
        <w:t xml:space="preserve">nijih uticaja i </w:t>
      </w:r>
      <w:r w:rsidR="003E7F9B" w:rsidRPr="00C05F6D">
        <w:rPr>
          <w:rFonts w:cs="Times New Roman"/>
        </w:rPr>
        <w:t xml:space="preserve">koridora, odnosno </w:t>
      </w:r>
      <w:r w:rsidR="002F4010" w:rsidRPr="00C05F6D">
        <w:rPr>
          <w:rFonts w:cs="Times New Roman"/>
        </w:rPr>
        <w:t>veza pr</w:t>
      </w:r>
      <w:r w:rsidR="003E7F9B" w:rsidRPr="00C05F6D">
        <w:rPr>
          <w:rFonts w:cs="Times New Roman"/>
        </w:rPr>
        <w:t>eko kojih se ti uticaji prenose</w:t>
      </w:r>
      <w:r w:rsidR="00FB4D99" w:rsidRPr="00C05F6D">
        <w:rPr>
          <w:rFonts w:cs="Times New Roman"/>
        </w:rPr>
        <w:t xml:space="preserve"> na ostale sektore i grane privrede.</w:t>
      </w:r>
      <w:r w:rsidR="0032631A" w:rsidRPr="00C05F6D">
        <w:rPr>
          <w:rStyle w:val="FootnoteReference"/>
          <w:rFonts w:cs="Times New Roman"/>
        </w:rPr>
        <w:footnoteReference w:id="2"/>
      </w:r>
      <w:r w:rsidR="003E7F9B" w:rsidRPr="00C05F6D">
        <w:rPr>
          <w:rFonts w:cs="Times New Roman"/>
        </w:rPr>
        <w:t xml:space="preserve">Ova analiza se ponekad naziva </w:t>
      </w:r>
      <w:r w:rsidR="003E7F9B" w:rsidRPr="00C05F6D">
        <w:rPr>
          <w:rFonts w:cs="Times New Roman"/>
          <w:i/>
        </w:rPr>
        <w:t>Linkage</w:t>
      </w:r>
      <w:r w:rsidR="003E7F9B" w:rsidRPr="00C05F6D">
        <w:rPr>
          <w:rFonts w:cs="Times New Roman"/>
        </w:rPr>
        <w:t xml:space="preserve"> analizom. Njome se prvo utvrđuju </w:t>
      </w:r>
      <w:r w:rsidR="00A32659" w:rsidRPr="00C05F6D">
        <w:rPr>
          <w:rFonts w:cs="Times New Roman"/>
          <w:i/>
        </w:rPr>
        <w:t>Back</w:t>
      </w:r>
      <w:r w:rsidR="003E7F9B" w:rsidRPr="00C05F6D">
        <w:rPr>
          <w:rFonts w:cs="Times New Roman"/>
          <w:i/>
        </w:rPr>
        <w:t xml:space="preserve">ward Linkage </w:t>
      </w:r>
      <w:r w:rsidR="00A32659" w:rsidRPr="00C05F6D">
        <w:rPr>
          <w:rFonts w:cs="Times New Roman"/>
        </w:rPr>
        <w:t>(</w:t>
      </w:r>
      <w:r w:rsidR="005417A4" w:rsidRPr="00C05F6D">
        <w:rPr>
          <w:rFonts w:cs="Times New Roman"/>
        </w:rPr>
        <w:t>veze</w:t>
      </w:r>
      <w:r w:rsidR="00A32659" w:rsidRPr="00C05F6D">
        <w:rPr>
          <w:rFonts w:cs="Times New Roman"/>
        </w:rPr>
        <w:t xml:space="preserve"> unazad) </w:t>
      </w:r>
      <w:r w:rsidR="003E7F9B" w:rsidRPr="00C05F6D">
        <w:rPr>
          <w:rFonts w:cs="Times New Roman"/>
        </w:rPr>
        <w:t xml:space="preserve">tj oni uticaji projekta na druge djelatnosti koji nastaju kao rezultat </w:t>
      </w:r>
      <w:r w:rsidR="00A32659" w:rsidRPr="00C05F6D">
        <w:rPr>
          <w:rFonts w:cs="Times New Roman"/>
        </w:rPr>
        <w:t>činjenice da novi investicijoni sadržaj</w:t>
      </w:r>
      <w:r w:rsidR="005417A4" w:rsidRPr="00C05F6D">
        <w:rPr>
          <w:rFonts w:cs="Times New Roman"/>
        </w:rPr>
        <w:t>,</w:t>
      </w:r>
      <w:r w:rsidR="00A32659" w:rsidRPr="00C05F6D">
        <w:rPr>
          <w:rFonts w:cs="Times New Roman"/>
        </w:rPr>
        <w:t xml:space="preserve"> i u toku gradnje i docnije </w:t>
      </w:r>
      <w:r w:rsidR="00A32659" w:rsidRPr="00C05F6D">
        <w:rPr>
          <w:rFonts w:cs="Times New Roman"/>
        </w:rPr>
        <w:lastRenderedPageBreak/>
        <w:t>u toku funkcionisanja</w:t>
      </w:r>
      <w:r w:rsidR="005417A4" w:rsidRPr="00C05F6D">
        <w:rPr>
          <w:rFonts w:cs="Times New Roman"/>
        </w:rPr>
        <w:t>,</w:t>
      </w:r>
      <w:r w:rsidR="00A32659" w:rsidRPr="00C05F6D">
        <w:rPr>
          <w:rFonts w:cs="Times New Roman"/>
        </w:rPr>
        <w:t xml:space="preserve"> kupuje različite proizvode i usluge od drugih djelatnosti, stvarajući na taj način tražnju za njihovim proizvodima i uslugama i podstičući na taj način njihov razvoj i rast. </w:t>
      </w:r>
      <w:r w:rsidR="005417A4" w:rsidRPr="00C05F6D">
        <w:rPr>
          <w:rFonts w:cs="Times New Roman"/>
        </w:rPr>
        <w:t>U velikim zemljama je ova vrsta uticaja posebno snažna, dok je kod malih zemalja, kakva je Crna Gora, ovaj uticaj zanemarljiv zbog činjenica da rast pomenute tražnje najčešće bude apsorbovan od strane uvoza. Primijetimio, takođe, da ovaj</w:t>
      </w:r>
      <w:r w:rsidR="004000C5" w:rsidRPr="00C05F6D">
        <w:rPr>
          <w:rFonts w:cs="Times New Roman"/>
        </w:rPr>
        <w:t xml:space="preserve"> uticaj unazad može imati i </w:t>
      </w:r>
      <w:r w:rsidR="005417A4" w:rsidRPr="00C05F6D">
        <w:rPr>
          <w:rFonts w:cs="Times New Roman"/>
        </w:rPr>
        <w:t>negativan efekat</w:t>
      </w:r>
      <w:r w:rsidR="004000C5" w:rsidRPr="00C05F6D">
        <w:rPr>
          <w:rFonts w:cs="Times New Roman"/>
        </w:rPr>
        <w:t xml:space="preserve"> u onim slučajevima kada su proizvodi ili resursi koji se </w:t>
      </w:r>
      <w:r w:rsidR="0032631A" w:rsidRPr="00C05F6D">
        <w:rPr>
          <w:rFonts w:cs="Times New Roman"/>
        </w:rPr>
        <w:t xml:space="preserve">koriste i </w:t>
      </w:r>
      <w:r w:rsidR="004000C5" w:rsidRPr="00C05F6D">
        <w:rPr>
          <w:rFonts w:cs="Times New Roman"/>
        </w:rPr>
        <w:t>kupuju ograničeni na način da njihovo korišćenje od nov</w:t>
      </w:r>
      <w:r w:rsidR="005417A4" w:rsidRPr="00C05F6D">
        <w:rPr>
          <w:rFonts w:cs="Times New Roman"/>
        </w:rPr>
        <w:t>e investicije sprečava njihovu u</w:t>
      </w:r>
      <w:r w:rsidR="004000C5" w:rsidRPr="00C05F6D">
        <w:rPr>
          <w:rFonts w:cs="Times New Roman"/>
        </w:rPr>
        <w:t xml:space="preserve">potrebu od drugih djelatnosti i samim tim ometa razvoj tih drugih djelatnosti. Ovdje se upravo javlja takav negativan uticaj na ravoj poljoprivrede i turizma. Sledeće što sledi u ovoj analizi je tzv </w:t>
      </w:r>
      <w:r w:rsidR="004000C5" w:rsidRPr="00C05F6D">
        <w:rPr>
          <w:rFonts w:cs="Times New Roman"/>
          <w:i/>
        </w:rPr>
        <w:t>Forward Linkage</w:t>
      </w:r>
      <w:r w:rsidR="004000C5" w:rsidRPr="00C05F6D">
        <w:rPr>
          <w:rFonts w:cs="Times New Roman"/>
        </w:rPr>
        <w:t xml:space="preserve"> (veze naprijed) analiza, gdje se novi investicioni sadržaj posmatra kao prodavac usluga </w:t>
      </w:r>
      <w:r w:rsidR="005417A4" w:rsidRPr="00C05F6D">
        <w:rPr>
          <w:rFonts w:cs="Times New Roman"/>
        </w:rPr>
        <w:t>i</w:t>
      </w:r>
      <w:r w:rsidR="004000C5" w:rsidRPr="00C05F6D">
        <w:rPr>
          <w:rFonts w:cs="Times New Roman"/>
        </w:rPr>
        <w:t xml:space="preserve"> na taj način neko ko delimitiranjem ponude može uticati na pozitivan rast sektora koji se javljaju kao kupci njegovih proizvoda. </w:t>
      </w:r>
      <w:r w:rsidR="005417A4" w:rsidRPr="00C05F6D">
        <w:rPr>
          <w:rFonts w:cs="Times New Roman"/>
        </w:rPr>
        <w:t xml:space="preserve">Bitno je napomenuti da se u </w:t>
      </w:r>
      <w:r w:rsidR="005417A4" w:rsidRPr="00C05F6D">
        <w:rPr>
          <w:rFonts w:cs="Times New Roman"/>
          <w:i/>
        </w:rPr>
        <w:t>Foreward Linkage</w:t>
      </w:r>
      <w:r w:rsidR="005417A4" w:rsidRPr="00C05F6D">
        <w:rPr>
          <w:rFonts w:cs="Times New Roman"/>
        </w:rPr>
        <w:t xml:space="preserve"> analizi pogotovo smatra poželjnim rast izvoznog sektora. </w:t>
      </w:r>
      <w:r w:rsidR="00D53734" w:rsidRPr="00C05F6D">
        <w:rPr>
          <w:rFonts w:cs="Times New Roman"/>
        </w:rPr>
        <w:t xml:space="preserve">Ovo je posebno važno za male zemlje </w:t>
      </w:r>
      <w:r w:rsidR="00D61C45" w:rsidRPr="00C05F6D">
        <w:rPr>
          <w:rFonts w:cs="Times New Roman"/>
        </w:rPr>
        <w:t xml:space="preserve">koje </w:t>
      </w:r>
      <w:r w:rsidR="00D53734" w:rsidRPr="00C05F6D">
        <w:rPr>
          <w:rFonts w:cs="Times New Roman"/>
        </w:rPr>
        <w:t>poput Crne Gore</w:t>
      </w:r>
      <w:r w:rsidR="00D61C45" w:rsidRPr="00C05F6D">
        <w:rPr>
          <w:rFonts w:cs="Times New Roman"/>
        </w:rPr>
        <w:t xml:space="preserve"> imaju negativan trgovinski bilans</w:t>
      </w:r>
      <w:r w:rsidR="00D53734" w:rsidRPr="00C05F6D">
        <w:rPr>
          <w:rFonts w:cs="Times New Roman"/>
        </w:rPr>
        <w:t xml:space="preserve">. </w:t>
      </w:r>
    </w:p>
    <w:p w:rsidR="008A69F2" w:rsidRPr="00C05F6D" w:rsidRDefault="00AB4074" w:rsidP="00671E46">
      <w:pPr>
        <w:spacing w:line="276" w:lineRule="auto"/>
        <w:jc w:val="both"/>
        <w:rPr>
          <w:rFonts w:cs="Times New Roman"/>
        </w:rPr>
      </w:pPr>
      <w:r w:rsidRPr="00C05F6D">
        <w:rPr>
          <w:rFonts w:cs="Times New Roman"/>
        </w:rPr>
        <w:t>U konkretnom slučaju</w:t>
      </w:r>
      <w:r w:rsidR="00304347" w:rsidRPr="00C05F6D">
        <w:rPr>
          <w:rFonts w:cs="Times New Roman"/>
        </w:rPr>
        <w:t xml:space="preserve"> dvije mHE u Plavu</w:t>
      </w:r>
      <w:r w:rsidRPr="00C05F6D">
        <w:rPr>
          <w:rFonts w:cs="Times New Roman"/>
        </w:rPr>
        <w:t>, zbog činjenice da se radi o malim projektima koj</w:t>
      </w:r>
      <w:r w:rsidR="00D61C45" w:rsidRPr="00C05F6D">
        <w:rPr>
          <w:rFonts w:cs="Times New Roman"/>
        </w:rPr>
        <w:t>i ne mogu imati širi uticaj, gore razmatrani eksterniu</w:t>
      </w:r>
      <w:r w:rsidRPr="00C05F6D">
        <w:rPr>
          <w:rFonts w:cs="Times New Roman"/>
        </w:rPr>
        <w:t xml:space="preserve"> efekti se odnose </w:t>
      </w:r>
      <w:r w:rsidR="00FB4D99" w:rsidRPr="00C05F6D">
        <w:rPr>
          <w:rFonts w:cs="Times New Roman"/>
        </w:rPr>
        <w:t xml:space="preserve">dominantno </w:t>
      </w:r>
      <w:r w:rsidRPr="00C05F6D">
        <w:rPr>
          <w:rFonts w:cs="Times New Roman"/>
        </w:rPr>
        <w:t xml:space="preserve">na lokalnu privredu Plava i Gusinja. </w:t>
      </w:r>
      <w:r w:rsidR="002F4010" w:rsidRPr="00C05F6D">
        <w:rPr>
          <w:rFonts w:cs="Times New Roman"/>
        </w:rPr>
        <w:t xml:space="preserve">Još konkretnije, riječ je o </w:t>
      </w:r>
      <w:r w:rsidR="0038297A" w:rsidRPr="00C05F6D">
        <w:rPr>
          <w:rFonts w:cs="Times New Roman"/>
        </w:rPr>
        <w:t xml:space="preserve">negativnom </w:t>
      </w:r>
      <w:r w:rsidR="002F4010" w:rsidRPr="00C05F6D">
        <w:rPr>
          <w:rFonts w:cs="Times New Roman"/>
        </w:rPr>
        <w:t xml:space="preserve">uticaju na lokalnu poljoprivredu i o </w:t>
      </w:r>
      <w:r w:rsidR="0038297A" w:rsidRPr="00C05F6D">
        <w:rPr>
          <w:rFonts w:cs="Times New Roman"/>
        </w:rPr>
        <w:t xml:space="preserve">negativnom </w:t>
      </w:r>
      <w:r w:rsidR="002F4010" w:rsidRPr="00C05F6D">
        <w:rPr>
          <w:rFonts w:cs="Times New Roman"/>
        </w:rPr>
        <w:t>uticaju na turizam</w:t>
      </w:r>
      <w:r w:rsidR="00FB4D99" w:rsidRPr="00C05F6D">
        <w:rPr>
          <w:rFonts w:cs="Times New Roman"/>
        </w:rPr>
        <w:t xml:space="preserve"> (uključujući lovni i ribolvni turizam)</w:t>
      </w:r>
      <w:r w:rsidR="002F4010" w:rsidRPr="00C05F6D">
        <w:rPr>
          <w:rFonts w:cs="Times New Roman"/>
        </w:rPr>
        <w:t xml:space="preserve"> koji predstavlja značajan razvojni resurs ne samo lokalne zajednice već i cijele države. </w:t>
      </w:r>
      <w:r w:rsidR="00D61C45" w:rsidRPr="00C05F6D">
        <w:rPr>
          <w:rFonts w:cs="Times New Roman"/>
        </w:rPr>
        <w:t>Negativan efekat koji ovdje imamo kod poljoprivrede i turizma je očito</w:t>
      </w:r>
      <w:r w:rsidR="0032631A" w:rsidRPr="00C05F6D">
        <w:rPr>
          <w:rFonts w:cs="Times New Roman"/>
        </w:rPr>
        <w:t>, kao što smo već rekli,</w:t>
      </w:r>
      <w:r w:rsidR="00D61C45" w:rsidRPr="00C05F6D">
        <w:rPr>
          <w:rFonts w:cs="Times New Roman"/>
        </w:rPr>
        <w:t xml:space="preserve"> posledica k</w:t>
      </w:r>
      <w:r w:rsidR="00304347" w:rsidRPr="00C05F6D">
        <w:rPr>
          <w:rFonts w:cs="Times New Roman"/>
        </w:rPr>
        <w:t>onflikta interesa koji imamo u vezi sa korišćenjem</w:t>
      </w:r>
      <w:r w:rsidR="00D61C45" w:rsidRPr="00C05F6D">
        <w:rPr>
          <w:rFonts w:cs="Times New Roman"/>
        </w:rPr>
        <w:t xml:space="preserve"> resursa vodotoka.</w:t>
      </w:r>
      <w:r w:rsidR="00304347" w:rsidRPr="00C05F6D">
        <w:rPr>
          <w:rFonts w:cs="Times New Roman"/>
        </w:rPr>
        <w:t xml:space="preserve"> Ograničenost ovog resursa, tj činjenica da korišćenje resursa od strane jedne djelatnosti vodi isključivanju drugih djelatnosti, čini pomenute konflikte snažnim izvorom negativnih eksternih efekata.</w:t>
      </w:r>
      <w:r w:rsidR="00FB4D99" w:rsidRPr="00C05F6D">
        <w:rPr>
          <w:rFonts w:cs="Times New Roman"/>
        </w:rPr>
        <w:t>Treba napomenuti da, zbog nedostatka podataka, ni ove uticaje nijesmo mogli preci</w:t>
      </w:r>
      <w:r w:rsidR="00D61C45" w:rsidRPr="00C05F6D">
        <w:rPr>
          <w:rFonts w:cs="Times New Roman"/>
        </w:rPr>
        <w:t>z</w:t>
      </w:r>
      <w:r w:rsidR="00FB4D99" w:rsidRPr="00C05F6D">
        <w:rPr>
          <w:rFonts w:cs="Times New Roman"/>
        </w:rPr>
        <w:t xml:space="preserve">no </w:t>
      </w:r>
      <w:r w:rsidR="00D61C45" w:rsidRPr="00C05F6D">
        <w:rPr>
          <w:rFonts w:cs="Times New Roman"/>
        </w:rPr>
        <w:t>iz</w:t>
      </w:r>
      <w:r w:rsidR="00FB4D99" w:rsidRPr="00C05F6D">
        <w:rPr>
          <w:rFonts w:cs="Times New Roman"/>
        </w:rPr>
        <w:t>mjeriti</w:t>
      </w:r>
      <w:r w:rsidR="00304347" w:rsidRPr="00C05F6D">
        <w:rPr>
          <w:rFonts w:cs="Times New Roman"/>
        </w:rPr>
        <w:t xml:space="preserve">. Umjesto tako ambicioznog ali nemogućeg posla mi </w:t>
      </w:r>
      <w:r w:rsidR="00FB4D99" w:rsidRPr="00C05F6D">
        <w:rPr>
          <w:rFonts w:cs="Times New Roman"/>
        </w:rPr>
        <w:t xml:space="preserve">smo pošli od određenog broja krajnje konzervativnih pretpostavki kako bi utvrdili najmanji mogući negativan uticaj projekata mHE na ove djelatnosti. </w:t>
      </w:r>
      <w:r w:rsidR="0038297A" w:rsidRPr="00C05F6D">
        <w:rPr>
          <w:rFonts w:cs="Times New Roman"/>
        </w:rPr>
        <w:t xml:space="preserve">Pokazalo se da su i tako podcijenjeni mali uticaji, sami za sebe, </w:t>
      </w:r>
      <w:r w:rsidR="00D61C45" w:rsidRPr="00C05F6D">
        <w:rPr>
          <w:rFonts w:cs="Times New Roman"/>
        </w:rPr>
        <w:t>dovoljni da ponište eventualne</w:t>
      </w:r>
      <w:r w:rsidR="00CC6699" w:rsidRPr="00C05F6D">
        <w:rPr>
          <w:rFonts w:cs="Times New Roman"/>
        </w:rPr>
        <w:t xml:space="preserve"> poz</w:t>
      </w:r>
      <w:r w:rsidR="0038297A" w:rsidRPr="00C05F6D">
        <w:rPr>
          <w:rFonts w:cs="Times New Roman"/>
        </w:rPr>
        <w:t xml:space="preserve">itivne efekte projekata. </w:t>
      </w:r>
    </w:p>
    <w:p w:rsidR="00AB4074" w:rsidRPr="00C05F6D" w:rsidRDefault="0038297A" w:rsidP="00671E46">
      <w:pPr>
        <w:spacing w:line="276" w:lineRule="auto"/>
        <w:jc w:val="both"/>
        <w:rPr>
          <w:rFonts w:cs="Times New Roman"/>
        </w:rPr>
      </w:pPr>
      <w:r w:rsidRPr="00C05F6D">
        <w:rPr>
          <w:rFonts w:cs="Times New Roman"/>
        </w:rPr>
        <w:t xml:space="preserve">Drugu kategoriju eksternih efekata čine ekološki efekti. </w:t>
      </w:r>
      <w:r w:rsidR="003E7F9B" w:rsidRPr="00C05F6D">
        <w:rPr>
          <w:rFonts w:cs="Times New Roman"/>
        </w:rPr>
        <w:t xml:space="preserve">U posebnom poglavlju će biti više riječi o metodologiji relevantnoj za ove eksterne efekte. Ovdje dajemo samo par nužnih uvodnih napomena o njima. </w:t>
      </w:r>
      <w:r w:rsidRPr="00C05F6D">
        <w:rPr>
          <w:rFonts w:cs="Times New Roman"/>
        </w:rPr>
        <w:t xml:space="preserve">Kao što smo </w:t>
      </w:r>
      <w:r w:rsidR="003E7F9B" w:rsidRPr="00C05F6D">
        <w:rPr>
          <w:rFonts w:cs="Times New Roman"/>
        </w:rPr>
        <w:t xml:space="preserve">ranije </w:t>
      </w:r>
      <w:r w:rsidRPr="00C05F6D">
        <w:rPr>
          <w:rFonts w:cs="Times New Roman"/>
        </w:rPr>
        <w:t>rekli oni u konkretnom slučaju mHE mogu biti i pozitivni i negativni. Pozitivnim efektima (smanjena emisija CO2)</w:t>
      </w:r>
      <w:r w:rsidR="008037E9" w:rsidRPr="00C05F6D">
        <w:rPr>
          <w:rFonts w:cs="Times New Roman"/>
        </w:rPr>
        <w:t xml:space="preserve"> i činjenicom da obdje imamo posla sa obnovljivim izvorima energije</w:t>
      </w:r>
      <w:r w:rsidRPr="00C05F6D">
        <w:rPr>
          <w:rFonts w:cs="Times New Roman"/>
        </w:rPr>
        <w:t xml:space="preserve"> se najčešće i opravdava izgradnja mH</w:t>
      </w:r>
      <w:r w:rsidR="008037E9" w:rsidRPr="00C05F6D">
        <w:rPr>
          <w:rFonts w:cs="Times New Roman"/>
        </w:rPr>
        <w:t>E kao alternativnog izvora energije</w:t>
      </w:r>
      <w:r w:rsidRPr="00C05F6D">
        <w:rPr>
          <w:rFonts w:cs="Times New Roman"/>
        </w:rPr>
        <w:t>. No, vidjećemo da</w:t>
      </w:r>
      <w:r w:rsidR="008037E9" w:rsidRPr="00C05F6D">
        <w:rPr>
          <w:rFonts w:cs="Times New Roman"/>
        </w:rPr>
        <w:t>, uglavnom zbog načina realizacije projekta,</w:t>
      </w:r>
      <w:r w:rsidRPr="00C05F6D">
        <w:rPr>
          <w:rFonts w:cs="Times New Roman"/>
        </w:rPr>
        <w:t xml:space="preserve"> ovdje postoje i značajni negativni ekološki efekti</w:t>
      </w:r>
      <w:r w:rsidR="008037E9" w:rsidRPr="00C05F6D">
        <w:rPr>
          <w:rFonts w:cs="Times New Roman"/>
        </w:rPr>
        <w:t xml:space="preserve">. </w:t>
      </w:r>
      <w:r w:rsidR="00750B2D" w:rsidRPr="00C05F6D">
        <w:rPr>
          <w:rFonts w:cs="Times New Roman"/>
        </w:rPr>
        <w:t>Vidjećemo da u</w:t>
      </w:r>
      <w:r w:rsidR="008037E9" w:rsidRPr="00C05F6D">
        <w:rPr>
          <w:rFonts w:cs="Times New Roman"/>
        </w:rPr>
        <w:t xml:space="preserve"> ovom slučaju negativni eksterni efekti</w:t>
      </w:r>
      <w:r w:rsidRPr="00C05F6D">
        <w:rPr>
          <w:rFonts w:cs="Times New Roman"/>
        </w:rPr>
        <w:t xml:space="preserve"> prevazilaze i inače dubiozne pozitivne eksterne efekte. </w:t>
      </w:r>
    </w:p>
    <w:p w:rsidR="0038297A" w:rsidRPr="00C05F6D" w:rsidRDefault="00E57445" w:rsidP="00671E46">
      <w:pPr>
        <w:spacing w:line="276" w:lineRule="auto"/>
        <w:jc w:val="both"/>
        <w:rPr>
          <w:rFonts w:cs="Times New Roman"/>
        </w:rPr>
      </w:pPr>
      <w:r w:rsidRPr="00C05F6D">
        <w:rPr>
          <w:rFonts w:cs="Times New Roman"/>
        </w:rPr>
        <w:t xml:space="preserve">Konačno, poslednji sloj analize </w:t>
      </w:r>
      <w:r w:rsidR="00630BDC" w:rsidRPr="00C05F6D">
        <w:rPr>
          <w:rFonts w:cs="Times New Roman"/>
        </w:rPr>
        <w:t xml:space="preserve">odnosi se na pitanje </w:t>
      </w:r>
      <w:r w:rsidR="00BC3C8D" w:rsidRPr="00C05F6D">
        <w:rPr>
          <w:rFonts w:cs="Times New Roman"/>
        </w:rPr>
        <w:t>(re)</w:t>
      </w:r>
      <w:r w:rsidR="00630BDC" w:rsidRPr="00C05F6D">
        <w:rPr>
          <w:rFonts w:cs="Times New Roman"/>
        </w:rPr>
        <w:t xml:space="preserve">distributivnih </w:t>
      </w:r>
      <w:r w:rsidR="00BC3C8D" w:rsidRPr="00C05F6D">
        <w:rPr>
          <w:rFonts w:cs="Times New Roman"/>
        </w:rPr>
        <w:t xml:space="preserve">efekata koje projekat može imati. </w:t>
      </w:r>
      <w:r w:rsidR="00D97F91" w:rsidRPr="00C05F6D">
        <w:rPr>
          <w:rFonts w:cs="Times New Roman"/>
        </w:rPr>
        <w:t xml:space="preserve">Riječ je o jednoj od najvažnijih od mnoštva dimenzija analize socijalnih efekata projekata. </w:t>
      </w:r>
      <w:r w:rsidR="00BC3C8D" w:rsidRPr="00C05F6D">
        <w:rPr>
          <w:rFonts w:cs="Times New Roman"/>
        </w:rPr>
        <w:t xml:space="preserve">Ovdje je riječ o pitanju dali projekat povećava ili smanjuje društvene nejednakosti, ko su gubitnici a ko dobitnici projekta, postoji li mogućnost da se gubitnici na adekvatan način kompenziraju i slična pitanja. Ova pitanja kod svakog novog projekta sama po sebi zavređuju posebnu analizu jer su najčešće vrlo složena. Srećom ovdje je riječ o dva projekta malih dimenzija pa nije komplikovano utvrditi </w:t>
      </w:r>
      <w:r w:rsidR="00304347" w:rsidRPr="00C05F6D">
        <w:rPr>
          <w:rFonts w:cs="Times New Roman"/>
        </w:rPr>
        <w:t>očigledne re</w:t>
      </w:r>
      <w:r w:rsidR="00BC3C8D" w:rsidRPr="00C05F6D">
        <w:rPr>
          <w:rFonts w:cs="Times New Roman"/>
        </w:rPr>
        <w:t>distributivne efekte</w:t>
      </w:r>
      <w:r w:rsidR="00347383" w:rsidRPr="00C05F6D">
        <w:rPr>
          <w:rFonts w:cs="Times New Roman"/>
        </w:rPr>
        <w:t xml:space="preserve"> i bez detaljne studije</w:t>
      </w:r>
      <w:r w:rsidR="00BC3C8D" w:rsidRPr="00C05F6D">
        <w:rPr>
          <w:rFonts w:cs="Times New Roman"/>
        </w:rPr>
        <w:t xml:space="preserve">. Zato nema potrebe </w:t>
      </w:r>
      <w:r w:rsidR="00923620" w:rsidRPr="00C05F6D">
        <w:rPr>
          <w:rFonts w:cs="Times New Roman"/>
        </w:rPr>
        <w:t xml:space="preserve">ni </w:t>
      </w:r>
      <w:r w:rsidR="00BC3C8D" w:rsidRPr="00C05F6D">
        <w:rPr>
          <w:rFonts w:cs="Times New Roman"/>
        </w:rPr>
        <w:t xml:space="preserve">da se ovom sloju analize posveti </w:t>
      </w:r>
      <w:r w:rsidR="00BC3C8D" w:rsidRPr="00C05F6D">
        <w:rPr>
          <w:rFonts w:cs="Times New Roman"/>
        </w:rPr>
        <w:lastRenderedPageBreak/>
        <w:t xml:space="preserve">posebna glava, kao što je to slučaj sa ostalim slojevima, već se ovi efekti analiziraju u svim ostalim </w:t>
      </w:r>
      <w:r w:rsidR="00347383" w:rsidRPr="00C05F6D">
        <w:rPr>
          <w:rFonts w:cs="Times New Roman"/>
        </w:rPr>
        <w:t xml:space="preserve">dijelovima a posebno u dijelu koji se bavi efikasnošću projekta iz perspective ostalih stake-holdera. </w:t>
      </w:r>
    </w:p>
    <w:p w:rsidR="00D97F91" w:rsidRPr="00C05F6D" w:rsidRDefault="00D97F91" w:rsidP="00671E46">
      <w:pPr>
        <w:spacing w:line="276" w:lineRule="auto"/>
        <w:jc w:val="both"/>
        <w:rPr>
          <w:rFonts w:cs="Times New Roman"/>
        </w:rPr>
      </w:pPr>
      <w:r w:rsidRPr="00C05F6D">
        <w:rPr>
          <w:rFonts w:cs="Times New Roman"/>
        </w:rPr>
        <w:t xml:space="preserve">Ostale važne socijalne efekte koje projekti za sobom povlače a koje, zbog činjenice da se ovdje radi o projektu malih dimenzija, nećemo posebno razmatrati čine </w:t>
      </w:r>
      <w:r w:rsidR="00A0591F" w:rsidRPr="00C05F6D">
        <w:rPr>
          <w:rFonts w:cs="Times New Roman"/>
        </w:rPr>
        <w:t>sledći efekti: promjene odnosno jačanje organizacionog kapaciteta, razvoj novog znanja i vještina u okviru zajednice, promjena stavova i ponašanja u vezi sa obnovljivom energijom i inovacijama za nove tehnologije, te konačno mogući uticaj projekata na razvoj socijalnog kapitala.</w:t>
      </w:r>
      <w:r w:rsidR="00A0591F" w:rsidRPr="00C05F6D">
        <w:rPr>
          <w:rStyle w:val="FootnoteReference"/>
          <w:rFonts w:cs="Times New Roman"/>
        </w:rPr>
        <w:footnoteReference w:id="3"/>
      </w:r>
      <w:r w:rsidR="00A0591F" w:rsidRPr="00C05F6D">
        <w:rPr>
          <w:rFonts w:cs="Times New Roman"/>
        </w:rPr>
        <w:t xml:space="preserve"> Pitanje </w:t>
      </w:r>
      <w:r w:rsidR="005F6DFF" w:rsidRPr="00C05F6D">
        <w:rPr>
          <w:rFonts w:cs="Times New Roman"/>
        </w:rPr>
        <w:t xml:space="preserve">socijalnog kapitala posebno se pomno analizira u poslednjih tridesetak godina zahvaljujući važnom radu američkog sociologa Jamesa Comemana (1998) koji de fakto uvodi ovaj pojam u društvene nauke. </w:t>
      </w:r>
      <w:r w:rsidR="002B2BE5" w:rsidRPr="00C05F6D">
        <w:rPr>
          <w:rFonts w:cs="Times New Roman"/>
        </w:rPr>
        <w:t>Rast socijalnog</w:t>
      </w:r>
      <w:r w:rsidR="005F6DFF" w:rsidRPr="00C05F6D">
        <w:rPr>
          <w:rFonts w:cs="Times New Roman"/>
        </w:rPr>
        <w:t xml:space="preserve"> capital</w:t>
      </w:r>
      <w:r w:rsidR="002B2BE5" w:rsidRPr="00C05F6D">
        <w:rPr>
          <w:rFonts w:cs="Times New Roman"/>
        </w:rPr>
        <w:t>a</w:t>
      </w:r>
      <w:r w:rsidR="005F6DFF" w:rsidRPr="00C05F6D">
        <w:rPr>
          <w:rFonts w:cs="Times New Roman"/>
        </w:rPr>
        <w:t xml:space="preserve"> se</w:t>
      </w:r>
      <w:r w:rsidR="002B2BE5" w:rsidRPr="00C05F6D">
        <w:rPr>
          <w:rFonts w:cs="Times New Roman"/>
        </w:rPr>
        <w:t xml:space="preserve"> ovdjemože javiti</w:t>
      </w:r>
      <w:r w:rsidR="005F6DFF" w:rsidRPr="00C05F6D">
        <w:rPr>
          <w:rFonts w:cs="Times New Roman"/>
        </w:rPr>
        <w:t xml:space="preserve"> kao posledica složenih socijalnih procesa koje novi projekti mogu pokrenuti a, s druge strane, sam socijalni capital može imati snažnog uticaja na svekolike ekonomske i društvene procese. </w:t>
      </w:r>
      <w:r w:rsidR="005E7562" w:rsidRPr="00C05F6D">
        <w:rPr>
          <w:rFonts w:cs="Times New Roman"/>
        </w:rPr>
        <w:t xml:space="preserve">Ako je </w:t>
      </w:r>
      <w:r w:rsidR="002B2BE5" w:rsidRPr="00C05F6D">
        <w:rPr>
          <w:rFonts w:cs="Times New Roman"/>
        </w:rPr>
        <w:t>riječ o porastu socijlnog</w:t>
      </w:r>
      <w:r w:rsidR="005E7562" w:rsidRPr="00C05F6D">
        <w:rPr>
          <w:rFonts w:cs="Times New Roman"/>
        </w:rPr>
        <w:t xml:space="preserve"> capital</w:t>
      </w:r>
      <w:r w:rsidR="002B2BE5" w:rsidRPr="00C05F6D">
        <w:rPr>
          <w:rFonts w:cs="Times New Roman"/>
        </w:rPr>
        <w:t>a</w:t>
      </w:r>
      <w:r w:rsidR="005E7562" w:rsidRPr="00C05F6D">
        <w:rPr>
          <w:rFonts w:cs="Times New Roman"/>
        </w:rPr>
        <w:t xml:space="preserve"> opšteg karaktera, </w:t>
      </w:r>
      <w:r w:rsidR="002B2BE5" w:rsidRPr="00C05F6D">
        <w:rPr>
          <w:rFonts w:cs="Times New Roman"/>
        </w:rPr>
        <w:t>recimo</w:t>
      </w:r>
      <w:r w:rsidR="00B6102D" w:rsidRPr="00C05F6D">
        <w:rPr>
          <w:rFonts w:cs="Times New Roman"/>
        </w:rPr>
        <w:t xml:space="preserve"> o</w:t>
      </w:r>
      <w:r w:rsidR="002B2BE5" w:rsidRPr="00C05F6D">
        <w:rPr>
          <w:rFonts w:cs="Times New Roman"/>
        </w:rPr>
        <w:t xml:space="preserve"> porastpovjerenja</w:t>
      </w:r>
      <w:r w:rsidR="005E7562" w:rsidRPr="00C05F6D">
        <w:rPr>
          <w:rFonts w:cs="Times New Roman"/>
        </w:rPr>
        <w:t xml:space="preserve"> u </w:t>
      </w:r>
      <w:r w:rsidR="005E7562" w:rsidRPr="00C05F6D">
        <w:rPr>
          <w:rFonts w:cs="Times New Roman"/>
          <w:i/>
        </w:rPr>
        <w:t>društvo uopšte</w:t>
      </w:r>
      <w:r w:rsidR="002B2BE5" w:rsidRPr="00C05F6D">
        <w:rPr>
          <w:rFonts w:cs="Times New Roman"/>
        </w:rPr>
        <w:t xml:space="preserve">, </w:t>
      </w:r>
      <w:r w:rsidR="00B6102D" w:rsidRPr="00C05F6D">
        <w:rPr>
          <w:rFonts w:cs="Times New Roman"/>
        </w:rPr>
        <w:t xml:space="preserve">tada prirast socijalnog kapitala nužno ima pozitivne uticaje na ekonomiju i sve ostale dimenzije društve. Ako je pak riječ o rastu </w:t>
      </w:r>
      <w:r w:rsidR="00B6102D" w:rsidRPr="00C05F6D">
        <w:rPr>
          <w:rFonts w:cs="Times New Roman"/>
          <w:i/>
        </w:rPr>
        <w:t xml:space="preserve">partikularnog socijalnog kapitala </w:t>
      </w:r>
      <w:r w:rsidR="00B6102D" w:rsidRPr="00C05F6D">
        <w:rPr>
          <w:rFonts w:cs="Times New Roman"/>
        </w:rPr>
        <w:t>onda on može voditi porastu blagostanja pojedinih društvenih grupa ali ne mora nužno voditi rastu blagostanja društva u cjelini.</w:t>
      </w:r>
      <w:r w:rsidR="00B6102D" w:rsidRPr="00C05F6D">
        <w:rPr>
          <w:rStyle w:val="FootnoteReference"/>
          <w:rFonts w:cs="Times New Roman"/>
        </w:rPr>
        <w:footnoteReference w:id="4"/>
      </w:r>
    </w:p>
    <w:p w:rsidR="00671E46" w:rsidRPr="00C05F6D" w:rsidRDefault="00D61C45" w:rsidP="00671E46">
      <w:pPr>
        <w:spacing w:line="276" w:lineRule="auto"/>
        <w:jc w:val="both"/>
        <w:rPr>
          <w:rFonts w:cs="Times New Roman"/>
        </w:rPr>
      </w:pPr>
      <w:r w:rsidRPr="00C05F6D">
        <w:rPr>
          <w:rFonts w:cs="Times New Roman"/>
        </w:rPr>
        <w:t>3</w:t>
      </w:r>
      <w:r w:rsidR="00923620" w:rsidRPr="00C05F6D">
        <w:rPr>
          <w:rFonts w:cs="Times New Roman"/>
        </w:rPr>
        <w:t>. Dakle,</w:t>
      </w:r>
      <w:r w:rsidR="00671E46" w:rsidRPr="00C05F6D">
        <w:rPr>
          <w:rFonts w:cs="Times New Roman"/>
        </w:rPr>
        <w:t xml:space="preserve"> ovdje se uticaji na pojedine oblasti života analiziraju kao slojevi koji se jedan po jedan dodaju kako bi došli do kompletnog uticaja projekata n</w:t>
      </w:r>
      <w:r w:rsidR="00923620" w:rsidRPr="00C05F6D">
        <w:rPr>
          <w:rFonts w:cs="Times New Roman"/>
        </w:rPr>
        <w:t>a društveno blagostanje. Otuda i</w:t>
      </w:r>
      <w:r w:rsidR="00671E46" w:rsidRPr="00C05F6D">
        <w:rPr>
          <w:rFonts w:cs="Times New Roman"/>
        </w:rPr>
        <w:t xml:space="preserve"> naslov analize: “Procjena kumulativnih uticaja malih hidroelektrana …” Ovakva slojevita i kumulativna</w:t>
      </w:r>
      <w:r w:rsidR="009C6D8A" w:rsidRPr="00C05F6D">
        <w:rPr>
          <w:rFonts w:cs="Times New Roman"/>
        </w:rPr>
        <w:t xml:space="preserve"> analiza je, uz to, i dinamična. </w:t>
      </w:r>
      <w:r w:rsidR="00671E46" w:rsidRPr="00C05F6D">
        <w:rPr>
          <w:rFonts w:cs="Times New Roman"/>
        </w:rPr>
        <w:t>CBA analizi koju ovdje primjenjujemo</w:t>
      </w:r>
      <w:r w:rsidR="009C6D8A" w:rsidRPr="00C05F6D">
        <w:rPr>
          <w:rFonts w:cs="Times New Roman"/>
        </w:rPr>
        <w:t xml:space="preserve"> je u suštini dinamična analiza</w:t>
      </w:r>
      <w:r w:rsidR="00671E46" w:rsidRPr="00C05F6D">
        <w:rPr>
          <w:rFonts w:cs="Times New Roman"/>
        </w:rPr>
        <w:t>.</w:t>
      </w:r>
      <w:r w:rsidR="00C32172" w:rsidRPr="00C05F6D">
        <w:rPr>
          <w:rStyle w:val="FootnoteReference"/>
          <w:rFonts w:cs="Times New Roman"/>
        </w:rPr>
        <w:footnoteReference w:id="5"/>
      </w:r>
      <w:r w:rsidR="00671E46" w:rsidRPr="00C05F6D">
        <w:rPr>
          <w:rFonts w:cs="Times New Roman"/>
        </w:rPr>
        <w:t xml:space="preserve"> Projekcije kretanja vrijednosti pojedinih efekata, odnosno slojeva su date za period od 25 godina koliko traje ugovor o koncesiji za dvije mHE. Dobijamo, dakle, slojeve koji se sastoje od tokova neto koristi (pozitivnih il</w:t>
      </w:r>
      <w:r w:rsidR="0001624F" w:rsidRPr="00C05F6D">
        <w:rPr>
          <w:rFonts w:cs="Times New Roman"/>
        </w:rPr>
        <w:t>i negativnih) za pojedine sfere i slojeve realnosti</w:t>
      </w:r>
      <w:r w:rsidR="00671E46" w:rsidRPr="00C05F6D">
        <w:rPr>
          <w:rFonts w:cs="Times New Roman"/>
        </w:rPr>
        <w:t xml:space="preserve">. </w:t>
      </w:r>
    </w:p>
    <w:p w:rsidR="00671E46" w:rsidRDefault="00671E46" w:rsidP="00671E46">
      <w:pPr>
        <w:spacing w:line="276" w:lineRule="auto"/>
        <w:jc w:val="both"/>
        <w:rPr>
          <w:rFonts w:cs="Times New Roman"/>
        </w:rPr>
      </w:pPr>
      <w:r w:rsidRPr="00C05F6D">
        <w:rPr>
          <w:rFonts w:cs="Times New Roman"/>
        </w:rPr>
        <w:t xml:space="preserve">Na osnovu tih tokova ustanovljavamo vrijednosti </w:t>
      </w:r>
      <w:r w:rsidRPr="00A4481C">
        <w:rPr>
          <w:rFonts w:cs="Times New Roman"/>
          <w:b/>
        </w:rPr>
        <w:t>pojedinih mjera efikasnosti projekta</w:t>
      </w:r>
      <w:r w:rsidRPr="00C05F6D">
        <w:rPr>
          <w:rFonts w:cs="Times New Roman"/>
        </w:rPr>
        <w:t xml:space="preserve"> bilo za pojedine slojeve, bilo za kumulativni uticaj u cjelini. Od posebnog je interesa ovdje </w:t>
      </w:r>
      <w:r w:rsidR="008D5528" w:rsidRPr="00C05F6D">
        <w:rPr>
          <w:rFonts w:cs="Times New Roman"/>
        </w:rPr>
        <w:t xml:space="preserve">mjera koja je poznata kao </w:t>
      </w:r>
      <w:r w:rsidRPr="00C05F6D">
        <w:rPr>
          <w:rFonts w:cs="Times New Roman"/>
          <w:i/>
        </w:rPr>
        <w:t>neto sadašnja vrijednost projekta</w:t>
      </w:r>
      <w:r w:rsidRPr="00C05F6D">
        <w:rPr>
          <w:rFonts w:cs="Times New Roman"/>
        </w:rPr>
        <w:t>, odnosno skraćeno NPV (</w:t>
      </w:r>
      <w:r w:rsidRPr="00C05F6D">
        <w:rPr>
          <w:rFonts w:cs="Times New Roman"/>
          <w:i/>
        </w:rPr>
        <w:t>Net Present Value</w:t>
      </w:r>
      <w:r w:rsidRPr="00C05F6D">
        <w:rPr>
          <w:rFonts w:cs="Times New Roman"/>
        </w:rPr>
        <w:t>)</w:t>
      </w:r>
      <w:r w:rsidR="008D5528" w:rsidRPr="00C05F6D">
        <w:rPr>
          <w:rFonts w:cs="Times New Roman"/>
        </w:rPr>
        <w:t>. On</w:t>
      </w:r>
      <w:r w:rsidRPr="00C05F6D">
        <w:rPr>
          <w:rFonts w:cs="Times New Roman"/>
        </w:rPr>
        <w:t xml:space="preserve">a nam omogućava da razne heterogene tokove učinimo uporedivim. Preciznije, NPV predstavlja sumu budućih očekivanih sadašnjih (ili diskontovanih) vrijednosti projekta u posmatranom periodu. </w:t>
      </w:r>
      <w:r w:rsidR="008D5528" w:rsidRPr="00C05F6D">
        <w:rPr>
          <w:rFonts w:cs="Times New Roman"/>
        </w:rPr>
        <w:t xml:space="preserve">Formalno </w:t>
      </w:r>
      <w:r w:rsidR="008970CE" w:rsidRPr="00C05F6D">
        <w:rPr>
          <w:rFonts w:cs="Times New Roman"/>
        </w:rPr>
        <w:t xml:space="preserve">se </w:t>
      </w:r>
      <w:r w:rsidR="008970CE" w:rsidRPr="00C05F6D">
        <w:rPr>
          <w:rFonts w:cs="Times New Roman"/>
          <w:i/>
        </w:rPr>
        <w:t>netosadašnja vrijednost</w:t>
      </w:r>
      <w:r w:rsidR="008970CE">
        <w:rPr>
          <w:rFonts w:cs="Times New Roman"/>
        </w:rPr>
        <w:t xml:space="preserve"> projektamože izraziti preko izraza</w:t>
      </w:r>
    </w:p>
    <w:p w:rsidR="008D5528" w:rsidRDefault="00890EC5" w:rsidP="00671E46">
      <w:pPr>
        <w:spacing w:line="276" w:lineRule="auto"/>
        <w:jc w:val="both"/>
        <w:rPr>
          <w:rFonts w:cs="Times New Roman"/>
        </w:rPr>
      </w:pPr>
      <m:oMathPara>
        <m:oMath>
          <m:r>
            <w:rPr>
              <w:rFonts w:ascii="Cambria Math" w:hAnsi="Cambria Math" w:cs="Times New Roman"/>
            </w:rPr>
            <m:t xml:space="preserve">NPV= </m:t>
          </m:r>
          <m:nary>
            <m:naryPr>
              <m:chr m:val="∑"/>
              <m:limLoc m:val="undOvr"/>
              <m:ctrlPr>
                <w:rPr>
                  <w:rFonts w:ascii="Cambria Math" w:hAnsi="Cambria Math" w:cs="Times New Roman"/>
                  <w:i/>
                </w:rPr>
              </m:ctrlPr>
            </m:naryPr>
            <m:sub>
              <m:r>
                <w:rPr>
                  <w:rFonts w:ascii="Cambria Math" w:hAnsi="Cambria Math" w:cs="Times New Roman"/>
                </w:rPr>
                <m:t>t=1</m:t>
              </m:r>
            </m:sub>
            <m:sup>
              <m:r>
                <w:rPr>
                  <w:rFonts w:ascii="Cambria Math" w:hAnsi="Cambria Math" w:cs="Times New Roman"/>
                </w:rPr>
                <m:t>25</m:t>
              </m:r>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r>
                    <w:rPr>
                      <w:rFonts w:ascii="Cambria Math" w:hAnsi="Cambria Math" w:cs="Times New Roman"/>
                    </w:rPr>
                    <m:t>)</m:t>
                  </m:r>
                </m:num>
                <m:den>
                  <m:sSup>
                    <m:sSupPr>
                      <m:ctrlPr>
                        <w:rPr>
                          <w:rFonts w:ascii="Cambria Math" w:hAnsi="Cambria Math" w:cs="Times New Roman"/>
                          <w:i/>
                        </w:rPr>
                      </m:ctrlPr>
                    </m:sSup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t</m:t>
                          </m:r>
                        </m:sub>
                      </m:sSub>
                      <m:r>
                        <w:rPr>
                          <w:rFonts w:ascii="Cambria Math" w:hAnsi="Cambria Math" w:cs="Times New Roman"/>
                        </w:rPr>
                        <m:t>)</m:t>
                      </m:r>
                    </m:e>
                    <m:sup>
                      <m:r>
                        <w:rPr>
                          <w:rFonts w:ascii="Cambria Math" w:hAnsi="Cambria Math" w:cs="Times New Roman"/>
                        </w:rPr>
                        <m:t>t</m:t>
                      </m:r>
                    </m:sup>
                  </m:sSup>
                </m:den>
              </m:f>
            </m:e>
          </m:nary>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t=1</m:t>
              </m:r>
            </m:sub>
            <m:sup>
              <m:r>
                <w:rPr>
                  <w:rFonts w:ascii="Cambria Math" w:hAnsi="Cambria Math" w:cs="Times New Roman"/>
                </w:rPr>
                <m:t>25</m:t>
              </m:r>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NB</m:t>
                      </m:r>
                    </m:e>
                    <m:sub>
                      <m:r>
                        <w:rPr>
                          <w:rFonts w:ascii="Cambria Math" w:hAnsi="Cambria Math" w:cs="Times New Roman"/>
                        </w:rPr>
                        <m:t>t</m:t>
                      </m:r>
                    </m:sub>
                  </m:sSub>
                </m:num>
                <m:den>
                  <m:sSup>
                    <m:sSupPr>
                      <m:ctrlPr>
                        <w:rPr>
                          <w:rFonts w:ascii="Cambria Math" w:hAnsi="Cambria Math" w:cs="Times New Roman"/>
                          <w:i/>
                        </w:rPr>
                      </m:ctrlPr>
                    </m:sSupPr>
                    <m:e>
                      <m:r>
                        <w:rPr>
                          <w:rFonts w:ascii="Cambria Math" w:hAnsi="Cambria Math" w:cs="Times New Roman"/>
                        </w:rPr>
                        <m:t>(1+r)</m:t>
                      </m:r>
                    </m:e>
                    <m:sup>
                      <m:r>
                        <w:rPr>
                          <w:rFonts w:ascii="Cambria Math" w:hAnsi="Cambria Math" w:cs="Times New Roman"/>
                        </w:rPr>
                        <m:t>t</m:t>
                      </m:r>
                    </m:sup>
                  </m:sSup>
                </m:den>
              </m:f>
            </m:e>
          </m:nary>
        </m:oMath>
      </m:oMathPara>
    </w:p>
    <w:p w:rsidR="005134AE" w:rsidRDefault="00890EC5" w:rsidP="00671E46">
      <w:pPr>
        <w:spacing w:line="276" w:lineRule="auto"/>
        <w:jc w:val="both"/>
        <w:rPr>
          <w:rFonts w:cs="Times New Roman"/>
        </w:rPr>
      </w:pPr>
      <w:r>
        <w:rPr>
          <w:rFonts w:cs="Times New Roman"/>
        </w:rPr>
        <w:t xml:space="preserve">Ovdje </w:t>
      </w:r>
      <m:oMath>
        <m:sSub>
          <m:sSubPr>
            <m:ctrlPr>
              <w:rPr>
                <w:rFonts w:ascii="Cambria Math" w:hAnsi="Cambria Math" w:cs="Times New Roman"/>
                <w:i/>
              </w:rPr>
            </m:ctrlPr>
          </m:sSubPr>
          <m:e>
            <m:r>
              <w:rPr>
                <w:rFonts w:ascii="Cambria Math" w:hAnsi="Cambria Math" w:cs="Times New Roman"/>
              </w:rPr>
              <m:t>NB</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r>
          <w:rPr>
            <w:rFonts w:ascii="Cambria Math" w:hAnsi="Cambria Math" w:cs="Times New Roman"/>
          </w:rPr>
          <m:t>)</m:t>
        </m:r>
      </m:oMath>
      <w:r>
        <w:rPr>
          <w:rFonts w:cs="Times New Roman"/>
        </w:rPr>
        <w:t xml:space="preserve"> predstavlja neto korist, tj razliku između ukupnih koristi </w:t>
      </w:r>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t</m:t>
            </m:r>
          </m:sub>
        </m:sSub>
        <m:r>
          <w:rPr>
            <w:rFonts w:ascii="Cambria Math" w:hAnsi="Cambria Math" w:cs="Times New Roman"/>
          </w:rPr>
          <m:t>)</m:t>
        </m:r>
      </m:oMath>
      <w:r>
        <w:rPr>
          <w:rFonts w:cs="Times New Roman"/>
        </w:rPr>
        <w:t xml:space="preserve">i ukupnih troškova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r>
          <w:rPr>
            <w:rFonts w:ascii="Cambria Math" w:hAnsi="Cambria Math" w:cs="Times New Roman"/>
          </w:rPr>
          <m:t>)</m:t>
        </m:r>
      </m:oMath>
      <w:r>
        <w:rPr>
          <w:rFonts w:cs="Times New Roman"/>
        </w:rPr>
        <w:t xml:space="preserve">u godini </w:t>
      </w:r>
      <w:r w:rsidRPr="00890EC5">
        <w:rPr>
          <w:rFonts w:cs="Times New Roman"/>
          <w:i/>
        </w:rPr>
        <w:t>t</w:t>
      </w:r>
      <w:r>
        <w:rPr>
          <w:rFonts w:cs="Times New Roman"/>
        </w:rPr>
        <w:t xml:space="preserve">, dok </w:t>
      </w:r>
      <m:oMath>
        <m:r>
          <w:rPr>
            <w:rFonts w:ascii="Cambria Math" w:hAnsi="Cambria Math" w:cs="Times New Roman"/>
          </w:rPr>
          <m:t>r</m:t>
        </m:r>
      </m:oMath>
      <w:r w:rsidR="008970CE">
        <w:rPr>
          <w:rFonts w:cs="Times New Roman"/>
        </w:rPr>
        <w:t xml:space="preserve"> predstavlja diskontnu stopu kojom treba diskontovati, odnosno srazmjerno kojoj </w:t>
      </w:r>
      <w:r w:rsidR="008970CE">
        <w:rPr>
          <w:rFonts w:cs="Times New Roman"/>
        </w:rPr>
        <w:lastRenderedPageBreak/>
        <w:t>treba umanjiti vremenski udaljene neto koristi</w:t>
      </w:r>
      <w:r w:rsidR="00290EA5">
        <w:rPr>
          <w:rFonts w:cs="Times New Roman"/>
        </w:rPr>
        <w:t xml:space="preserve">. U principu ova bi stopa trebala </w:t>
      </w:r>
      <w:r w:rsidR="00711198">
        <w:rPr>
          <w:rFonts w:cs="Times New Roman"/>
        </w:rPr>
        <w:t>biti jednaka zahijevanoj stopi prinosa, tj onoj najmanjoj stopi koju posmatrani (privatni ili javni) investitor zahtijeva da bi ušao u posmatrani poduhvat</w:t>
      </w:r>
      <w:r w:rsidR="008970CE">
        <w:rPr>
          <w:rFonts w:cs="Times New Roman"/>
        </w:rPr>
        <w:t xml:space="preserve">. </w:t>
      </w:r>
      <w:r w:rsidR="00711198">
        <w:rPr>
          <w:rFonts w:cs="Times New Roman"/>
        </w:rPr>
        <w:t xml:space="preserve">Ako je, imajući rečeno u vidu, NPV veće ili jednako nuli privatni ili javni projekat se može smatrati prihvatljivim. U suprotnom projekat je neodrživ i neprihvatljiv. </w:t>
      </w:r>
    </w:p>
    <w:p w:rsidR="005134AE" w:rsidRDefault="005134AE" w:rsidP="00671E46">
      <w:pPr>
        <w:spacing w:line="276" w:lineRule="auto"/>
        <w:jc w:val="both"/>
        <w:rPr>
          <w:rFonts w:cs="Times New Roman"/>
        </w:rPr>
      </w:pPr>
      <w:r>
        <w:rPr>
          <w:rFonts w:cs="Times New Roman"/>
        </w:rPr>
        <w:t>Važno je napomenuti i podsjetiti da gore definisane ukupne koristi i ukupni troškovi u analizi društvene efikasnosti projekata moraju, pored monetarnih, obuhvatiti i odgovarajuće nemonetarne koristi i troškove. Ovo tim prije jer kod mnogih projekata razni oblici nemonetarnih efekata, pogotovo ekoloških na primjer, mogu prevazići značaj monetarnih. No, o tome će biti više riječi u odgovarajućem poglavlju posvećenom tome. U svakom, slučaju važno je već sada notirati da se može govoriti i o društvenoj NPV kao i o privatnoj NPV projekta. Prvi je namjeren da služi kao ocjena društvene efikasnosti</w:t>
      </w:r>
      <w:r w:rsidR="002A19FD">
        <w:rPr>
          <w:rFonts w:cs="Times New Roman"/>
        </w:rPr>
        <w:t xml:space="preserve"> projekta (ili neke ekonomske mjere)</w:t>
      </w:r>
      <w:r>
        <w:rPr>
          <w:rFonts w:cs="Times New Roman"/>
        </w:rPr>
        <w:t xml:space="preserve"> dok drugi </w:t>
      </w:r>
      <w:r w:rsidR="002A19FD">
        <w:rPr>
          <w:rFonts w:cs="Times New Roman"/>
        </w:rPr>
        <w:t xml:space="preserve">služi kao ocjena private efikasnosti projekta. </w:t>
      </w:r>
    </w:p>
    <w:p w:rsidR="00671E46" w:rsidRDefault="00671E46" w:rsidP="00671E46">
      <w:pPr>
        <w:spacing w:line="276" w:lineRule="auto"/>
        <w:jc w:val="both"/>
        <w:rPr>
          <w:rFonts w:cs="Times New Roman"/>
        </w:rPr>
      </w:pPr>
      <w:r>
        <w:rPr>
          <w:rFonts w:cs="Times New Roman"/>
        </w:rPr>
        <w:t xml:space="preserve">Druga važna mjera uticaja nekog efekta </w:t>
      </w:r>
      <w:r w:rsidRPr="008970CE">
        <w:rPr>
          <w:rFonts w:cs="Times New Roman"/>
          <w:i/>
        </w:rPr>
        <w:t>je interna ili unutrašnja stopa rentabilnosti, odnosno IRR</w:t>
      </w:r>
      <w:r>
        <w:rPr>
          <w:rFonts w:cs="Times New Roman"/>
        </w:rPr>
        <w:t xml:space="preserve"> (</w:t>
      </w:r>
      <w:r w:rsidRPr="003B5483">
        <w:rPr>
          <w:rFonts w:cs="Times New Roman"/>
          <w:i/>
        </w:rPr>
        <w:t>Internal Rate of Return</w:t>
      </w:r>
      <w:r>
        <w:rPr>
          <w:rFonts w:cs="Times New Roman"/>
        </w:rPr>
        <w:t xml:space="preserve">). To je ona diskontna stopa za koju je NPV nekog toka ravan nuli. Pod određenim pretpostavkama ova stopa treba da je jednaka knjigovodsveno mjerenoj stopi prinosa na imovinu ili na kapita, zavisno o kojoj IRR govorimo. </w:t>
      </w:r>
      <w:r w:rsidR="00D05B81">
        <w:rPr>
          <w:rFonts w:cs="Times New Roman"/>
        </w:rPr>
        <w:t xml:space="preserve">Formalno se ona može definisati kao diskontna stopa </w:t>
      </w:r>
      <m:oMath>
        <m:r>
          <w:rPr>
            <w:rFonts w:ascii="Cambria Math" w:hAnsi="Cambria Math" w:cs="Times New Roman"/>
          </w:rPr>
          <m:t>r</m:t>
        </m:r>
      </m:oMath>
      <w:r w:rsidR="00D05B81">
        <w:rPr>
          <w:rFonts w:cs="Times New Roman"/>
        </w:rPr>
        <w:t xml:space="preserve"> za koju važi sledeća relacija </w:t>
      </w:r>
    </w:p>
    <w:p w:rsidR="00D05B81" w:rsidRDefault="00D05B81" w:rsidP="00D05B81">
      <w:pPr>
        <w:spacing w:line="276" w:lineRule="auto"/>
        <w:jc w:val="both"/>
        <w:rPr>
          <w:rFonts w:cs="Times New Roman"/>
        </w:rPr>
      </w:pPr>
      <m:oMathPara>
        <m:oMath>
          <m:r>
            <w:rPr>
              <w:rFonts w:ascii="Cambria Math" w:hAnsi="Cambria Math" w:cs="Times New Roman"/>
            </w:rPr>
            <m:t>NPV=</m:t>
          </m:r>
          <m:nary>
            <m:naryPr>
              <m:chr m:val="∑"/>
              <m:limLoc m:val="undOvr"/>
              <m:ctrlPr>
                <w:rPr>
                  <w:rFonts w:ascii="Cambria Math" w:hAnsi="Cambria Math" w:cs="Times New Roman"/>
                  <w:i/>
                </w:rPr>
              </m:ctrlPr>
            </m:naryPr>
            <m:sub>
              <m:r>
                <w:rPr>
                  <w:rFonts w:ascii="Cambria Math" w:hAnsi="Cambria Math" w:cs="Times New Roman"/>
                </w:rPr>
                <m:t>t=1</m:t>
              </m:r>
            </m:sub>
            <m:sup>
              <m:r>
                <w:rPr>
                  <w:rFonts w:ascii="Cambria Math" w:hAnsi="Cambria Math" w:cs="Times New Roman"/>
                </w:rPr>
                <m:t>25</m:t>
              </m:r>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NB</m:t>
                      </m:r>
                    </m:e>
                    <m:sub>
                      <m:r>
                        <w:rPr>
                          <w:rFonts w:ascii="Cambria Math" w:hAnsi="Cambria Math" w:cs="Times New Roman"/>
                        </w:rPr>
                        <m:t>t</m:t>
                      </m:r>
                    </m:sub>
                  </m:sSub>
                </m:num>
                <m:den>
                  <m:sSup>
                    <m:sSupPr>
                      <m:ctrlPr>
                        <w:rPr>
                          <w:rFonts w:ascii="Cambria Math" w:hAnsi="Cambria Math" w:cs="Times New Roman"/>
                          <w:i/>
                        </w:rPr>
                      </m:ctrlPr>
                    </m:sSupPr>
                    <m:e>
                      <m:r>
                        <w:rPr>
                          <w:rFonts w:ascii="Cambria Math" w:hAnsi="Cambria Math" w:cs="Times New Roman"/>
                        </w:rPr>
                        <m:t>(1+r)</m:t>
                      </m:r>
                    </m:e>
                    <m:sup>
                      <m:r>
                        <w:rPr>
                          <w:rFonts w:ascii="Cambria Math" w:hAnsi="Cambria Math" w:cs="Times New Roman"/>
                        </w:rPr>
                        <m:t>t</m:t>
                      </m:r>
                    </m:sup>
                  </m:sSup>
                </m:den>
              </m:f>
            </m:e>
          </m:nary>
          <m:r>
            <w:rPr>
              <w:rFonts w:ascii="Cambria Math" w:hAnsi="Cambria Math" w:cs="Times New Roman"/>
            </w:rPr>
            <m:t>=0</m:t>
          </m:r>
        </m:oMath>
      </m:oMathPara>
    </w:p>
    <w:p w:rsidR="00ED11B3" w:rsidRDefault="00711198" w:rsidP="00671E46">
      <w:pPr>
        <w:spacing w:line="276" w:lineRule="auto"/>
        <w:jc w:val="both"/>
        <w:rPr>
          <w:rFonts w:cs="Times New Roman"/>
        </w:rPr>
      </w:pPr>
      <w:r>
        <w:rPr>
          <w:rFonts w:cs="Times New Roman"/>
        </w:rPr>
        <w:t xml:space="preserve">Ukoliko je ovako utvrđena IRR jednaka ili je veća od prethodno definisane zahtijevane stope prinosa </w:t>
      </w:r>
      <w:r w:rsidR="006A329F">
        <w:rPr>
          <w:rFonts w:cs="Times New Roman"/>
        </w:rPr>
        <w:t xml:space="preserve">onda imamo posla sa prihvatljivim projektom. U suprotnom projekat je neprihvatljiv. </w:t>
      </w:r>
      <w:r w:rsidR="00ED11B3">
        <w:rPr>
          <w:rFonts w:cs="Times New Roman"/>
        </w:rPr>
        <w:t>I pored toga što je IRR kao metod mjerenja elegantnija od NPV, ipak je NPV pouzdanija</w:t>
      </w:r>
      <w:r w:rsidR="0046238E">
        <w:rPr>
          <w:rFonts w:cs="Times New Roman"/>
        </w:rPr>
        <w:t xml:space="preserve"> mjera</w:t>
      </w:r>
      <w:r w:rsidR="00ED11B3">
        <w:rPr>
          <w:rFonts w:cs="Times New Roman"/>
        </w:rPr>
        <w:t xml:space="preserve"> jer daje jednoznačne odgovore što nije slučaj sa IRR. </w:t>
      </w:r>
      <w:r w:rsidR="0046238E">
        <w:rPr>
          <w:rFonts w:cs="Times New Roman"/>
        </w:rPr>
        <w:t xml:space="preserve">Naime, ne rijetko se dešava da dobijemo veći broj rješenja za IRR pa prosto nismo u stabhu da utvrdimo koja je od njih prava. Postoji i poznati problem upoređivanja projekata različitih dimenzija i slično. </w:t>
      </w:r>
    </w:p>
    <w:p w:rsidR="00671E46" w:rsidRDefault="00671E46" w:rsidP="00671E46">
      <w:pPr>
        <w:spacing w:line="276" w:lineRule="auto"/>
        <w:jc w:val="both"/>
        <w:rPr>
          <w:rFonts w:cs="Times New Roman"/>
        </w:rPr>
      </w:pPr>
      <w:r>
        <w:rPr>
          <w:rFonts w:cs="Times New Roman"/>
        </w:rPr>
        <w:t>Pored ovih dviju mjera ponekad se koristi i rok povrata inves</w:t>
      </w:r>
      <w:r w:rsidR="00ED11B3">
        <w:rPr>
          <w:rFonts w:cs="Times New Roman"/>
        </w:rPr>
        <w:t>ticija kao mjera efikasnosti. Rok povrata predstavlja period potreban da se povrate i isplate sredstva koja su inicijalno uložena u realizaciju nekog projekta.</w:t>
      </w:r>
      <w:r w:rsidR="009C6D8A">
        <w:rPr>
          <w:rStyle w:val="FootnoteReference"/>
          <w:rFonts w:cs="Times New Roman"/>
        </w:rPr>
        <w:footnoteReference w:id="6"/>
      </w:r>
    </w:p>
    <w:p w:rsidR="00A976D2" w:rsidRPr="00C05F6D" w:rsidRDefault="004B0FAC" w:rsidP="00671E46">
      <w:pPr>
        <w:spacing w:line="276" w:lineRule="auto"/>
        <w:jc w:val="both"/>
        <w:rPr>
          <w:rFonts w:cs="Times New Roman"/>
        </w:rPr>
      </w:pPr>
      <w:r w:rsidRPr="00C05F6D">
        <w:rPr>
          <w:rFonts w:cs="Times New Roman"/>
        </w:rPr>
        <w:t xml:space="preserve">4. </w:t>
      </w:r>
      <w:r w:rsidR="00933DD8" w:rsidRPr="00C05F6D">
        <w:rPr>
          <w:rFonts w:cs="Times New Roman"/>
        </w:rPr>
        <w:t xml:space="preserve">Primjena naprijed datih </w:t>
      </w:r>
      <w:r w:rsidR="00BF63B3" w:rsidRPr="00C05F6D">
        <w:rPr>
          <w:rFonts w:cs="Times New Roman"/>
        </w:rPr>
        <w:t xml:space="preserve">izraza za mjerenje efikasnosti projekata iz različitih uglova je </w:t>
      </w:r>
      <w:r w:rsidR="00654406">
        <w:rPr>
          <w:rFonts w:cs="Times New Roman"/>
        </w:rPr>
        <w:t xml:space="preserve">obično </w:t>
      </w:r>
      <w:r w:rsidR="00BF63B3" w:rsidRPr="00C05F6D">
        <w:rPr>
          <w:rFonts w:cs="Times New Roman"/>
        </w:rPr>
        <w:t>najjednostavniji dio posla. Najkom</w:t>
      </w:r>
      <w:r w:rsidRPr="00C05F6D">
        <w:rPr>
          <w:rFonts w:cs="Times New Roman"/>
        </w:rPr>
        <w:t>plikovanije je utvrditi</w:t>
      </w:r>
      <w:r w:rsidR="00BF63B3" w:rsidRPr="00C05F6D">
        <w:rPr>
          <w:rFonts w:cs="Times New Roman"/>
        </w:rPr>
        <w:t xml:space="preserve"> ulazne varijable</w:t>
      </w:r>
      <w:r w:rsidRPr="00C05F6D">
        <w:rPr>
          <w:rFonts w:cs="Times New Roman"/>
        </w:rPr>
        <w:t>, na primjer troškove i koristi,</w:t>
      </w:r>
      <w:r w:rsidR="00BF63B3" w:rsidRPr="00C05F6D">
        <w:rPr>
          <w:rFonts w:cs="Times New Roman"/>
        </w:rPr>
        <w:t xml:space="preserve"> za narednih 25 godina na osnovu kojih računamo pojedine mjere efikasnosti. </w:t>
      </w:r>
      <w:r w:rsidRPr="00C05F6D">
        <w:rPr>
          <w:rFonts w:cs="Times New Roman"/>
        </w:rPr>
        <w:t xml:space="preserve">Ovdje dolazimo do pitanja </w:t>
      </w:r>
      <w:r w:rsidRPr="00A4481C">
        <w:rPr>
          <w:rFonts w:cs="Times New Roman"/>
          <w:b/>
        </w:rPr>
        <w:lastRenderedPageBreak/>
        <w:t>Impact modela za projektovanje dinamike raznih varijabli</w:t>
      </w:r>
      <w:r w:rsidR="000C260A" w:rsidRPr="00C05F6D">
        <w:rPr>
          <w:rFonts w:cs="Times New Roman"/>
        </w:rPr>
        <w:t xml:space="preserve">u toku i </w:t>
      </w:r>
      <w:r w:rsidRPr="00C05F6D">
        <w:rPr>
          <w:rFonts w:cs="Times New Roman"/>
        </w:rPr>
        <w:t xml:space="preserve">nakon realizacije mHE projekata. </w:t>
      </w:r>
      <w:r w:rsidR="00AF4F1C" w:rsidRPr="00C05F6D">
        <w:rPr>
          <w:rFonts w:cs="Times New Roman"/>
        </w:rPr>
        <w:t>U principu sve Impact modele možemo podijeliti u nekoli</w:t>
      </w:r>
      <w:r w:rsidR="000A695F" w:rsidRPr="00C05F6D">
        <w:rPr>
          <w:rFonts w:cs="Times New Roman"/>
        </w:rPr>
        <w:t>ko kategorija.</w:t>
      </w:r>
      <w:r w:rsidR="00B732CF" w:rsidRPr="00C05F6D">
        <w:rPr>
          <w:rStyle w:val="FootnoteReference"/>
          <w:rFonts w:cs="Times New Roman"/>
        </w:rPr>
        <w:footnoteReference w:id="7"/>
      </w:r>
    </w:p>
    <w:p w:rsidR="00933DD8" w:rsidRPr="00C05F6D" w:rsidRDefault="000A695F" w:rsidP="00671E46">
      <w:pPr>
        <w:spacing w:line="276" w:lineRule="auto"/>
        <w:jc w:val="both"/>
        <w:rPr>
          <w:rFonts w:cs="Times New Roman"/>
        </w:rPr>
      </w:pPr>
      <w:r w:rsidRPr="00C05F6D">
        <w:rPr>
          <w:rFonts w:cs="Times New Roman"/>
        </w:rPr>
        <w:t xml:space="preserve">Prvo, tu dođu naj jednostavniji Mikro </w:t>
      </w:r>
      <w:r w:rsidR="00AF4F1C" w:rsidRPr="00C05F6D">
        <w:rPr>
          <w:rFonts w:cs="Times New Roman"/>
        </w:rPr>
        <w:t xml:space="preserve">računovodstveni modeli </w:t>
      </w:r>
      <w:r w:rsidRPr="00C05F6D">
        <w:rPr>
          <w:rFonts w:cs="Times New Roman"/>
        </w:rPr>
        <w:t>kod kojih primijenjijemo jed</w:t>
      </w:r>
      <w:r w:rsidR="00E7265E" w:rsidRPr="00C05F6D">
        <w:rPr>
          <w:rFonts w:cs="Times New Roman"/>
        </w:rPr>
        <w:t>nostavnu aritmetičku simulaciju. P</w:t>
      </w:r>
      <w:r w:rsidRPr="00C05F6D">
        <w:rPr>
          <w:rFonts w:cs="Times New Roman"/>
        </w:rPr>
        <w:t xml:space="preserve">ri </w:t>
      </w:r>
      <w:r w:rsidR="00E7265E" w:rsidRPr="00C05F6D">
        <w:rPr>
          <w:rFonts w:cs="Times New Roman"/>
        </w:rPr>
        <w:t xml:space="preserve">tome se prate samo direktni uticaji i međuzavisnosti a ne i indirektni efekti i posebno ne promjene u ponašanju privrednih subjekata. Kod jednostavnih projekata moguće je a i poželjno je primijeniti ovakve modele jer su jednostavni. Jednostavnost je njihova velika prednost. S druge strane neuzimanje u obzir indirektnih mjera i promjena u ponašanju agenata je njihova mana što posebnio predstavlja problem kod velikih projekata. </w:t>
      </w:r>
    </w:p>
    <w:p w:rsidR="00E7265E" w:rsidRPr="00C05F6D" w:rsidRDefault="00654406" w:rsidP="00671E46">
      <w:pPr>
        <w:spacing w:line="276" w:lineRule="auto"/>
        <w:jc w:val="both"/>
        <w:rPr>
          <w:rFonts w:cs="Times New Roman"/>
        </w:rPr>
      </w:pPr>
      <w:r>
        <w:rPr>
          <w:rFonts w:cs="Times New Roman"/>
        </w:rPr>
        <w:t>Drug</w:t>
      </w:r>
      <w:r w:rsidR="00B732CF" w:rsidRPr="00C05F6D">
        <w:rPr>
          <w:rFonts w:cs="Times New Roman"/>
        </w:rPr>
        <w:t xml:space="preserve">u grupu </w:t>
      </w:r>
      <w:r w:rsidR="00E7265E" w:rsidRPr="00C05F6D">
        <w:rPr>
          <w:rFonts w:cs="Times New Roman"/>
        </w:rPr>
        <w:t>Impact model</w:t>
      </w:r>
      <w:r w:rsidR="00B732CF" w:rsidRPr="00C05F6D">
        <w:rPr>
          <w:rFonts w:cs="Times New Roman"/>
        </w:rPr>
        <w:t>a čine</w:t>
      </w:r>
      <w:r w:rsidR="00E7265E" w:rsidRPr="00C05F6D">
        <w:rPr>
          <w:rFonts w:cs="Times New Roman"/>
        </w:rPr>
        <w:t xml:space="preserve"> Model</w:t>
      </w:r>
      <w:r w:rsidR="00B732CF" w:rsidRPr="00C05F6D">
        <w:rPr>
          <w:rFonts w:cs="Times New Roman"/>
        </w:rPr>
        <w:t>iračunovodstva lanaca vrijednosti</w:t>
      </w:r>
      <w:r w:rsidR="00E7265E" w:rsidRPr="00C05F6D">
        <w:rPr>
          <w:rFonts w:cs="Times New Roman"/>
        </w:rPr>
        <w:t xml:space="preserve">. </w:t>
      </w:r>
      <w:r w:rsidR="00B732CF" w:rsidRPr="00C05F6D">
        <w:rPr>
          <w:rFonts w:cs="Times New Roman"/>
        </w:rPr>
        <w:t xml:space="preserve">Za razliku od prethodnih, ovdje se uzimaju u obzir indirektni efekti ali ne i eventualne promjene u ponašanju društvenih subjekata. </w:t>
      </w:r>
      <w:r w:rsidR="006C2EE6" w:rsidRPr="00C05F6D">
        <w:rPr>
          <w:rFonts w:cs="Times New Roman"/>
        </w:rPr>
        <w:t>Njihova glavna prednost je što opisuju kretanja na svim važnijim tržištima sa kojima je projekat povezan bilo unazad (</w:t>
      </w:r>
      <w:r w:rsidR="00B025F2" w:rsidRPr="00C05F6D">
        <w:rPr>
          <w:rFonts w:cs="Times New Roman"/>
        </w:rPr>
        <w:t>B</w:t>
      </w:r>
      <w:r w:rsidR="006C2EE6" w:rsidRPr="00C05F6D">
        <w:rPr>
          <w:rFonts w:cs="Times New Roman"/>
        </w:rPr>
        <w:t>ackward) ili najprijed (</w:t>
      </w:r>
      <w:r w:rsidR="00B025F2" w:rsidRPr="00C05F6D">
        <w:rPr>
          <w:rFonts w:cs="Times New Roman"/>
        </w:rPr>
        <w:t xml:space="preserve">Forward). Njihova mana je, međutim, pored toga što ne uzimaju u obzir indirektne efekte, i u tome što su u krajnjoj liniji statični. Ove mane mogu biti jako važne ako se radi o velikim i značajnim projektima. Srećom kod manjih projekata, kakav je naš, ovi modeli mogu biti ne samo naj jeftiniji već i najbolji: kod njih za malo smanjenje u preciznosti dobijamo veliko smanjenje troškova. </w:t>
      </w:r>
    </w:p>
    <w:p w:rsidR="005A75FD" w:rsidRPr="00C05F6D" w:rsidRDefault="00B025F2" w:rsidP="00671E46">
      <w:pPr>
        <w:spacing w:line="276" w:lineRule="auto"/>
        <w:jc w:val="both"/>
        <w:rPr>
          <w:rFonts w:cs="Times New Roman"/>
        </w:rPr>
      </w:pPr>
      <w:r w:rsidRPr="00C05F6D">
        <w:rPr>
          <w:rFonts w:cs="Times New Roman"/>
        </w:rPr>
        <w:t xml:space="preserve">Sledeći su Impact modeli parcijalne ravnoteže na jednom tržištu. Ovdje se uzimaju u obzir promjene u ponašanju na strain ponude i </w:t>
      </w:r>
      <w:r w:rsidR="00ED3822" w:rsidRPr="00C05F6D">
        <w:rPr>
          <w:rFonts w:cs="Times New Roman"/>
        </w:rPr>
        <w:t xml:space="preserve">tražnje pa se </w:t>
      </w:r>
      <w:r w:rsidRPr="00C05F6D">
        <w:rPr>
          <w:rFonts w:cs="Times New Roman"/>
        </w:rPr>
        <w:t xml:space="preserve">na </w:t>
      </w:r>
      <w:r w:rsidR="00ED3822" w:rsidRPr="00C05F6D">
        <w:rPr>
          <w:rFonts w:cs="Times New Roman"/>
        </w:rPr>
        <w:t>osnovu toga</w:t>
      </w:r>
      <w:r w:rsidRPr="00C05F6D">
        <w:rPr>
          <w:rFonts w:cs="Times New Roman"/>
        </w:rPr>
        <w:t xml:space="preserve"> određuje parcijalna ravnoteža na tržištu </w:t>
      </w:r>
      <w:r w:rsidR="00ED3822" w:rsidRPr="00C05F6D">
        <w:rPr>
          <w:rFonts w:cs="Times New Roman"/>
        </w:rPr>
        <w:t xml:space="preserve">proizvoda </w:t>
      </w:r>
      <w:r w:rsidRPr="00C05F6D">
        <w:rPr>
          <w:rFonts w:cs="Times New Roman"/>
        </w:rPr>
        <w:t xml:space="preserve">posmatranog projekta. </w:t>
      </w:r>
      <w:r w:rsidR="00ED3822" w:rsidRPr="00C05F6D">
        <w:rPr>
          <w:rFonts w:cs="Times New Roman"/>
        </w:rPr>
        <w:t>Činjenica da se uzimaju u obzir promjene u ponašanju subjekata</w:t>
      </w:r>
      <w:r w:rsidRPr="00C05F6D">
        <w:rPr>
          <w:rFonts w:cs="Times New Roman"/>
        </w:rPr>
        <w:t xml:space="preserve"> pred</w:t>
      </w:r>
      <w:r w:rsidR="00ED3822" w:rsidRPr="00C05F6D">
        <w:rPr>
          <w:rFonts w:cs="Times New Roman"/>
        </w:rPr>
        <w:t xml:space="preserve">stavlja njihovu veliku prednost. Nažalost, kod </w:t>
      </w:r>
      <w:r w:rsidR="00E03444" w:rsidRPr="00C05F6D">
        <w:rPr>
          <w:rFonts w:cs="Times New Roman"/>
        </w:rPr>
        <w:t xml:space="preserve">ovih modela se ne uzimaju u obzir indirektni efekti, tj uticaj promena na tržištu posmatranog projekta na druga tržišta sa kojima postoji jaka veza. Sasvim logično, tamo gdje ne uzimamo u obzir indirektne efekte ne uzimamo u obzir ni makro-ekonomske efekte. </w:t>
      </w:r>
    </w:p>
    <w:p w:rsidR="00E03444" w:rsidRPr="00C05F6D" w:rsidRDefault="00E03444" w:rsidP="00671E46">
      <w:pPr>
        <w:spacing w:line="276" w:lineRule="auto"/>
        <w:jc w:val="both"/>
        <w:rPr>
          <w:rFonts w:cs="Times New Roman"/>
        </w:rPr>
      </w:pPr>
      <w:r w:rsidRPr="00C05F6D">
        <w:rPr>
          <w:rFonts w:cs="Times New Roman"/>
        </w:rPr>
        <w:t xml:space="preserve">Četvrtu grupu čine Impact modeli </w:t>
      </w:r>
      <w:r w:rsidR="005A75FD" w:rsidRPr="00C05F6D">
        <w:rPr>
          <w:rFonts w:cs="Times New Roman"/>
        </w:rPr>
        <w:t xml:space="preserve">parcijalne ravnoteže na više povezanih tržišta. Njima se sasvim uspješno prevazilaze prethodni problemi nedostatka indirektnih efekata. Oni su dakle modeli koji mjere i indirektne efekte, doduše ne na svim već samo na najvažnijim tržištima, kao i efekte promjena u ponašanju. Ukoliko posmatrani projekat (ili mjera javne politike) nema značajne makroekonomske efekte tada ovakve Impact modele možemo smatrati najpoželjnijim. </w:t>
      </w:r>
    </w:p>
    <w:p w:rsidR="005A75FD" w:rsidRPr="00C05F6D" w:rsidRDefault="005A75FD" w:rsidP="00671E46">
      <w:pPr>
        <w:spacing w:line="276" w:lineRule="auto"/>
        <w:jc w:val="both"/>
        <w:rPr>
          <w:rFonts w:cs="Times New Roman"/>
        </w:rPr>
      </w:pPr>
      <w:r w:rsidRPr="00C05F6D">
        <w:rPr>
          <w:rFonts w:cs="Times New Roman"/>
        </w:rPr>
        <w:t>Pored ovih postoje i</w:t>
      </w:r>
      <w:r w:rsidR="00A976D2" w:rsidRPr="00C05F6D">
        <w:rPr>
          <w:rFonts w:cs="Times New Roman"/>
        </w:rPr>
        <w:t xml:space="preserve"> tri</w:t>
      </w:r>
      <w:r w:rsidRPr="00C05F6D">
        <w:rPr>
          <w:rFonts w:cs="Times New Roman"/>
        </w:rPr>
        <w:t xml:space="preserve"> još složenije kategorije modela koji nijesu bili kandidati za primjenu u našoj studiji. Niti su projekti naših mHE tako složeni da bi bilo potrebno posegnuti za ovako sofisticiranim oruđem, niti smo mi mogli sa ograničenim sredstvima posegnuti za takvim oruđem. Prvi od njih </w:t>
      </w:r>
      <w:r w:rsidR="00A976D2" w:rsidRPr="00C05F6D">
        <w:rPr>
          <w:rFonts w:cs="Times New Roman"/>
        </w:rPr>
        <w:t xml:space="preserve">predstavlja Makro računovodstveni model, drugi je model Opšte ravnoteže ili CGE model (Computable General Equilibrium) dok je poslednji Integrisani mikro-makro model. Čak i da smo primijenili ovakav model </w:t>
      </w:r>
      <w:r w:rsidR="00846D13" w:rsidRPr="00C05F6D">
        <w:rPr>
          <w:rFonts w:cs="Times New Roman"/>
        </w:rPr>
        <w:t xml:space="preserve">doitak na preciznosti mjerenja bi bio zanemarljiv a dodatni trošak njegove primjene jako veliki. </w:t>
      </w:r>
    </w:p>
    <w:p w:rsidR="00846D13" w:rsidRPr="00C05F6D" w:rsidRDefault="00846D13" w:rsidP="00671E46">
      <w:pPr>
        <w:spacing w:line="276" w:lineRule="auto"/>
        <w:jc w:val="both"/>
        <w:rPr>
          <w:rFonts w:cs="Times New Roman"/>
        </w:rPr>
      </w:pPr>
      <w:r w:rsidRPr="00C05F6D">
        <w:rPr>
          <w:rFonts w:cs="Times New Roman"/>
        </w:rPr>
        <w:t xml:space="preserve">U suštini mi smo u najvećoj mjeri primijenjivali prva četiri modela a posebno drugi i četvrti zato što oba utimaju u obzir indirektne efekte. </w:t>
      </w:r>
    </w:p>
    <w:p w:rsidR="00374975" w:rsidRPr="00A45D01" w:rsidRDefault="009D5DC2" w:rsidP="00F12717">
      <w:pPr>
        <w:spacing w:line="276" w:lineRule="auto"/>
        <w:jc w:val="both"/>
        <w:rPr>
          <w:rFonts w:cs="Times New Roman"/>
        </w:rPr>
      </w:pPr>
      <w:r w:rsidRPr="00A45D01">
        <w:rPr>
          <w:rFonts w:cs="Times New Roman"/>
        </w:rPr>
        <w:lastRenderedPageBreak/>
        <w:t xml:space="preserve">5. </w:t>
      </w:r>
      <w:r w:rsidR="00654406" w:rsidRPr="00A45D01">
        <w:rPr>
          <w:rFonts w:cs="Times New Roman"/>
        </w:rPr>
        <w:t xml:space="preserve">Sledeće važno pitanje odnosi se na </w:t>
      </w:r>
      <w:r w:rsidR="00654406" w:rsidRPr="00A4481C">
        <w:rPr>
          <w:rFonts w:cs="Times New Roman"/>
          <w:b/>
        </w:rPr>
        <w:t>utvrđivanje diskontne stope</w:t>
      </w:r>
      <w:r w:rsidR="00374975" w:rsidRPr="00A45D01">
        <w:rPr>
          <w:rFonts w:cs="Times New Roman"/>
        </w:rPr>
        <w:t xml:space="preserve">koja nam treba, prvo, da bi utvrdili privatnu ili društvenu vrijednost NPV ili, drugo, radi poređenja dobijene IRR </w:t>
      </w:r>
      <w:r w:rsidR="00867575" w:rsidRPr="00A45D01">
        <w:rPr>
          <w:rFonts w:cs="Times New Roman"/>
        </w:rPr>
        <w:t xml:space="preserve">projekta </w:t>
      </w:r>
      <w:r w:rsidR="00374975" w:rsidRPr="00A45D01">
        <w:rPr>
          <w:rFonts w:cs="Times New Roman"/>
        </w:rPr>
        <w:t>sa odgovarajućom zahtijevanom stopom prinosa koje je</w:t>
      </w:r>
      <w:r w:rsidR="00867575" w:rsidRPr="00A45D01">
        <w:rPr>
          <w:rFonts w:cs="Times New Roman"/>
        </w:rPr>
        <w:t>, zapravo,</w:t>
      </w:r>
      <w:r w:rsidR="00374975" w:rsidRPr="00A45D01">
        <w:rPr>
          <w:rFonts w:cs="Times New Roman"/>
        </w:rPr>
        <w:t xml:space="preserve"> jednaka diskontnoj stopi. U klasičnoj evaluaciji investicionih projekata </w:t>
      </w:r>
      <w:r w:rsidR="00206CC2" w:rsidRPr="00A45D01">
        <w:rPr>
          <w:rFonts w:cs="Times New Roman"/>
        </w:rPr>
        <w:t xml:space="preserve">i korporativnim finansijama </w:t>
      </w:r>
      <w:r w:rsidR="00374975" w:rsidRPr="00A45D01">
        <w:rPr>
          <w:rFonts w:cs="Times New Roman"/>
        </w:rPr>
        <w:t xml:space="preserve">postoji detaljno razrađena procedura za utvrđivanje odgovarajuće diskontne stope. Ona u principu treba da je jednaka ponderisanom prosjeku </w:t>
      </w:r>
      <w:r w:rsidR="00867575" w:rsidRPr="00A45D01">
        <w:rPr>
          <w:rFonts w:cs="Times New Roman"/>
        </w:rPr>
        <w:t>stopa povrata na sopstveni capital (equity) i kamatnih stopa po kojima se investitor zadužio. Za razliku od kamatnih stopa koje se r</w:t>
      </w:r>
      <w:r w:rsidRPr="00A45D01">
        <w:rPr>
          <w:rFonts w:cs="Times New Roman"/>
        </w:rPr>
        <w:t>elativno jednostavno identifikuju polazeći od podataka po kojima je investitor dobio kredit</w:t>
      </w:r>
      <w:r w:rsidR="00867575" w:rsidRPr="00A45D01">
        <w:rPr>
          <w:rFonts w:cs="Times New Roman"/>
        </w:rPr>
        <w:t xml:space="preserve">, utvrđivanje zahtijevane stope prinosa na equity podrazumijeva primjenu posebne procedure koja bi na odgovarajući način </w:t>
      </w:r>
      <w:r w:rsidRPr="00A45D01">
        <w:rPr>
          <w:rFonts w:cs="Times New Roman"/>
        </w:rPr>
        <w:t>trebala da inkorporira</w:t>
      </w:r>
      <w:r w:rsidR="00867575" w:rsidRPr="00A45D01">
        <w:rPr>
          <w:rFonts w:cs="Times New Roman"/>
        </w:rPr>
        <w:t xml:space="preserve"> sve moguće rizike sa kojima će se novi poslovni sadržaj sučeliti na tržištu.</w:t>
      </w:r>
      <w:r w:rsidR="007E6A38" w:rsidRPr="00A45D01">
        <w:rPr>
          <w:rStyle w:val="FootnoteReference"/>
          <w:rFonts w:cs="Times New Roman"/>
        </w:rPr>
        <w:footnoteReference w:id="8"/>
      </w:r>
      <w:r w:rsidR="002B4682" w:rsidRPr="00A45D01">
        <w:rPr>
          <w:rFonts w:cs="Times New Roman"/>
        </w:rPr>
        <w:t xml:space="preserve">Pri tom je postalo uobičajeno da se podaci o različitim premijama na rizik za razne zemlje i privredne grane uzimaju iz redovno </w:t>
      </w:r>
      <w:r w:rsidR="00D42F42" w:rsidRPr="00A45D01">
        <w:rPr>
          <w:rFonts w:cs="Times New Roman"/>
        </w:rPr>
        <w:t>aktuelizirane baze podataka koju već dugi niz godina priprema professor Aswath Damodaran</w:t>
      </w:r>
      <w:r w:rsidR="002B4682" w:rsidRPr="00A45D01">
        <w:rPr>
          <w:rFonts w:cs="Times New Roman"/>
        </w:rPr>
        <w:t>.</w:t>
      </w:r>
      <w:r w:rsidR="00206CC2" w:rsidRPr="00A45D01">
        <w:rPr>
          <w:rStyle w:val="FootnoteReference"/>
          <w:rFonts w:cs="Times New Roman"/>
        </w:rPr>
        <w:footnoteReference w:id="9"/>
      </w:r>
    </w:p>
    <w:p w:rsidR="00206CC2" w:rsidRPr="00A45D01" w:rsidRDefault="00206CC2" w:rsidP="00F12717">
      <w:pPr>
        <w:spacing w:line="276" w:lineRule="auto"/>
        <w:jc w:val="both"/>
        <w:rPr>
          <w:rFonts w:cs="Times New Roman"/>
        </w:rPr>
      </w:pPr>
      <w:r w:rsidRPr="00A45D01">
        <w:rPr>
          <w:rFonts w:cs="Times New Roman"/>
        </w:rPr>
        <w:t xml:space="preserve">Mi ovdje nijesmo ulazili u detaljnu kalkulaciju odgovarajućih diskontnih stopa. Dva su razloga tome. Prvo, pomenuta metodologija je relevantna samo za analizu isplativosti projekta iz perspective privatnih investitora </w:t>
      </w:r>
      <w:r w:rsidR="002505A6" w:rsidRPr="00A45D01">
        <w:rPr>
          <w:rFonts w:cs="Times New Roman"/>
        </w:rPr>
        <w:t xml:space="preserve">a ne i za analizu društvene isplativosti. Drugo, stimulativne cijene po kojima se prodaje struja, prvenstvo kod otkupa struje i čitav niz drugih privilegija i zaštita koje investitori u mHE u Crnoj Gori imaju čine uobičajeni proračun diskontne stope manje korisnim bez prethodnih korekcija. Upravo zbog toga mi smo </w:t>
      </w:r>
      <w:r w:rsidR="009D5DC2" w:rsidRPr="00A45D01">
        <w:rPr>
          <w:rFonts w:cs="Times New Roman"/>
        </w:rPr>
        <w:t xml:space="preserve">izbjegli detaljno računanje diskontne stope za mHE već smo </w:t>
      </w:r>
      <w:r w:rsidR="002505A6" w:rsidRPr="00A45D01">
        <w:rPr>
          <w:rFonts w:cs="Times New Roman"/>
        </w:rPr>
        <w:t xml:space="preserve">se opredijelili za </w:t>
      </w:r>
      <w:r w:rsidR="009D5DC2" w:rsidRPr="00A45D01">
        <w:rPr>
          <w:rFonts w:cs="Times New Roman"/>
        </w:rPr>
        <w:t xml:space="preserve">primjenu diskontne stope koja je primjenjivana za Elektroprivredu Crne Gore u slučaju prodaje rudnika uglja (Deloitte, 2018). Uz to koristili smo dvije alternativne mjere diskontne stope kako zbog ocjene osjetljivosti projekata na diskontnu stopu tako i zbog nekih drugih razmatranja kod ocjene društvene efikasnosti projekata. </w:t>
      </w:r>
    </w:p>
    <w:p w:rsidR="00847929" w:rsidRPr="00A45D01" w:rsidRDefault="00847929" w:rsidP="00846D13">
      <w:pPr>
        <w:spacing w:line="276" w:lineRule="auto"/>
        <w:rPr>
          <w:rFonts w:cs="Times New Roman"/>
        </w:rPr>
      </w:pPr>
    </w:p>
    <w:p w:rsidR="009D5DC2" w:rsidRPr="00A45D01" w:rsidRDefault="009D5DC2" w:rsidP="00846D13">
      <w:pPr>
        <w:spacing w:line="276" w:lineRule="auto"/>
        <w:rPr>
          <w:rFonts w:cs="Times New Roman"/>
        </w:rPr>
      </w:pPr>
    </w:p>
    <w:p w:rsidR="001C3727" w:rsidRPr="00AC5A51" w:rsidRDefault="001C3727" w:rsidP="004D1F30">
      <w:pPr>
        <w:spacing w:line="276" w:lineRule="auto"/>
        <w:rPr>
          <w:rFonts w:cs="Times New Roman"/>
        </w:rPr>
      </w:pPr>
      <w:r w:rsidRPr="004D1F30">
        <w:br w:type="page"/>
      </w:r>
    </w:p>
    <w:p w:rsidR="00986023" w:rsidRPr="004D1F30" w:rsidRDefault="00986023" w:rsidP="004D1F30">
      <w:pPr>
        <w:spacing w:line="276" w:lineRule="auto"/>
      </w:pPr>
    </w:p>
    <w:p w:rsidR="001C3727" w:rsidRPr="004D1F30" w:rsidRDefault="001C3727" w:rsidP="004D1F30">
      <w:pPr>
        <w:spacing w:line="276" w:lineRule="auto"/>
      </w:pPr>
    </w:p>
    <w:p w:rsidR="005D34F7" w:rsidRPr="004D1F30" w:rsidRDefault="00D5582C" w:rsidP="004D1F30">
      <w:pPr>
        <w:spacing w:line="276" w:lineRule="auto"/>
        <w:rPr>
          <w:b/>
          <w:sz w:val="28"/>
          <w:szCs w:val="28"/>
        </w:rPr>
      </w:pPr>
      <w:r>
        <w:rPr>
          <w:b/>
          <w:sz w:val="28"/>
          <w:szCs w:val="28"/>
        </w:rPr>
        <w:t>2.</w:t>
      </w:r>
      <w:r w:rsidR="008677E6">
        <w:rPr>
          <w:b/>
          <w:sz w:val="28"/>
          <w:szCs w:val="28"/>
        </w:rPr>
        <w:t xml:space="preserve"> PRIVATNA RENTABILNOST</w:t>
      </w:r>
      <w:r w:rsidR="005D34F7" w:rsidRPr="004D1F30">
        <w:rPr>
          <w:b/>
          <w:sz w:val="28"/>
          <w:szCs w:val="28"/>
        </w:rPr>
        <w:t xml:space="preserve"> I ISPLATIVOST MALI</w:t>
      </w:r>
      <w:r w:rsidR="0021042C" w:rsidRPr="004D1F30">
        <w:rPr>
          <w:b/>
          <w:sz w:val="28"/>
          <w:szCs w:val="28"/>
        </w:rPr>
        <w:t>H HIDROELEKTRANA</w:t>
      </w:r>
    </w:p>
    <w:p w:rsidR="00D46E31" w:rsidRPr="00D46E31" w:rsidRDefault="00D5582C" w:rsidP="0027413B">
      <w:pPr>
        <w:spacing w:line="276" w:lineRule="auto"/>
        <w:jc w:val="both"/>
        <w:rPr>
          <w:b/>
          <w:sz w:val="28"/>
          <w:szCs w:val="28"/>
        </w:rPr>
      </w:pPr>
      <w:r>
        <w:rPr>
          <w:b/>
          <w:sz w:val="28"/>
          <w:szCs w:val="28"/>
        </w:rPr>
        <w:t xml:space="preserve">2.1. </w:t>
      </w:r>
      <w:r w:rsidR="00D46E31">
        <w:rPr>
          <w:b/>
          <w:sz w:val="28"/>
          <w:szCs w:val="28"/>
        </w:rPr>
        <w:t>Kratak opis pro</w:t>
      </w:r>
      <w:r w:rsidR="00411FE0">
        <w:rPr>
          <w:b/>
          <w:sz w:val="28"/>
          <w:szCs w:val="28"/>
        </w:rPr>
        <w:t>j</w:t>
      </w:r>
      <w:r w:rsidR="00D46E31">
        <w:rPr>
          <w:b/>
          <w:sz w:val="28"/>
          <w:szCs w:val="28"/>
        </w:rPr>
        <w:t xml:space="preserve">ekta </w:t>
      </w:r>
      <w:r w:rsidR="00456BA7">
        <w:rPr>
          <w:b/>
          <w:sz w:val="28"/>
          <w:szCs w:val="28"/>
        </w:rPr>
        <w:t xml:space="preserve">dvije mHE koje će biti predmet studije slučaja </w:t>
      </w:r>
    </w:p>
    <w:p w:rsidR="00267346" w:rsidRDefault="00411FE0" w:rsidP="0027413B">
      <w:pPr>
        <w:spacing w:line="276" w:lineRule="auto"/>
        <w:jc w:val="both"/>
      </w:pPr>
      <w:r w:rsidRPr="00411FE0">
        <w:t>1</w:t>
      </w:r>
      <w:r w:rsidR="00BF16B4" w:rsidRPr="00411FE0">
        <w:t xml:space="preserve">. </w:t>
      </w:r>
      <w:r w:rsidR="00E656E7">
        <w:t xml:space="preserve">Ovaj tip projekta je najprirodnije otpočeti razmatranjem lokacije i njenim detaljnijim opisom. S obzirom da je ova tema već detaljno razmatrana u glavnom projektu i u </w:t>
      </w:r>
      <w:r w:rsidR="00267346">
        <w:t>ekološkim studijama</w:t>
      </w:r>
      <w:r w:rsidR="00E656E7">
        <w:t xml:space="preserve"> urađenoj od strane konsultantske kompanije SISTEM (2012, 2013), mi ćemo samo dati kratak opis rezultata</w:t>
      </w:r>
      <w:r w:rsidR="00267346">
        <w:t xml:space="preserve"> datih u tim studijama i to u</w:t>
      </w:r>
      <w:r w:rsidR="00E656E7">
        <w:t xml:space="preserve"> mjeri u kojoj je to neophodno </w:t>
      </w:r>
      <w:r w:rsidR="00267346">
        <w:t xml:space="preserve">za studiju ove svrhe. </w:t>
      </w:r>
      <w:r w:rsidR="00573AF6">
        <w:t xml:space="preserve">To nam je, za početak, potrebno radi postavljanja osnova za izradu ovog poglavlja a potom i kao osnov za izradu svih ostalih poglavlja koja slede. </w:t>
      </w:r>
    </w:p>
    <w:p w:rsidR="005D34F7" w:rsidRPr="0057420E" w:rsidRDefault="0027413B" w:rsidP="0027413B">
      <w:pPr>
        <w:spacing w:line="276" w:lineRule="auto"/>
        <w:jc w:val="both"/>
      </w:pPr>
      <w:r w:rsidRPr="0027413B">
        <w:t>Male hidroelektrane (mHE) s</w:t>
      </w:r>
      <w:r>
        <w:t>u pre</w:t>
      </w:r>
      <w:r w:rsidR="00F62F57">
        <w:t>ma opšte prihvaćenoj definiciji</w:t>
      </w:r>
      <w:r>
        <w:t xml:space="preserve"> sistemi manjih kapaciteta</w:t>
      </w:r>
      <w:r w:rsidRPr="0027413B">
        <w:t xml:space="preserve">, </w:t>
      </w:r>
      <w:r>
        <w:t xml:space="preserve">najčešće do 10 MW. Naravno, </w:t>
      </w:r>
      <w:r w:rsidR="00F62F57">
        <w:t>u</w:t>
      </w:r>
      <w:r w:rsidRPr="0027413B">
        <w:t>glavnom</w:t>
      </w:r>
      <w:r>
        <w:t xml:space="preserve"> su izgrađ</w:t>
      </w:r>
      <w:r w:rsidRPr="0027413B">
        <w:t xml:space="preserve">eni na manjim vodotocima, odnosno na manjim rijekama, potocima, raznim kanalima </w:t>
      </w:r>
      <w:r w:rsidR="00F62F57">
        <w:t>i</w:t>
      </w:r>
      <w:r>
        <w:t xml:space="preserve"> sličnim</w:t>
      </w:r>
      <w:r w:rsidR="00F62F57">
        <w:t xml:space="preserve"> tokovima</w:t>
      </w:r>
      <w:r>
        <w:t xml:space="preserve">. </w:t>
      </w:r>
      <w:r w:rsidR="00F62F57">
        <w:t>U poslednje vrijeme ugrađuju se</w:t>
      </w:r>
      <w:r w:rsidRPr="0027413B">
        <w:t xml:space="preserve"> čak i u sist</w:t>
      </w:r>
      <w:r w:rsidR="00F62F57">
        <w:t>eme vodosnabdijevanja.</w:t>
      </w:r>
      <w:r w:rsidR="00D14713">
        <w:rPr>
          <w:rStyle w:val="FootnoteReference"/>
        </w:rPr>
        <w:footnoteReference w:id="10"/>
      </w:r>
      <w:r w:rsidR="00F62F57">
        <w:t xml:space="preserve"> Ovakvi vodotoci imaju mnoštvo društvenih funkcija o kojima se mora voditi računa prilikom projektovanja. U protivnom mogu imati snažan negativan</w:t>
      </w:r>
      <w:r w:rsidRPr="0027413B">
        <w:t xml:space="preserve"> uticaj na okolinu </w:t>
      </w:r>
      <w:r w:rsidR="00F62F57">
        <w:t xml:space="preserve">ili na druge aktivnosti povezane sa njima. </w:t>
      </w:r>
    </w:p>
    <w:p w:rsidR="0023620F" w:rsidRPr="003B6C63" w:rsidRDefault="0023620F" w:rsidP="0027413B">
      <w:pPr>
        <w:spacing w:line="276" w:lineRule="auto"/>
        <w:jc w:val="both"/>
      </w:pPr>
      <w:r w:rsidRPr="0057420E">
        <w:t xml:space="preserve">Lokacije </w:t>
      </w:r>
      <w:r w:rsidRPr="000C35F9">
        <w:t xml:space="preserve">za male hidrocentrale kapaciteta do </w:t>
      </w:r>
      <w:r w:rsidR="003B6C63">
        <w:t xml:space="preserve">10 </w:t>
      </w:r>
      <w:r w:rsidRPr="000C35F9">
        <w:t xml:space="preserve">MW </w:t>
      </w:r>
      <w:r w:rsidR="003B6C63">
        <w:t xml:space="preserve">u Crnoj Gori </w:t>
      </w:r>
      <w:r w:rsidR="003E0FBB">
        <w:t>nije</w:t>
      </w:r>
      <w:r w:rsidR="0057420E">
        <w:t>su</w:t>
      </w:r>
      <w:r w:rsidRPr="000C35F9">
        <w:t xml:space="preserve"> definisane detaljnijim </w:t>
      </w:r>
      <w:r w:rsidR="00697CC1">
        <w:t>urbanističkim planovima</w:t>
      </w:r>
      <w:r w:rsidR="003E0FBB">
        <w:t xml:space="preserve">, kako je zakonom predviđeno, </w:t>
      </w:r>
      <w:r w:rsidR="00697CC1">
        <w:t>već je njihova lokacija bazirana</w:t>
      </w:r>
      <w:r w:rsidR="003E0FBB">
        <w:t xml:space="preserve"> na</w:t>
      </w:r>
      <w:r w:rsidR="000C35F9" w:rsidRPr="003B6C63">
        <w:t xml:space="preserve"> rješenjima datim u</w:t>
      </w:r>
      <w:r w:rsidR="000C35F9" w:rsidRPr="003B6C63">
        <w:rPr>
          <w:bCs/>
        </w:rPr>
        <w:t>Prostornom planu</w:t>
      </w:r>
      <w:r w:rsidRPr="003B6C63">
        <w:rPr>
          <w:bCs/>
        </w:rPr>
        <w:t xml:space="preserve"> Crne Gore do 2020 </w:t>
      </w:r>
      <w:r w:rsidR="000C35F9" w:rsidRPr="003B6C63">
        <w:rPr>
          <w:bCs/>
        </w:rPr>
        <w:t xml:space="preserve">kao </w:t>
      </w:r>
      <w:r w:rsidR="000C35F9" w:rsidRPr="003B6C63">
        <w:t>i onim</w:t>
      </w:r>
      <w:r w:rsidR="003E0FBB">
        <w:t xml:space="preserve"> rješenjima</w:t>
      </w:r>
      <w:r w:rsidR="000C35F9" w:rsidRPr="003B6C63">
        <w:t xml:space="preserve"> definisanim u tada već </w:t>
      </w:r>
      <w:r w:rsidR="003B6C63" w:rsidRPr="003B6C63">
        <w:t>ustanovljenoj</w:t>
      </w:r>
      <w:r w:rsidR="000C35F9" w:rsidRPr="003B6C63">
        <w:rPr>
          <w:bCs/>
        </w:rPr>
        <w:t>Strategiji</w:t>
      </w:r>
      <w:r w:rsidRPr="003B6C63">
        <w:rPr>
          <w:bCs/>
        </w:rPr>
        <w:t xml:space="preserve"> razvoja energetike Crne Gore do 2025 </w:t>
      </w:r>
      <w:r w:rsidRPr="003B6C63">
        <w:t xml:space="preserve">i </w:t>
      </w:r>
      <w:r w:rsidR="000C35F9" w:rsidRPr="003B6C63">
        <w:rPr>
          <w:bCs/>
        </w:rPr>
        <w:t>Strategi</w:t>
      </w:r>
      <w:r w:rsidRPr="003B6C63">
        <w:rPr>
          <w:bCs/>
        </w:rPr>
        <w:t xml:space="preserve"> razvoja malih hidroelektrana. </w:t>
      </w:r>
      <w:r w:rsidR="00F307F5">
        <w:rPr>
          <w:bCs/>
        </w:rPr>
        <w:t>Ovakvo</w:t>
      </w:r>
      <w:r w:rsidR="00ED4B6A">
        <w:rPr>
          <w:bCs/>
        </w:rPr>
        <w:t xml:space="preserve"> rješenj</w:t>
      </w:r>
      <w:r w:rsidR="007D7268">
        <w:rPr>
          <w:bCs/>
        </w:rPr>
        <w:t>e</w:t>
      </w:r>
      <w:r w:rsidR="00F307F5">
        <w:rPr>
          <w:bCs/>
        </w:rPr>
        <w:t>je bazirano na zaključcima</w:t>
      </w:r>
      <w:r w:rsidR="00ED4B6A">
        <w:rPr>
          <w:bCs/>
        </w:rPr>
        <w:t xml:space="preserve"> Vlade </w:t>
      </w:r>
      <w:r w:rsidR="007D7268">
        <w:rPr>
          <w:bCs/>
        </w:rPr>
        <w:t>iz jula 2010</w:t>
      </w:r>
      <w:r w:rsidR="00F307F5">
        <w:rPr>
          <w:bCs/>
        </w:rPr>
        <w:t>. T</w:t>
      </w:r>
      <w:r w:rsidR="00ED4B6A">
        <w:rPr>
          <w:bCs/>
        </w:rPr>
        <w:t>o znači da je cijeli posa</w:t>
      </w:r>
      <w:r w:rsidR="00F307F5">
        <w:rPr>
          <w:bCs/>
        </w:rPr>
        <w:t>o</w:t>
      </w:r>
      <w:r w:rsidR="00ED4B6A">
        <w:rPr>
          <w:bCs/>
        </w:rPr>
        <w:t xml:space="preserve"> obavljen tako što se na osnovu zaključka Vlade prekršio </w:t>
      </w:r>
      <w:r w:rsidR="00ED4B6A" w:rsidRPr="00415B6F">
        <w:rPr>
          <w:bCs/>
          <w:i/>
        </w:rPr>
        <w:t>Zakon o uređenju prostora i izgradnji objekata</w:t>
      </w:r>
      <w:r w:rsidR="00ED4B6A">
        <w:rPr>
          <w:bCs/>
        </w:rPr>
        <w:t xml:space="preserve">. </w:t>
      </w:r>
      <w:r w:rsidR="00F307F5">
        <w:rPr>
          <w:bCs/>
        </w:rPr>
        <w:t xml:space="preserve">Kao što znamo ovo nije ništa neobično za donošenje odluka od kapitalnog značaja u nas. Naprotiv, što je odluka </w:t>
      </w:r>
      <w:r w:rsidR="005F20FF">
        <w:rPr>
          <w:bCs/>
        </w:rPr>
        <w:t xml:space="preserve">od većeg značaja to je veća </w:t>
      </w:r>
      <w:r w:rsidR="00F307F5">
        <w:rPr>
          <w:bCs/>
        </w:rPr>
        <w:t xml:space="preserve">vjerovatnoća da će </w:t>
      </w:r>
      <w:r w:rsidR="00415B6F">
        <w:rPr>
          <w:bCs/>
        </w:rPr>
        <w:t xml:space="preserve">biti </w:t>
      </w:r>
      <w:r w:rsidR="005F20FF">
        <w:rPr>
          <w:bCs/>
        </w:rPr>
        <w:t xml:space="preserve">donijeta uz kršenje </w:t>
      </w:r>
      <w:r w:rsidR="00415B6F">
        <w:rPr>
          <w:bCs/>
        </w:rPr>
        <w:t xml:space="preserve">zakon. </w:t>
      </w:r>
      <w:r w:rsidR="005F20FF">
        <w:rPr>
          <w:bCs/>
        </w:rPr>
        <w:t xml:space="preserve">Ako je uz to veće učešće javnog interesa u takvim kapitalnim odlukama, a nejčešće jeste, onda je i društvena šteta od ovakvog donošenja odluka veća. </w:t>
      </w:r>
    </w:p>
    <w:p w:rsidR="00DF7545" w:rsidRDefault="00F62F57" w:rsidP="00FF2365">
      <w:pPr>
        <w:spacing w:line="276" w:lineRule="auto"/>
        <w:jc w:val="both"/>
      </w:pPr>
      <w:r>
        <w:t xml:space="preserve">Definišimo za početak </w:t>
      </w:r>
      <w:r w:rsidR="000C35F9">
        <w:t xml:space="preserve">detaljnije </w:t>
      </w:r>
      <w:r>
        <w:t xml:space="preserve">lokaciju i vodozahvate dviju elektrana koje su predmet naše studije. </w:t>
      </w:r>
      <w:r w:rsidR="00191729">
        <w:t>Kao što se vidi iz ekološke studije urađene od</w:t>
      </w:r>
      <w:r w:rsidR="00276198">
        <w:t xml:space="preserve">strane </w:t>
      </w:r>
      <w:r w:rsidR="00191729">
        <w:t>konsultantske kompanije SISTEM</w:t>
      </w:r>
      <w:r w:rsidR="00CC0330">
        <w:t xml:space="preserve"> (2013</w:t>
      </w:r>
      <w:r w:rsidR="00191729">
        <w:t>)</w:t>
      </w:r>
      <w:r w:rsidR="00BF16B4" w:rsidRPr="00CC0330">
        <w:rPr>
          <w:b/>
          <w:i/>
        </w:rPr>
        <w:t>mHE Babino polje</w:t>
      </w:r>
      <w:r w:rsidR="00276198">
        <w:t xml:space="preserve">je bazirana na vodozahvatima Babinipoljske i Hridske rijeke. </w:t>
      </w:r>
      <w:r w:rsidR="00CC0330">
        <w:t>S druge strane, na osnovu ekološke studije iste konsultantske firme iz 2012. godine v</w:t>
      </w:r>
      <w:r w:rsidR="00FF0476">
        <w:t>i</w:t>
      </w:r>
      <w:r w:rsidR="00CC0330">
        <w:t xml:space="preserve">dimo da </w:t>
      </w:r>
      <w:r w:rsidR="00FF0476">
        <w:t xml:space="preserve">je </w:t>
      </w:r>
      <w:r w:rsidR="00CC0330" w:rsidRPr="00CC0330">
        <w:rPr>
          <w:b/>
          <w:i/>
        </w:rPr>
        <w:t>mHE Jara</w:t>
      </w:r>
      <w:r w:rsidR="0023620F">
        <w:t>bazirana na vodozahvatima Temnja</w:t>
      </w:r>
      <w:r w:rsidR="00CC0330">
        <w:t>čke i</w:t>
      </w:r>
      <w:r w:rsidR="0023620F">
        <w:t xml:space="preserve"> Treskavi</w:t>
      </w:r>
      <w:r w:rsidR="00CC0330">
        <w:t xml:space="preserve">čke rijeke. </w:t>
      </w:r>
      <w:r w:rsidR="0023620F">
        <w:t xml:space="preserve">Temljačka rijeka nastaje upravo spajanjem ranije pomenutih Babinopoljske i Hridske rijeke. Treskavička rijeka, sa svoje strane, nastaje spajanjem dva bezimena potoka. </w:t>
      </w:r>
      <w:r w:rsidR="00421FF1" w:rsidRPr="00421FF1">
        <w:rPr>
          <w:bCs/>
        </w:rPr>
        <w:t>Obe</w:t>
      </w:r>
      <w:r w:rsidR="00421FF1" w:rsidRPr="00421FF1">
        <w:t xml:space="preserve"> mHE Jara i Babino Polje su locirane na sjevernom dijelu padina Prokletija t</w:t>
      </w:r>
      <w:r w:rsidR="00421FF1">
        <w:t>ako da teritorijalno pripadaju o</w:t>
      </w:r>
      <w:r w:rsidR="00421FF1" w:rsidRPr="00421FF1">
        <w:t>pštini Plav</w:t>
      </w:r>
      <w:r w:rsidR="00421FF1">
        <w:t>, smještenoj tik uz Plavsko jezero</w:t>
      </w:r>
      <w:r w:rsidR="00421FF1" w:rsidRPr="00421FF1">
        <w:t>.</w:t>
      </w:r>
      <w:r w:rsidR="00421FF1">
        <w:t xml:space="preserve"> Sam grad Plav je smješten na nadmorskoj visini od 945 metara. </w:t>
      </w:r>
      <w:r w:rsidR="00FF2365">
        <w:t>Bez dalje analize</w:t>
      </w:r>
      <w:r w:rsidR="00070324">
        <w:t>,</w:t>
      </w:r>
      <w:r w:rsidR="00FF2365">
        <w:t xml:space="preserve"> za mHE važnih</w:t>
      </w:r>
      <w:r w:rsidR="00070324">
        <w:t>,</w:t>
      </w:r>
      <w:r w:rsidR="00FF2365">
        <w:t xml:space="preserve"> topografskih obilježja dajemo mape </w:t>
      </w:r>
      <w:r w:rsidR="00FF2365">
        <w:lastRenderedPageBreak/>
        <w:t>l</w:t>
      </w:r>
      <w:r w:rsidR="00320C1F">
        <w:t xml:space="preserve">okacije za vodozahvate i mašinske hale obe mHE. </w:t>
      </w:r>
      <w:r w:rsidR="006A3C07">
        <w:t xml:space="preserve">Prije toga dajemo mapu opštine Plav sa lokacijom pojedinih mjesta kao i dvije mHE. </w:t>
      </w:r>
    </w:p>
    <w:p w:rsidR="006A3C07" w:rsidRDefault="006A3C07" w:rsidP="00B27ACF">
      <w:pPr>
        <w:spacing w:after="0" w:line="276" w:lineRule="auto"/>
      </w:pPr>
      <w:r w:rsidRPr="006A3C07">
        <w:rPr>
          <w:noProof/>
        </w:rPr>
        <w:drawing>
          <wp:inline distT="0" distB="0" distL="0" distR="0">
            <wp:extent cx="5636525" cy="4293564"/>
            <wp:effectExtent l="171450" t="171450" r="173990" b="1835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2736" cy="42982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90B07" w:rsidRDefault="00B27ACF" w:rsidP="00A90B07">
      <w:pPr>
        <w:spacing w:line="276" w:lineRule="auto"/>
        <w:jc w:val="center"/>
      </w:pPr>
      <w:r>
        <w:t xml:space="preserve">Slika 1: Lokacija </w:t>
      </w:r>
      <w:r w:rsidR="007F4FAD">
        <w:t xml:space="preserve">analiziranih </w:t>
      </w:r>
      <w:r>
        <w:t xml:space="preserve">mHE u opštini Plav </w:t>
      </w:r>
      <w:r w:rsidR="00F43E10">
        <w:t xml:space="preserve">(Izvor: SISTEM, 2013) </w:t>
      </w:r>
    </w:p>
    <w:p w:rsidR="001B7A6C" w:rsidRDefault="001B7A6C" w:rsidP="001B7A6C">
      <w:pPr>
        <w:spacing w:line="276" w:lineRule="auto"/>
        <w:jc w:val="both"/>
      </w:pPr>
      <w:r>
        <w:rPr>
          <w:bCs/>
        </w:rPr>
        <w:t>K</w:t>
      </w:r>
      <w:r w:rsidR="0042203A">
        <w:rPr>
          <w:bCs/>
        </w:rPr>
        <w:t xml:space="preserve">ada je riječ o </w:t>
      </w:r>
      <w:r w:rsidR="0042203A" w:rsidRPr="0042203A">
        <w:rPr>
          <w:b/>
          <w:bCs/>
        </w:rPr>
        <w:t>mHE Jara</w:t>
      </w:r>
      <w:r w:rsidR="0042203A">
        <w:rPr>
          <w:bCs/>
        </w:rPr>
        <w:t>, Slika 2</w:t>
      </w:r>
      <w:r>
        <w:rPr>
          <w:bCs/>
        </w:rPr>
        <w:t xml:space="preserve">, konstantujmo za početak da </w:t>
      </w:r>
      <w:r w:rsidRPr="001B7A6C">
        <w:rPr>
          <w:bCs/>
        </w:rPr>
        <w:t>Temnjačka rijeka</w:t>
      </w:r>
      <w:r w:rsidRPr="001B7A6C">
        <w:t>nastaje od vodotoka Babinpoljske rijeke i Hridske rijeke koji se spajaju na koti 1</w:t>
      </w:r>
      <w:r>
        <w:t>,</w:t>
      </w:r>
      <w:r w:rsidRPr="001B7A6C">
        <w:t xml:space="preserve">290 mnm. Na koti 1062 mnm Treskavička rijeka se uliva u Temnjačku rijeku i nastaje rijeka Komarača (Babinopoljska rijeka). Topografska površina sliva iznosi </w:t>
      </w:r>
      <w:r w:rsidRPr="001B7A6C">
        <w:rPr>
          <w:i/>
          <w:iCs/>
        </w:rPr>
        <w:t>As</w:t>
      </w:r>
      <w:r w:rsidRPr="001B7A6C">
        <w:t xml:space="preserve">= 42.08 km2. Dužina toka Temnjačke rijeke iznosi </w:t>
      </w:r>
      <w:r w:rsidRPr="001B7A6C">
        <w:rPr>
          <w:i/>
          <w:iCs/>
        </w:rPr>
        <w:t xml:space="preserve">L </w:t>
      </w:r>
      <w:r w:rsidRPr="001B7A6C">
        <w:t>= 2.8 km</w:t>
      </w:r>
      <w:r w:rsidRPr="001B7A6C">
        <w:rPr>
          <w:i/>
          <w:iCs/>
        </w:rPr>
        <w:t>.</w:t>
      </w:r>
      <w:r w:rsidRPr="001B7A6C">
        <w:t xml:space="preserve">Karakteristični protoci dobijeni na profilu </w:t>
      </w:r>
      <w:r>
        <w:t xml:space="preserve">ovog vodozahvata su: </w:t>
      </w:r>
    </w:p>
    <w:p w:rsidR="001B7A6C" w:rsidRDefault="001B7A6C" w:rsidP="00272C10">
      <w:pPr>
        <w:pStyle w:val="ListParagraph"/>
        <w:numPr>
          <w:ilvl w:val="0"/>
          <w:numId w:val="6"/>
        </w:numPr>
        <w:spacing w:line="276" w:lineRule="auto"/>
      </w:pPr>
      <w:r>
        <w:t>M</w:t>
      </w:r>
      <w:r w:rsidRPr="001B7A6C">
        <w:t xml:space="preserve">aksimalni protok, </w:t>
      </w:r>
      <w:r w:rsidRPr="001B7A6C">
        <w:rPr>
          <w:bCs/>
          <w:i/>
          <w:iCs/>
        </w:rPr>
        <w:t xml:space="preserve">Qmax </w:t>
      </w:r>
      <w:r w:rsidRPr="001B7A6C">
        <w:rPr>
          <w:bCs/>
        </w:rPr>
        <w:t>= 17.591m3/s</w:t>
      </w:r>
      <w:r w:rsidRPr="001B7A6C">
        <w:t>,</w:t>
      </w:r>
    </w:p>
    <w:p w:rsidR="001B7A6C" w:rsidRDefault="001B7A6C" w:rsidP="00272C10">
      <w:pPr>
        <w:pStyle w:val="ListParagraph"/>
        <w:numPr>
          <w:ilvl w:val="0"/>
          <w:numId w:val="6"/>
        </w:numPr>
        <w:spacing w:line="276" w:lineRule="auto"/>
      </w:pPr>
      <w:r>
        <w:t>S</w:t>
      </w:r>
      <w:r w:rsidRPr="001B7A6C">
        <w:t xml:space="preserve">rednji protok, </w:t>
      </w:r>
      <w:r w:rsidRPr="001B7A6C">
        <w:rPr>
          <w:bCs/>
          <w:i/>
          <w:iCs/>
        </w:rPr>
        <w:t xml:space="preserve">Qsr </w:t>
      </w:r>
      <w:r w:rsidRPr="001B7A6C">
        <w:rPr>
          <w:bCs/>
        </w:rPr>
        <w:t>= 1.512 m3/s</w:t>
      </w:r>
      <w:r w:rsidRPr="001B7A6C">
        <w:t>,</w:t>
      </w:r>
    </w:p>
    <w:p w:rsidR="001B7A6C" w:rsidRPr="001B7A6C" w:rsidRDefault="001B7A6C" w:rsidP="00272C10">
      <w:pPr>
        <w:pStyle w:val="ListParagraph"/>
        <w:numPr>
          <w:ilvl w:val="0"/>
          <w:numId w:val="6"/>
        </w:numPr>
        <w:spacing w:line="276" w:lineRule="auto"/>
      </w:pPr>
      <w:r>
        <w:t>M</w:t>
      </w:r>
      <w:r w:rsidRPr="001B7A6C">
        <w:t xml:space="preserve">inimalni protok, </w:t>
      </w:r>
      <w:r w:rsidRPr="001B7A6C">
        <w:rPr>
          <w:bCs/>
          <w:i/>
          <w:iCs/>
        </w:rPr>
        <w:t xml:space="preserve">Qmin </w:t>
      </w:r>
      <w:r w:rsidRPr="001B7A6C">
        <w:rPr>
          <w:bCs/>
        </w:rPr>
        <w:t>= 0.181 m3/s</w:t>
      </w:r>
      <w:r w:rsidRPr="001B7A6C">
        <w:t>.</w:t>
      </w:r>
    </w:p>
    <w:p w:rsidR="00955F3A" w:rsidRDefault="00955F3A" w:rsidP="0056423C">
      <w:pPr>
        <w:spacing w:line="276" w:lineRule="auto"/>
        <w:jc w:val="both"/>
      </w:pPr>
      <w:r w:rsidRPr="00955F3A">
        <w:rPr>
          <w:bCs/>
        </w:rPr>
        <w:t xml:space="preserve">Kao što je rečeno, </w:t>
      </w:r>
      <w:r>
        <w:t>n</w:t>
      </w:r>
      <w:r w:rsidR="00923806" w:rsidRPr="00923806">
        <w:t>akon ušća sa Hridskom rijekom, Babinopoljska rijeka mjenja ime u Temnjačka rijeka. Maksimalna visina u slivu je 2</w:t>
      </w:r>
      <w:r>
        <w:t>,</w:t>
      </w:r>
      <w:r w:rsidR="00923806" w:rsidRPr="00923806">
        <w:t>426 mnm a minimalna 1</w:t>
      </w:r>
      <w:r>
        <w:t>,</w:t>
      </w:r>
      <w:r w:rsidR="00923806" w:rsidRPr="00923806">
        <w:t xml:space="preserve">410 mnm. </w:t>
      </w:r>
      <w:r w:rsidR="00923806" w:rsidRPr="00955F3A">
        <w:rPr>
          <w:b/>
          <w:bCs/>
        </w:rPr>
        <w:t>Treskavička rijeka</w:t>
      </w:r>
      <w:r w:rsidR="00923806" w:rsidRPr="00955F3A">
        <w:t>nastaje od dva stalna potoka ko</w:t>
      </w:r>
      <w:r>
        <w:t>ji se spajaju na koti 1714 mnm.</w:t>
      </w:r>
      <w:r w:rsidR="00923806" w:rsidRPr="00923806">
        <w:t xml:space="preserve">Topografska površina njenog sliva iznosi </w:t>
      </w:r>
      <w:r w:rsidR="00923806" w:rsidRPr="00923806">
        <w:rPr>
          <w:i/>
          <w:iCs/>
        </w:rPr>
        <w:t>As</w:t>
      </w:r>
      <w:r w:rsidR="00923806" w:rsidRPr="00923806">
        <w:t xml:space="preserve">= 18.87 km2, a dužina toka rijeke iznosi </w:t>
      </w:r>
      <w:r w:rsidR="00923806" w:rsidRPr="00923806">
        <w:rPr>
          <w:i/>
          <w:iCs/>
        </w:rPr>
        <w:t xml:space="preserve">L </w:t>
      </w:r>
      <w:r w:rsidR="00923806" w:rsidRPr="00923806">
        <w:t>= 7.25 km</w:t>
      </w:r>
      <w:r w:rsidR="00923806" w:rsidRPr="00923806">
        <w:rPr>
          <w:i/>
          <w:iCs/>
        </w:rPr>
        <w:t>.</w:t>
      </w:r>
      <w:r w:rsidR="00923806" w:rsidRPr="00923806">
        <w:t xml:space="preserve">Karakteristični protoci dobijeni na profilu </w:t>
      </w:r>
      <w:r>
        <w:t xml:space="preserve">ovog vodozahvata su: </w:t>
      </w:r>
    </w:p>
    <w:p w:rsidR="00955F3A" w:rsidRDefault="00955F3A" w:rsidP="00272C10">
      <w:pPr>
        <w:pStyle w:val="ListParagraph"/>
        <w:numPr>
          <w:ilvl w:val="0"/>
          <w:numId w:val="6"/>
        </w:numPr>
        <w:spacing w:line="276" w:lineRule="auto"/>
      </w:pPr>
      <w:r>
        <w:lastRenderedPageBreak/>
        <w:t>M</w:t>
      </w:r>
      <w:r w:rsidR="00923806" w:rsidRPr="00923806">
        <w:t xml:space="preserve">aksimalni protok, </w:t>
      </w:r>
      <w:r w:rsidR="00923806" w:rsidRPr="00955F3A">
        <w:rPr>
          <w:b/>
          <w:bCs/>
          <w:i/>
          <w:iCs/>
        </w:rPr>
        <w:t xml:space="preserve">Qmax </w:t>
      </w:r>
      <w:r w:rsidR="00923806" w:rsidRPr="00955F3A">
        <w:rPr>
          <w:b/>
          <w:bCs/>
        </w:rPr>
        <w:t>= 6.218 m3/s</w:t>
      </w:r>
      <w:r w:rsidR="00923806" w:rsidRPr="00923806">
        <w:t>,</w:t>
      </w:r>
    </w:p>
    <w:p w:rsidR="00955F3A" w:rsidRDefault="00955F3A" w:rsidP="00272C10">
      <w:pPr>
        <w:pStyle w:val="ListParagraph"/>
        <w:numPr>
          <w:ilvl w:val="0"/>
          <w:numId w:val="6"/>
        </w:numPr>
        <w:spacing w:line="276" w:lineRule="auto"/>
      </w:pPr>
      <w:r>
        <w:t>S</w:t>
      </w:r>
      <w:r w:rsidR="00923806" w:rsidRPr="00923806">
        <w:t xml:space="preserve">rednji protok, </w:t>
      </w:r>
      <w:r w:rsidR="00923806" w:rsidRPr="00955F3A">
        <w:rPr>
          <w:b/>
          <w:bCs/>
          <w:i/>
          <w:iCs/>
        </w:rPr>
        <w:t xml:space="preserve">Qsr </w:t>
      </w:r>
      <w:r w:rsidR="00923806" w:rsidRPr="00955F3A">
        <w:rPr>
          <w:b/>
          <w:bCs/>
        </w:rPr>
        <w:t>= 0.653 m3/s</w:t>
      </w:r>
      <w:r w:rsidR="00923806" w:rsidRPr="00923806">
        <w:t>,</w:t>
      </w:r>
    </w:p>
    <w:p w:rsidR="00F152E4" w:rsidRPr="00923806" w:rsidRDefault="00955F3A" w:rsidP="00272C10">
      <w:pPr>
        <w:pStyle w:val="ListParagraph"/>
        <w:numPr>
          <w:ilvl w:val="0"/>
          <w:numId w:val="6"/>
        </w:numPr>
        <w:spacing w:line="276" w:lineRule="auto"/>
      </w:pPr>
      <w:r>
        <w:t>M</w:t>
      </w:r>
      <w:r w:rsidR="00923806" w:rsidRPr="00923806">
        <w:t xml:space="preserve">inimalni protok, </w:t>
      </w:r>
      <w:r w:rsidR="00923806" w:rsidRPr="00955F3A">
        <w:rPr>
          <w:b/>
          <w:bCs/>
          <w:i/>
          <w:iCs/>
        </w:rPr>
        <w:t xml:space="preserve">Qmin </w:t>
      </w:r>
      <w:r w:rsidR="00923806" w:rsidRPr="00955F3A">
        <w:rPr>
          <w:b/>
          <w:bCs/>
        </w:rPr>
        <w:t>= 0.041 m3/s</w:t>
      </w:r>
      <w:r w:rsidR="00923806" w:rsidRPr="00923806">
        <w:t>.</w:t>
      </w:r>
    </w:p>
    <w:p w:rsidR="0027413B" w:rsidRDefault="00FE50BE" w:rsidP="0056423C">
      <w:pPr>
        <w:spacing w:after="0" w:line="240" w:lineRule="auto"/>
        <w:jc w:val="center"/>
      </w:pPr>
      <w:r w:rsidRPr="00FE50BE">
        <w:rPr>
          <w:noProof/>
        </w:rPr>
        <w:drawing>
          <wp:inline distT="0" distB="0" distL="0" distR="0">
            <wp:extent cx="5656997" cy="3102399"/>
            <wp:effectExtent l="171450" t="171450" r="153670" b="1746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6134" cy="311837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12AA1" w:rsidRDefault="0042203A" w:rsidP="00E12AA1">
      <w:pPr>
        <w:spacing w:line="276" w:lineRule="auto"/>
        <w:jc w:val="center"/>
        <w:rPr>
          <w:iCs/>
          <w:sz w:val="20"/>
          <w:szCs w:val="20"/>
        </w:rPr>
      </w:pPr>
      <w:r>
        <w:rPr>
          <w:iCs/>
          <w:sz w:val="20"/>
          <w:szCs w:val="20"/>
        </w:rPr>
        <w:t>Slika 2</w:t>
      </w:r>
      <w:r w:rsidR="00E12AA1" w:rsidRPr="0061678B">
        <w:rPr>
          <w:iCs/>
          <w:sz w:val="20"/>
          <w:szCs w:val="20"/>
        </w:rPr>
        <w:t xml:space="preserve">: Lokacija vodozahvata i mašinske hale mHE Jara (Izvor: SISTEM, 2012) </w:t>
      </w:r>
    </w:p>
    <w:p w:rsidR="0042203A" w:rsidRDefault="0042203A" w:rsidP="0056423C">
      <w:pPr>
        <w:spacing w:line="276" w:lineRule="auto"/>
        <w:jc w:val="both"/>
      </w:pPr>
      <w:r>
        <w:t>Kada je riječ o mHE Babino Polje, Slika 3, konstatujmo za počrtak da B</w:t>
      </w:r>
      <w:r w:rsidRPr="002447ED">
        <w:t>abinopoljska rijeka izvire ispod planine Bogićevice na nadmors</w:t>
      </w:r>
      <w:r>
        <w:t>koj visini od 2,207 mnm. N</w:t>
      </w:r>
      <w:r w:rsidRPr="002447ED">
        <w:t>akon spajanja sa Hridskom rijekom čini Temnjačku rijeku. Temnjačka rijeka poslije ulivanja Treskavičke rijeke mijenja ime u Komaraču koja se uliva u Lim 2,0 km nizvodno od Plavskog jezera. Vodotok Babinopoljske rijeke iznosi 8,03 km, a njen sliv ima površinu od</w:t>
      </w:r>
      <w:r>
        <w:t xml:space="preserve"> 88,40 kvadratnih kilometaraili 8,840 hektara. N</w:t>
      </w:r>
      <w:r w:rsidRPr="002447ED">
        <w:t xml:space="preserve">jen ukupan pad </w:t>
      </w:r>
      <w:r>
        <w:t xml:space="preserve">iznosi čitavih </w:t>
      </w:r>
      <w:r w:rsidRPr="002447ED">
        <w:t>900 m.</w:t>
      </w:r>
    </w:p>
    <w:p w:rsidR="0042203A" w:rsidRPr="00746F93" w:rsidRDefault="0042203A" w:rsidP="0042203A">
      <w:pPr>
        <w:spacing w:line="276" w:lineRule="auto"/>
        <w:jc w:val="both"/>
      </w:pPr>
      <w:r w:rsidRPr="00746F93">
        <w:t>Na osnovu gore datih podataka i podataka iz ekološke studije (SISTEM, 2013</w:t>
      </w:r>
      <w:r w:rsidR="00FF0476">
        <w:t>.</w:t>
      </w:r>
      <w:r w:rsidRPr="00746F93">
        <w:t xml:space="preserve">) može se vidjeti da su </w:t>
      </w:r>
      <w:r>
        <w:t xml:space="preserve">za Babinopoljsku rijeku, kada je riječ o mHE, </w:t>
      </w:r>
      <w:r w:rsidRPr="00746F93">
        <w:t xml:space="preserve">karakteristični protoci dobijeni na profilu vodozahvata sledećih vrijednosti: </w:t>
      </w:r>
    </w:p>
    <w:p w:rsidR="0042203A" w:rsidRPr="00746F93" w:rsidRDefault="0042203A" w:rsidP="00272C10">
      <w:pPr>
        <w:pStyle w:val="ListParagraph"/>
        <w:numPr>
          <w:ilvl w:val="0"/>
          <w:numId w:val="6"/>
        </w:numPr>
        <w:spacing w:line="276" w:lineRule="auto"/>
        <w:jc w:val="both"/>
      </w:pPr>
      <w:r>
        <w:t>M</w:t>
      </w:r>
      <w:r w:rsidRPr="00746F93">
        <w:t xml:space="preserve">aksimalni protok, Qmax = 11.149m3/s, </w:t>
      </w:r>
    </w:p>
    <w:p w:rsidR="0042203A" w:rsidRPr="00746F93" w:rsidRDefault="0042203A" w:rsidP="00272C10">
      <w:pPr>
        <w:pStyle w:val="ListParagraph"/>
        <w:numPr>
          <w:ilvl w:val="0"/>
          <w:numId w:val="6"/>
        </w:numPr>
        <w:spacing w:line="276" w:lineRule="auto"/>
        <w:jc w:val="both"/>
      </w:pPr>
      <w:r>
        <w:t>S</w:t>
      </w:r>
      <w:r w:rsidRPr="00746F93">
        <w:t xml:space="preserve">rednji protok, Qsr = 0.855 m3/s, </w:t>
      </w:r>
    </w:p>
    <w:p w:rsidR="0042203A" w:rsidRDefault="0042203A" w:rsidP="00272C10">
      <w:pPr>
        <w:pStyle w:val="ListParagraph"/>
        <w:numPr>
          <w:ilvl w:val="0"/>
          <w:numId w:val="6"/>
        </w:numPr>
        <w:spacing w:line="276" w:lineRule="auto"/>
        <w:jc w:val="both"/>
      </w:pPr>
      <w:r>
        <w:t>M</w:t>
      </w:r>
      <w:r w:rsidRPr="00746F93">
        <w:t xml:space="preserve">inimalni protok, Qmin = 0.112 m3/s. </w:t>
      </w:r>
    </w:p>
    <w:p w:rsidR="0042203A" w:rsidRDefault="0042203A" w:rsidP="0042203A">
      <w:pPr>
        <w:spacing w:line="276" w:lineRule="auto"/>
        <w:jc w:val="both"/>
      </w:pPr>
      <w:r>
        <w:t>S drug</w:t>
      </w:r>
      <w:r w:rsidRPr="002447ED">
        <w:t>e strane, Hridska rijeka nastaje od izvora na koti od 1920 mnm. Nizvodno na koti 1,525 mnm, u Hridsku rijeku se uliva desna pritoka, bezimeni stalni potok, koji takođe nastaje od stalnog izvora na koti 1</w:t>
      </w:r>
      <w:r>
        <w:t>,</w:t>
      </w:r>
      <w:r w:rsidRPr="002447ED">
        <w:t xml:space="preserve">820 mnm. </w:t>
      </w:r>
      <w:r>
        <w:t>Njeni karakteristični protoci na ovom vodozahvatu dobijeni na osnovu ekološke studije (SISTEM, 2013</w:t>
      </w:r>
      <w:r w:rsidR="00FF0476">
        <w:t>.</w:t>
      </w:r>
      <w:r>
        <w:t xml:space="preserve">) su: </w:t>
      </w:r>
    </w:p>
    <w:p w:rsidR="0042203A" w:rsidRDefault="0042203A" w:rsidP="00272C10">
      <w:pPr>
        <w:pStyle w:val="ListParagraph"/>
        <w:numPr>
          <w:ilvl w:val="0"/>
          <w:numId w:val="6"/>
        </w:numPr>
        <w:spacing w:line="276" w:lineRule="auto"/>
      </w:pPr>
      <w:r>
        <w:t>M</w:t>
      </w:r>
      <w:r w:rsidRPr="00746F93">
        <w:t>aksimalni protok, Qmax = 2.386 m3/s,</w:t>
      </w:r>
    </w:p>
    <w:p w:rsidR="0042203A" w:rsidRDefault="0042203A" w:rsidP="00272C10">
      <w:pPr>
        <w:pStyle w:val="ListParagraph"/>
        <w:numPr>
          <w:ilvl w:val="0"/>
          <w:numId w:val="6"/>
        </w:numPr>
        <w:spacing w:line="276" w:lineRule="auto"/>
      </w:pPr>
      <w:r>
        <w:t>S</w:t>
      </w:r>
      <w:r w:rsidRPr="00746F93">
        <w:t>rednji protok, Qsr = 0.275 m3/s,</w:t>
      </w:r>
    </w:p>
    <w:p w:rsidR="0042203A" w:rsidRPr="00746F93" w:rsidRDefault="0042203A" w:rsidP="00272C10">
      <w:pPr>
        <w:pStyle w:val="ListParagraph"/>
        <w:numPr>
          <w:ilvl w:val="0"/>
          <w:numId w:val="6"/>
        </w:numPr>
        <w:spacing w:line="276" w:lineRule="auto"/>
      </w:pPr>
      <w:r>
        <w:lastRenderedPageBreak/>
        <w:t>M</w:t>
      </w:r>
      <w:r w:rsidRPr="00746F93">
        <w:t>inimalni protok, Qmin = 0.046 m3/s.</w:t>
      </w:r>
    </w:p>
    <w:p w:rsidR="0042203A" w:rsidRDefault="0042203A" w:rsidP="0056423C">
      <w:pPr>
        <w:spacing w:after="0" w:line="240" w:lineRule="auto"/>
        <w:jc w:val="center"/>
      </w:pPr>
      <w:r w:rsidRPr="00320C1F">
        <w:rPr>
          <w:noProof/>
        </w:rPr>
        <w:drawing>
          <wp:inline distT="0" distB="0" distL="0" distR="0">
            <wp:extent cx="5684293" cy="3061335"/>
            <wp:effectExtent l="171450" t="171450" r="145415" b="1771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8860" cy="30637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2203A" w:rsidRPr="0042203A" w:rsidRDefault="0042203A" w:rsidP="0042203A">
      <w:pPr>
        <w:spacing w:line="276" w:lineRule="auto"/>
        <w:jc w:val="center"/>
        <w:rPr>
          <w:iCs/>
          <w:sz w:val="20"/>
          <w:szCs w:val="20"/>
        </w:rPr>
      </w:pPr>
      <w:r>
        <w:rPr>
          <w:iCs/>
          <w:sz w:val="20"/>
          <w:szCs w:val="20"/>
        </w:rPr>
        <w:t>Slika 3</w:t>
      </w:r>
      <w:r w:rsidRPr="0061678B">
        <w:rPr>
          <w:iCs/>
          <w:sz w:val="20"/>
          <w:szCs w:val="20"/>
        </w:rPr>
        <w:t xml:space="preserve">: Lokacija vodozahvata i mašinske hale mHE Babino Polje (Izvor: SISTEM, 2013) </w:t>
      </w:r>
    </w:p>
    <w:p w:rsidR="00411FE0" w:rsidRDefault="00411FE0" w:rsidP="0042203A">
      <w:pPr>
        <w:spacing w:line="276" w:lineRule="auto"/>
        <w:jc w:val="both"/>
      </w:pPr>
      <w:r>
        <w:t>2. Opis tehno-</w:t>
      </w:r>
      <w:r w:rsidR="0050395C">
        <w:t xml:space="preserve">organizacionih i bazičnih </w:t>
      </w:r>
      <w:r>
        <w:t xml:space="preserve">ekonomskog rešenja koji slijedi je takođe baziran na dvijema naprijed pomenutim studijama kao i na ostalim mnogobrojnim dokumentima vezanim za analize rađene za različite svrhe u raznim fazama realizacije projekta. </w:t>
      </w:r>
      <w:r w:rsidR="0050395C">
        <w:t xml:space="preserve">Nažalost, podaci koje srećemo u različitim dokumentima su u suprotnostima sa istim </w:t>
      </w:r>
      <w:r w:rsidR="00E0474B">
        <w:t>takvim podacima u drugim dokumentima a svi oni skupa su, kao što ćemo vidjeti različiti od onih koje dobijamo kada ih provj</w:t>
      </w:r>
      <w:r w:rsidR="008F4312">
        <w:t>e</w:t>
      </w:r>
      <w:r w:rsidR="00E0474B">
        <w:t xml:space="preserve">rimo polazeći od podataka iz same faze realizacije projekta (Knjigovodsveni bilansi, COTEE podaci i slično). </w:t>
      </w:r>
    </w:p>
    <w:p w:rsidR="0042203A" w:rsidRPr="000D6B51" w:rsidRDefault="0042203A" w:rsidP="0042203A">
      <w:pPr>
        <w:spacing w:line="276" w:lineRule="auto"/>
        <w:jc w:val="both"/>
      </w:pPr>
      <w:r w:rsidRPr="000D6B51">
        <w:t xml:space="preserve">Kada je riječ o </w:t>
      </w:r>
      <w:r w:rsidRPr="009E220B">
        <w:rPr>
          <w:b/>
        </w:rPr>
        <w:t>mHE Jara</w:t>
      </w:r>
      <w:r w:rsidRPr="000D6B51">
        <w:t xml:space="preserve"> projektovano je da se na Temnjačkoj rijeci, neposredno prije ulivanja na lokaciji koja se nalazi na koti 1</w:t>
      </w:r>
      <w:r>
        <w:t>,</w:t>
      </w:r>
      <w:r w:rsidRPr="000D6B51">
        <w:t>310,60 mnm izgradi vodozahvat Tirolskog tipa sa taložnicom na lijevom dijelu obale. Iz taložnice bi se voda vodila cjevovodom pod pritiskom, uz lokalni put do mašinske zgrade na koti 1</w:t>
      </w:r>
      <w:r>
        <w:t>,</w:t>
      </w:r>
      <w:r w:rsidRPr="000D6B51">
        <w:t>077 mnm. Planirano je da cjevovod bude od GRP cijevi. Slično, na lijevom dijelu obale Treskavičke rijeke, na koti 1</w:t>
      </w:r>
      <w:r>
        <w:t>,</w:t>
      </w:r>
      <w:r w:rsidR="006D7845">
        <w:t>329,60 mnm projektovana je</w:t>
      </w:r>
      <w:r w:rsidRPr="000D6B51">
        <w:t xml:space="preserve"> izgradnja vodozahvata </w:t>
      </w:r>
      <w:r w:rsidR="006D7845">
        <w:t>istog tipa. Iz taložnice voda se vodi</w:t>
      </w:r>
      <w:r w:rsidRPr="000D6B51">
        <w:t xml:space="preserve"> cjevovodom pod pritiskom do mašinske zgrade na koti 1</w:t>
      </w:r>
      <w:r>
        <w:t>,</w:t>
      </w:r>
      <w:r w:rsidRPr="000D6B51">
        <w:t xml:space="preserve">077 mnm. </w:t>
      </w:r>
    </w:p>
    <w:p w:rsidR="0042203A" w:rsidRPr="001E3144" w:rsidRDefault="0042203A" w:rsidP="0042203A">
      <w:pPr>
        <w:spacing w:line="276" w:lineRule="auto"/>
        <w:jc w:val="both"/>
      </w:pPr>
      <w:r w:rsidRPr="001E3144">
        <w:t>Cjevovod je čitavom dužinom projektovan kao ukopan,</w:t>
      </w:r>
      <w:r w:rsidR="006D7845">
        <w:t xml:space="preserve"> sa cijevima</w:t>
      </w:r>
      <w:r w:rsidRPr="001E3144">
        <w:t xml:space="preserve"> od GRP materijala, prečnika 0,70 m i 0,90 m. Kreće se od vodozahvata Temnjačke i Treskavičke rijeke do mašinske zgrade. Mašinska zgrada sadrži tri turbine sa vertikalnim vratilom i pet mlaznica. Elektrana se priključuje na lokalnu distributivnu mrežu, što podrazumijeva izgradnju 35kV dalekovoda od mašinske zgrade do TS Plav. </w:t>
      </w:r>
    </w:p>
    <w:p w:rsidR="0042203A" w:rsidRPr="00C233AD" w:rsidRDefault="0042203A" w:rsidP="0042203A">
      <w:pPr>
        <w:spacing w:line="276" w:lineRule="auto"/>
        <w:jc w:val="both"/>
      </w:pPr>
      <w:r w:rsidRPr="00C233AD">
        <w:t>Idejnim rješenjem je</w:t>
      </w:r>
      <w:r w:rsidR="006D7845">
        <w:t>, kako je opisano,</w:t>
      </w:r>
      <w:r w:rsidRPr="00C233AD">
        <w:t xml:space="preserve"> projektovano zahvatanje vode iz Temnjačke rijeke i Treskavičke rijeke. Oba zahvata su tirolskog tipa. Na zahvatu u Temnjačkoj rijeci srednji proticaj je 1,36 m3/s, instalisani na zahvatu je 2,72 m3/s, a na zahvatu u Treskavičkoj rijeci srednji proticaj je 0,562 m3/s, dok je instalisani na zahvatu 1,124 m3/s. </w:t>
      </w:r>
    </w:p>
    <w:p w:rsidR="0042203A" w:rsidRDefault="0042203A" w:rsidP="0097109A">
      <w:pPr>
        <w:spacing w:line="276" w:lineRule="auto"/>
        <w:jc w:val="both"/>
      </w:pPr>
      <w:r w:rsidRPr="00964C66">
        <w:lastRenderedPageBreak/>
        <w:t>Dovodni cjevovodi su bili predvi</w:t>
      </w:r>
      <w:r w:rsidR="008F4312">
        <w:t>đ</w:t>
      </w:r>
      <w:r w:rsidRPr="00964C66">
        <w:t xml:space="preserve">eni </w:t>
      </w:r>
      <w:r>
        <w:t xml:space="preserve">da budu </w:t>
      </w:r>
      <w:r w:rsidRPr="00964C66">
        <w:t>od čelika i idu, jedan lijevom obalom Temnjačke rijeke do vodostana dužine 2</w:t>
      </w:r>
      <w:r>
        <w:t>,</w:t>
      </w:r>
      <w:r w:rsidRPr="00964C66">
        <w:t>415 m i prečnika 1,20 m, a drugi desnom obalom Treskvičke rijeke dužine 1</w:t>
      </w:r>
      <w:r>
        <w:t>,</w:t>
      </w:r>
      <w:r w:rsidRPr="00964C66">
        <w:t xml:space="preserve">610 m i prečnika 0,80 m do vodostana. U mašinskoj zgradi je projektovano instaliranje turbina sa vertikalnom osovinom sa šest mlaznica sa generatorom i svom pratećom opremom. </w:t>
      </w:r>
    </w:p>
    <w:p w:rsidR="0042203A" w:rsidRDefault="00F442FA" w:rsidP="00D81B45">
      <w:pPr>
        <w:spacing w:line="276" w:lineRule="auto"/>
        <w:jc w:val="both"/>
      </w:pPr>
      <w:r w:rsidRPr="00F442FA">
        <w:t>Na osnovu podataka kojima raspolažemo,</w:t>
      </w:r>
      <w:r>
        <w:rPr>
          <w:b/>
        </w:rPr>
        <w:t xml:space="preserve"> o</w:t>
      </w:r>
      <w:r w:rsidR="00457845" w:rsidRPr="00094237">
        <w:rPr>
          <w:b/>
        </w:rPr>
        <w:t>snovne tehničke</w:t>
      </w:r>
      <w:r w:rsidR="00D81B45" w:rsidRPr="00094237">
        <w:rPr>
          <w:b/>
        </w:rPr>
        <w:t xml:space="preserve"> i eksploatacione</w:t>
      </w:r>
      <w:r w:rsidR="00457845" w:rsidRPr="00094237">
        <w:rPr>
          <w:b/>
        </w:rPr>
        <w:t xml:space="preserve"> karakteristike mHE Jara</w:t>
      </w:r>
      <w:r w:rsidR="006B4F0A">
        <w:t>, k</w:t>
      </w:r>
      <w:r w:rsidR="00C94F0F">
        <w:t>oje su relevantne za ovu vrstu analize</w:t>
      </w:r>
      <w:r w:rsidR="006B4F0A">
        <w:t>,</w:t>
      </w:r>
      <w:r w:rsidR="00457845">
        <w:t xml:space="preserve"> su sledeće: </w:t>
      </w:r>
    </w:p>
    <w:p w:rsidR="00D81B45" w:rsidRDefault="00457845" w:rsidP="00272C10">
      <w:pPr>
        <w:pStyle w:val="ListParagraph"/>
        <w:numPr>
          <w:ilvl w:val="0"/>
          <w:numId w:val="8"/>
        </w:numPr>
        <w:spacing w:line="276" w:lineRule="auto"/>
        <w:jc w:val="both"/>
      </w:pPr>
      <w:r>
        <w:t xml:space="preserve">Instalisana aktivna snaga elektrane je </w:t>
      </w:r>
      <w:r w:rsidR="00D81B45">
        <w:tab/>
      </w:r>
      <w:r w:rsidR="00D81B45">
        <w:tab/>
      </w:r>
      <w:r w:rsidR="00C94F0F">
        <w:t>= 2x1.</w:t>
      </w:r>
      <w:r>
        <w:t>522 kW + 1x1</w:t>
      </w:r>
      <w:r w:rsidR="00C94F0F">
        <w:t>.524 kW = 4.</w:t>
      </w:r>
      <w:r>
        <w:t xml:space="preserve">568 kW </w:t>
      </w:r>
    </w:p>
    <w:p w:rsidR="00457845" w:rsidRDefault="00457845" w:rsidP="00272C10">
      <w:pPr>
        <w:pStyle w:val="ListParagraph"/>
        <w:numPr>
          <w:ilvl w:val="0"/>
          <w:numId w:val="8"/>
        </w:numPr>
        <w:spacing w:line="276" w:lineRule="auto"/>
        <w:jc w:val="both"/>
      </w:pPr>
      <w:r>
        <w:t xml:space="preserve">Maksimalna </w:t>
      </w:r>
      <w:r w:rsidR="00D81B45">
        <w:t>aktivna snaga koju elektrana predaje u mrežu</w:t>
      </w:r>
      <w:r w:rsidR="00D81B45">
        <w:tab/>
      </w:r>
      <w:r w:rsidR="00C94F0F">
        <w:t>= 3x1.</w:t>
      </w:r>
      <w:r w:rsidR="00D81B45">
        <w:t xml:space="preserve">620 kW = </w:t>
      </w:r>
      <w:r w:rsidR="00C94F0F">
        <w:t>4.</w:t>
      </w:r>
      <w:r w:rsidR="00D81B45">
        <w:t xml:space="preserve">860 kW </w:t>
      </w:r>
    </w:p>
    <w:p w:rsidR="00D81B45" w:rsidRDefault="00D81B45" w:rsidP="00272C10">
      <w:pPr>
        <w:pStyle w:val="ListParagraph"/>
        <w:numPr>
          <w:ilvl w:val="0"/>
          <w:numId w:val="8"/>
        </w:numPr>
        <w:spacing w:line="276" w:lineRule="auto"/>
        <w:jc w:val="both"/>
      </w:pPr>
      <w:r>
        <w:t xml:space="preserve">Instalisana prividna snaga elektrane </w:t>
      </w:r>
      <w:r>
        <w:tab/>
      </w:r>
      <w:r>
        <w:tab/>
      </w:r>
      <w:r>
        <w:tab/>
      </w:r>
      <w:r>
        <w:tab/>
        <w:t>= 3x1</w:t>
      </w:r>
      <w:r w:rsidR="00C94F0F">
        <w:t>.</w:t>
      </w:r>
      <w:r>
        <w:t xml:space="preserve">800 kVA = </w:t>
      </w:r>
      <w:r w:rsidR="00C94F0F">
        <w:t>5.</w:t>
      </w:r>
      <w:r w:rsidR="007051AB">
        <w:t xml:space="preserve">400 kVA </w:t>
      </w:r>
    </w:p>
    <w:p w:rsidR="00D81B45" w:rsidRDefault="00D81B45" w:rsidP="00272C10">
      <w:pPr>
        <w:pStyle w:val="ListParagraph"/>
        <w:numPr>
          <w:ilvl w:val="0"/>
          <w:numId w:val="8"/>
        </w:numPr>
        <w:spacing w:line="276" w:lineRule="auto"/>
        <w:jc w:val="both"/>
      </w:pPr>
      <w:r>
        <w:t xml:space="preserve">Nazivni napon prikljućka </w:t>
      </w:r>
      <w:r>
        <w:tab/>
      </w:r>
      <w:r>
        <w:tab/>
      </w:r>
      <w:r>
        <w:tab/>
      </w:r>
      <w:r>
        <w:tab/>
      </w:r>
      <w:r>
        <w:tab/>
      </w:r>
      <w:r>
        <w:tab/>
      </w:r>
      <w:r>
        <w:tab/>
        <w:t xml:space="preserve">      35 kV </w:t>
      </w:r>
    </w:p>
    <w:p w:rsidR="007051AB" w:rsidRDefault="007051AB" w:rsidP="00272C10">
      <w:pPr>
        <w:pStyle w:val="ListParagraph"/>
        <w:numPr>
          <w:ilvl w:val="0"/>
          <w:numId w:val="8"/>
        </w:numPr>
        <w:spacing w:line="276" w:lineRule="auto"/>
        <w:jc w:val="both"/>
      </w:pPr>
      <w:r>
        <w:t xml:space="preserve">Planirana i očekivana </w:t>
      </w:r>
      <w:r w:rsidR="00C94F0F">
        <w:t xml:space="preserve">neto godišnja proizvodnja (bez vlastite potrošnje) </w:t>
      </w:r>
      <w:r>
        <w:tab/>
      </w:r>
      <w:r w:rsidR="006B4F0A">
        <w:tab/>
      </w:r>
      <w:r w:rsidR="00C94F0F">
        <w:t>15.</w:t>
      </w:r>
      <w:r w:rsidR="006B4F0A">
        <w:t>5G</w:t>
      </w:r>
      <w:r>
        <w:t xml:space="preserve">Wh </w:t>
      </w:r>
    </w:p>
    <w:p w:rsidR="006B4F0A" w:rsidRDefault="006B4F0A" w:rsidP="00C94F0F">
      <w:pPr>
        <w:spacing w:line="276" w:lineRule="auto"/>
        <w:jc w:val="both"/>
      </w:pPr>
      <w:r>
        <w:t>Napominjemo da su svi podaci pa i ovaj poslednji uzeti iz ugovora za priključenje na distributivni sistem potpisanog 17. novembra 2016. U Rješenju o saglasnosti za priključenje male elektrane na distributivni sistem stoji, međutim, znatno ma</w:t>
      </w:r>
      <w:r w:rsidR="00BB62B4">
        <w:t xml:space="preserve">nja vrijednost planirane proizvodnja u iznosu od 9,45 GWh, dok u planiranoj godišnjoj proizvodnji za 2017. stoji znatno veća vrijednost u iznosu od 18,3 GWh. </w:t>
      </w:r>
    </w:p>
    <w:p w:rsidR="00C94F0F" w:rsidRDefault="00F442FA" w:rsidP="00C94F0F">
      <w:pPr>
        <w:spacing w:line="276" w:lineRule="auto"/>
        <w:jc w:val="both"/>
      </w:pPr>
      <w:r>
        <w:t xml:space="preserve">Prema podacima kojima mi raspolažemo, </w:t>
      </w:r>
      <w:r w:rsidRPr="00F442FA">
        <w:rPr>
          <w:b/>
        </w:rPr>
        <w:t>i</w:t>
      </w:r>
      <w:r w:rsidR="00094237">
        <w:rPr>
          <w:b/>
        </w:rPr>
        <w:t>nvesticiona vrijednost mHE J</w:t>
      </w:r>
      <w:r w:rsidR="00C94F0F" w:rsidRPr="00094237">
        <w:rPr>
          <w:b/>
        </w:rPr>
        <w:t>ara</w:t>
      </w:r>
      <w:r w:rsidR="00094237">
        <w:t xml:space="preserve"> iznosi oko 5.000.000, 00 eura</w:t>
      </w:r>
      <w:r w:rsidR="00C94F0F">
        <w:t xml:space="preserve"> a konstrukcijom finansiranja je predviđeno da se </w:t>
      </w:r>
    </w:p>
    <w:p w:rsidR="00C94F0F" w:rsidRDefault="00C94F0F" w:rsidP="00272C10">
      <w:pPr>
        <w:pStyle w:val="ListParagraph"/>
        <w:numPr>
          <w:ilvl w:val="0"/>
          <w:numId w:val="9"/>
        </w:numPr>
        <w:spacing w:line="276" w:lineRule="auto"/>
        <w:jc w:val="both"/>
      </w:pPr>
      <w:r>
        <w:t xml:space="preserve">3.200.000,00 </w:t>
      </w:r>
      <w:r w:rsidR="00094237">
        <w:t xml:space="preserve">eura finansira iz kredita a ostatak u iznosu od </w:t>
      </w:r>
    </w:p>
    <w:p w:rsidR="00094237" w:rsidRDefault="00094237" w:rsidP="00272C10">
      <w:pPr>
        <w:pStyle w:val="ListParagraph"/>
        <w:numPr>
          <w:ilvl w:val="0"/>
          <w:numId w:val="9"/>
        </w:numPr>
        <w:spacing w:line="276" w:lineRule="auto"/>
        <w:jc w:val="both"/>
      </w:pPr>
      <w:r>
        <w:t xml:space="preserve">1.800.000,00 eura iz vlastitih sredstava. </w:t>
      </w:r>
    </w:p>
    <w:p w:rsidR="00094237" w:rsidRDefault="00094237" w:rsidP="00094237">
      <w:pPr>
        <w:spacing w:line="276" w:lineRule="auto"/>
        <w:jc w:val="both"/>
      </w:pPr>
      <w:r>
        <w:t xml:space="preserve">Tadašnjim planom je bilo predviđeno da se kredit u iznosu od 3,2 miliona eura </w:t>
      </w:r>
      <w:r w:rsidR="008F4312">
        <w:t>uz</w:t>
      </w:r>
      <w:r>
        <w:t xml:space="preserve">me od Erste banke i da se otplati od 01.07.2017. godine do 01.07.2027. godine. Ukupno bi se, kumulirane glavnice plus kamatne stope, </w:t>
      </w:r>
      <w:r w:rsidR="003225C6">
        <w:t xml:space="preserve">na kraju isplatilo 4.555.522 eura. </w:t>
      </w:r>
    </w:p>
    <w:p w:rsidR="003225C6" w:rsidRDefault="003225C6" w:rsidP="00094237">
      <w:pPr>
        <w:spacing w:line="276" w:lineRule="auto"/>
        <w:jc w:val="both"/>
      </w:pPr>
      <w:r>
        <w:t xml:space="preserve">Ova elektrana je predviđena da </w:t>
      </w:r>
      <w:r w:rsidRPr="003225C6">
        <w:rPr>
          <w:b/>
        </w:rPr>
        <w:t>zapošljava</w:t>
      </w:r>
      <w:r>
        <w:t xml:space="preserve"> 12 radnika. </w:t>
      </w:r>
    </w:p>
    <w:p w:rsidR="00F80657" w:rsidRPr="0097109A" w:rsidRDefault="00E0474B" w:rsidP="0097109A">
      <w:pPr>
        <w:spacing w:line="276" w:lineRule="auto"/>
        <w:jc w:val="both"/>
      </w:pPr>
      <w:r>
        <w:t>3</w:t>
      </w:r>
      <w:r w:rsidR="009E220B">
        <w:t xml:space="preserve">. </w:t>
      </w:r>
      <w:r w:rsidR="00F80657" w:rsidRPr="0097109A">
        <w:t>Projekat</w:t>
      </w:r>
      <w:r w:rsidR="000F552C" w:rsidRPr="0097109A">
        <w:t>om</w:t>
      </w:r>
      <w:r w:rsidR="00F80657" w:rsidRPr="0097109A">
        <w:t xml:space="preserve"> mHE</w:t>
      </w:r>
      <w:r w:rsidR="0097109A">
        <w:rPr>
          <w:b/>
          <w:i/>
        </w:rPr>
        <w:t>Babino P</w:t>
      </w:r>
      <w:r w:rsidR="0097109A" w:rsidRPr="0097109A">
        <w:rPr>
          <w:b/>
          <w:i/>
        </w:rPr>
        <w:t>olje</w:t>
      </w:r>
      <w:r w:rsidR="00F80657" w:rsidRPr="0097109A">
        <w:t xml:space="preserve"> je predviđo zahvatanje vode iz vodotoka Babinopoljske i Hridske rijeke izgradnjom dva vodozahvata. Vodozahvat na Babinopoljskoj rijeci je predviđen na lijevoj strani vodotoka </w:t>
      </w:r>
      <w:r w:rsidR="000F552C" w:rsidRPr="0097109A">
        <w:t xml:space="preserve">na 1525,1 mnm </w:t>
      </w:r>
      <w:r w:rsidR="00F80657" w:rsidRPr="0097109A">
        <w:t>zbog povoljnije konfiguracije terena</w:t>
      </w:r>
      <w:r w:rsidR="000F552C" w:rsidRPr="0097109A">
        <w:t>. O</w:t>
      </w:r>
      <w:r w:rsidR="00F80657" w:rsidRPr="0097109A">
        <w:t>datle se voda lijevom st</w:t>
      </w:r>
      <w:r w:rsidR="000F552C" w:rsidRPr="0097109A">
        <w:t>ranom vodotoka vodi cjevovodom prečnika 0,80 m</w:t>
      </w:r>
      <w:r w:rsidR="00F80657" w:rsidRPr="0097109A">
        <w:t xml:space="preserve"> i</w:t>
      </w:r>
      <w:r w:rsidR="000F552C" w:rsidRPr="0097109A">
        <w:t>spod puta u dužini od oko 900m. Potom</w:t>
      </w:r>
      <w:r w:rsidR="0097109A" w:rsidRPr="0097109A">
        <w:t xml:space="preserve">ide </w:t>
      </w:r>
      <w:r w:rsidR="00F80657" w:rsidRPr="0097109A">
        <w:t xml:space="preserve">putem do lokacije mašinske zgrade na koti 1329,9 mnm. Vodozahvat na Hridskoj rijeci je planiran na desnoj strani vodotoka na koti 1511mnm i </w:t>
      </w:r>
      <w:r w:rsidR="0097109A" w:rsidRPr="0097109A">
        <w:t xml:space="preserve">istom </w:t>
      </w:r>
      <w:r w:rsidR="00F80657" w:rsidRPr="0097109A">
        <w:t>tom stranom se spušta cjevovod</w:t>
      </w:r>
      <w:r w:rsidR="0097109A" w:rsidRPr="0097109A">
        <w:t>om prečnika 0,50 m</w:t>
      </w:r>
      <w:r w:rsidR="00F80657" w:rsidRPr="0097109A">
        <w:t xml:space="preserve"> do mašinske zgrade.</w:t>
      </w:r>
    </w:p>
    <w:p w:rsidR="00981882" w:rsidRDefault="00F80657" w:rsidP="00981882">
      <w:pPr>
        <w:spacing w:line="276" w:lineRule="auto"/>
        <w:jc w:val="both"/>
      </w:pPr>
      <w:r w:rsidRPr="00981882">
        <w:t xml:space="preserve">Cjevovod je </w:t>
      </w:r>
      <w:r w:rsidR="0097109A" w:rsidRPr="00981882">
        <w:t>projektom čitavom dužinom predviđen</w:t>
      </w:r>
      <w:r w:rsidRPr="00981882">
        <w:t xml:space="preserve"> kao uko</w:t>
      </w:r>
      <w:r w:rsidR="0097109A" w:rsidRPr="00981882">
        <w:t>pan i izrađen od GRP materijala, prečnika 0,80 m i 0,50 m. Cjevovod vodi</w:t>
      </w:r>
      <w:r w:rsidRPr="00981882">
        <w:t xml:space="preserve"> od vodozahvata Babinopoljske i Hridske do mašinsk</w:t>
      </w:r>
      <w:r w:rsidR="0097109A" w:rsidRPr="00981882">
        <w:t>e zgrade. Ukupna dužina</w:t>
      </w:r>
      <w:r w:rsidR="00981882" w:rsidRPr="00981882">
        <w:t xml:space="preserve"> cjevovoda</w:t>
      </w:r>
      <w:r w:rsidR="0097109A" w:rsidRPr="00981882">
        <w:t xml:space="preserve"> je </w:t>
      </w:r>
      <w:r w:rsidRPr="00981882">
        <w:t>2840 i 1185 m. Mašin</w:t>
      </w:r>
      <w:r w:rsidR="00981882" w:rsidRPr="00981882">
        <w:t>sk</w:t>
      </w:r>
      <w:r w:rsidR="009E220B">
        <w:t>a zgrada sadrži dvije turbine.</w:t>
      </w:r>
      <w:r w:rsidR="00981882">
        <w:t>Elektrana j</w:t>
      </w:r>
      <w:r w:rsidRPr="00981882">
        <w:t xml:space="preserve">e </w:t>
      </w:r>
      <w:r w:rsidR="00981882">
        <w:t xml:space="preserve">projektovana da bude </w:t>
      </w:r>
      <w:r w:rsidRPr="00981882">
        <w:t>priključiti na lokalnu distributivnu mrežu</w:t>
      </w:r>
      <w:r w:rsidR="00981882">
        <w:t xml:space="preserve">. Zato je u projektu i </w:t>
      </w:r>
      <w:r w:rsidRPr="00981882">
        <w:t xml:space="preserve">planirana izgradnja 35kV dalekovoda od mašinske zgrade do TS Plav. </w:t>
      </w:r>
    </w:p>
    <w:p w:rsidR="00F80657" w:rsidRDefault="00F80657" w:rsidP="00F606F4">
      <w:pPr>
        <w:spacing w:line="276" w:lineRule="auto"/>
        <w:jc w:val="both"/>
      </w:pPr>
      <w:r w:rsidRPr="001E3144">
        <w:t>Za obezbjeđen</w:t>
      </w:r>
      <w:r w:rsidR="00F606F4" w:rsidRPr="001E3144">
        <w:t xml:space="preserve">je </w:t>
      </w:r>
      <w:r w:rsidRPr="001E3144">
        <w:t xml:space="preserve">protoka </w:t>
      </w:r>
      <w:r w:rsidR="00F606F4" w:rsidRPr="001E3144">
        <w:t xml:space="preserve">ekološkog i </w:t>
      </w:r>
      <w:r w:rsidRPr="001E3144">
        <w:t>biol</w:t>
      </w:r>
      <w:r w:rsidR="00F606F4" w:rsidRPr="001E3144">
        <w:t>oškog minimuma u vodotoku i u Babinopoljskoj</w:t>
      </w:r>
      <w:r w:rsidRPr="001E3144">
        <w:t xml:space="preserve"> i </w:t>
      </w:r>
      <w:r w:rsidR="00F606F4" w:rsidRPr="001E3144">
        <w:t xml:space="preserve">u Hridskoj rijeci je projektom predviđena </w:t>
      </w:r>
      <w:r w:rsidRPr="001E3144">
        <w:t>izgr</w:t>
      </w:r>
      <w:r w:rsidR="00F606F4" w:rsidRPr="001E3144">
        <w:t>adnja staze biološkog minimum</w:t>
      </w:r>
      <w:r w:rsidR="008F4312">
        <w:t>a</w:t>
      </w:r>
      <w:r w:rsidR="00F606F4" w:rsidRPr="001E3144">
        <w:t>, tako zvana riblja staza,</w:t>
      </w:r>
      <w:r w:rsidRPr="001E3144">
        <w:t xml:space="preserve">na </w:t>
      </w:r>
      <w:r w:rsidRPr="001E3144">
        <w:lastRenderedPageBreak/>
        <w:t xml:space="preserve">predviđenoj lokaciji vodozahvata. Na osnovu </w:t>
      </w:r>
      <w:r w:rsidR="00F606F4" w:rsidRPr="001E3144">
        <w:t>postojeće regulative (Zakona o vodama, Sl. List RCG br.27/07</w:t>
      </w:r>
      <w:r w:rsidRPr="001E3144">
        <w:t xml:space="preserve"> i Rješenja o utvrđivanju</w:t>
      </w:r>
      <w:r w:rsidR="00F606F4" w:rsidRPr="001E3144">
        <w:t xml:space="preserve"> vodnih uslova, Uprave za vode Crne Gore)</w:t>
      </w:r>
      <w:r w:rsidRPr="001E3144">
        <w:t xml:space="preserve"> projektovana rješenja </w:t>
      </w:r>
      <w:r w:rsidR="00F606F4" w:rsidRPr="001E3144">
        <w:t>moraju ob</w:t>
      </w:r>
      <w:r w:rsidRPr="001E3144">
        <w:t xml:space="preserve">ezbijediti </w:t>
      </w:r>
      <w:r w:rsidR="00F606F4" w:rsidRPr="001E3144">
        <w:t>hidrološki minimum na odgovarajućim vodotocima</w:t>
      </w:r>
      <w:r w:rsidRPr="001E3144">
        <w:t xml:space="preserve"> u iznosu od 10 % od srednjeg višegodišnjeg protoka</w:t>
      </w:r>
      <w:r w:rsidR="00F606F4" w:rsidRPr="001E3144">
        <w:t>. Shodno tome, biološki minimum Temnjačkoj rijeci mora biti</w:t>
      </w:r>
      <w:r w:rsidRPr="001E3144">
        <w:t xml:space="preserve"> 85,5 l/s, a na Treskavičkoj rijeci 27,5 l/s.</w:t>
      </w:r>
      <w:r w:rsidR="001E3144" w:rsidRPr="001E3144">
        <w:t xml:space="preserve">Kada je riječ o mHE Jara vrijednost biološkog minimuma na vodotoku Temnjačke rijeke iznosi </w:t>
      </w:r>
      <w:r w:rsidR="001E3144" w:rsidRPr="001E3144">
        <w:rPr>
          <w:b/>
          <w:bCs/>
        </w:rPr>
        <w:t>151.2 l/s</w:t>
      </w:r>
      <w:r w:rsidR="001E3144" w:rsidRPr="001E3144">
        <w:t xml:space="preserve">, a na Treskavičkoj rijeci </w:t>
      </w:r>
      <w:r w:rsidR="001E3144" w:rsidRPr="001E3144">
        <w:rPr>
          <w:b/>
          <w:bCs/>
        </w:rPr>
        <w:t>65.3 l/s</w:t>
      </w:r>
      <w:r w:rsidR="001E3144" w:rsidRPr="001E3144">
        <w:t xml:space="preserve">. </w:t>
      </w:r>
    </w:p>
    <w:p w:rsidR="008E3BDC" w:rsidRDefault="002701DD" w:rsidP="008E3BDC">
      <w:pPr>
        <w:autoSpaceDE w:val="0"/>
        <w:autoSpaceDN w:val="0"/>
        <w:adjustRightInd w:val="0"/>
        <w:spacing w:line="276" w:lineRule="auto"/>
        <w:jc w:val="both"/>
      </w:pPr>
      <w:r w:rsidRPr="009E220B">
        <w:rPr>
          <w:rFonts w:cs="Cambria"/>
          <w:color w:val="000000"/>
        </w:rPr>
        <w:t>Sistem mHE Babino Polje uključuje sledeće objekte</w:t>
      </w:r>
      <w:r>
        <w:rPr>
          <w:rFonts w:cs="Cambria"/>
          <w:color w:val="000000"/>
        </w:rPr>
        <w:t xml:space="preserve"> koji su dio gore datih investicija</w:t>
      </w:r>
      <w:r w:rsidRPr="009E220B">
        <w:rPr>
          <w:rFonts w:cs="Cambria"/>
          <w:color w:val="000000"/>
        </w:rPr>
        <w:t xml:space="preserve">: </w:t>
      </w:r>
      <w:r w:rsidRPr="002701DD">
        <w:rPr>
          <w:rFonts w:cs="Cambria"/>
          <w:color w:val="000000"/>
        </w:rPr>
        <w:t xml:space="preserve">Vodozahvat i taložnica Babinopoljska, </w:t>
      </w:r>
      <w:r>
        <w:rPr>
          <w:rFonts w:cs="Cambria"/>
          <w:bCs/>
          <w:color w:val="000000"/>
        </w:rPr>
        <w:t xml:space="preserve">pet mlaznica; </w:t>
      </w:r>
      <w:r w:rsidRPr="009E220B">
        <w:rPr>
          <w:rFonts w:cs="Cambria"/>
          <w:color w:val="000000"/>
        </w:rPr>
        <w:t>Deri</w:t>
      </w:r>
      <w:r>
        <w:rPr>
          <w:rFonts w:cs="Cambria"/>
          <w:color w:val="000000"/>
        </w:rPr>
        <w:t xml:space="preserve">vacioni cjevovod Babinopoljska; Vodozahvat i taložnica Hridska; Derivacioni cjevovod Hridska; Vodna komora Babino Polje; </w:t>
      </w:r>
      <w:r w:rsidRPr="009E220B">
        <w:rPr>
          <w:rFonts w:cs="Cambria"/>
          <w:color w:val="000000"/>
        </w:rPr>
        <w:t>Cjevovod od Vodne komore Babino Polje d</w:t>
      </w:r>
      <w:r>
        <w:rPr>
          <w:rFonts w:cs="Cambria"/>
          <w:color w:val="000000"/>
        </w:rPr>
        <w:t xml:space="preserve">o Mašinske zgrade Babino Polje; </w:t>
      </w:r>
      <w:r w:rsidRPr="009E220B">
        <w:rPr>
          <w:rFonts w:cs="Cambria"/>
          <w:color w:val="000000"/>
        </w:rPr>
        <w:t>Mašinska zgrada Babino Polje</w:t>
      </w:r>
      <w:r>
        <w:rPr>
          <w:rFonts w:cs="Cambria"/>
          <w:color w:val="000000"/>
        </w:rPr>
        <w:t xml:space="preserve"> sa opremom instaliranom u njoj (turbine, generatori …) kao i niz sitnijih investicija</w:t>
      </w:r>
      <w:r w:rsidRPr="009E220B">
        <w:rPr>
          <w:rFonts w:cs="Cambria"/>
          <w:color w:val="000000"/>
        </w:rPr>
        <w:t>.</w:t>
      </w:r>
    </w:p>
    <w:p w:rsidR="002564E1" w:rsidRDefault="004259DA" w:rsidP="008E3BDC">
      <w:pPr>
        <w:autoSpaceDE w:val="0"/>
        <w:autoSpaceDN w:val="0"/>
        <w:adjustRightInd w:val="0"/>
        <w:spacing w:line="276" w:lineRule="auto"/>
        <w:jc w:val="both"/>
      </w:pPr>
      <w:r w:rsidRPr="004259DA">
        <w:t>Projektom je p</w:t>
      </w:r>
      <w:r>
        <w:t>redviđeno instaliranje turbine</w:t>
      </w:r>
      <w:r w:rsidRPr="004259DA">
        <w:t xml:space="preserve">sa vertikalnom osovinom sa pet mlaznica sa generatorom i svom pratećom opremom. Instalisani protok turbine je 2,03 m3/s. </w:t>
      </w:r>
      <w:r w:rsidR="002564E1">
        <w:t>U studijama koje smo citirali razmatrano je nekol</w:t>
      </w:r>
      <w:r w:rsidR="008F4312">
        <w:t>i</w:t>
      </w:r>
      <w:r w:rsidR="002564E1">
        <w:t xml:space="preserve">ko varijanti ove mHE. </w:t>
      </w:r>
    </w:p>
    <w:p w:rsidR="00F442FA" w:rsidRDefault="00F442FA" w:rsidP="00F442FA">
      <w:pPr>
        <w:spacing w:line="276" w:lineRule="auto"/>
        <w:jc w:val="both"/>
      </w:pPr>
      <w:r w:rsidRPr="00F442FA">
        <w:t>Na osnovu podataka kojima raspolažemo,</w:t>
      </w:r>
      <w:r>
        <w:rPr>
          <w:b/>
        </w:rPr>
        <w:t xml:space="preserve"> o</w:t>
      </w:r>
      <w:r w:rsidRPr="00094237">
        <w:rPr>
          <w:b/>
        </w:rPr>
        <w:t>snovne tehničke i eksploatacione</w:t>
      </w:r>
      <w:r>
        <w:rPr>
          <w:b/>
        </w:rPr>
        <w:t xml:space="preserve"> karakteristike mHE Babino Polje</w:t>
      </w:r>
      <w:r>
        <w:t xml:space="preserve">, koje su relevantne za ovu vrstu analize, su sledeće: </w:t>
      </w:r>
    </w:p>
    <w:p w:rsidR="00F442FA" w:rsidRDefault="00F442FA" w:rsidP="00272C10">
      <w:pPr>
        <w:pStyle w:val="ListParagraph"/>
        <w:numPr>
          <w:ilvl w:val="0"/>
          <w:numId w:val="8"/>
        </w:numPr>
        <w:spacing w:line="276" w:lineRule="auto"/>
        <w:jc w:val="both"/>
      </w:pPr>
      <w:r>
        <w:t xml:space="preserve">Instalisana aktivna snaga elektrane je </w:t>
      </w:r>
      <w:r>
        <w:tab/>
      </w:r>
      <w:r>
        <w:tab/>
      </w:r>
      <w:r w:rsidR="00975E26">
        <w:tab/>
        <w:t>= 1,620 kW + 594 kW = 2.214</w:t>
      </w:r>
      <w:r>
        <w:t xml:space="preserve"> kW </w:t>
      </w:r>
    </w:p>
    <w:p w:rsidR="00F442FA" w:rsidRDefault="00F442FA" w:rsidP="00272C10">
      <w:pPr>
        <w:pStyle w:val="ListParagraph"/>
        <w:numPr>
          <w:ilvl w:val="0"/>
          <w:numId w:val="8"/>
        </w:numPr>
        <w:spacing w:line="276" w:lineRule="auto"/>
        <w:jc w:val="both"/>
      </w:pPr>
      <w:r>
        <w:t>Instalisa</w:t>
      </w:r>
      <w:r w:rsidR="00975E26">
        <w:t xml:space="preserve">na prividna snaga elektrane </w:t>
      </w:r>
      <w:r w:rsidR="00975E26">
        <w:tab/>
      </w:r>
      <w:r w:rsidR="00975E26">
        <w:tab/>
        <w:t xml:space="preserve">          = </w:t>
      </w:r>
      <w:r>
        <w:t>1.800 kVA</w:t>
      </w:r>
      <w:r w:rsidR="00975E26">
        <w:t xml:space="preserve"> +660 kWA </w:t>
      </w:r>
      <w:r>
        <w:t xml:space="preserve">= </w:t>
      </w:r>
      <w:r w:rsidR="00975E26">
        <w:t>2,460 kWA</w:t>
      </w:r>
    </w:p>
    <w:p w:rsidR="00F442FA" w:rsidRDefault="00F442FA" w:rsidP="00272C10">
      <w:pPr>
        <w:pStyle w:val="ListParagraph"/>
        <w:numPr>
          <w:ilvl w:val="0"/>
          <w:numId w:val="8"/>
        </w:numPr>
        <w:spacing w:line="276" w:lineRule="auto"/>
        <w:jc w:val="both"/>
      </w:pPr>
      <w:r>
        <w:t>Nazivn</w:t>
      </w:r>
      <w:r w:rsidR="00FC212F">
        <w:t xml:space="preserve">i napon prikljućka </w:t>
      </w:r>
      <w:r w:rsidR="00FC212F">
        <w:tab/>
      </w:r>
      <w:r w:rsidR="00FC212F">
        <w:tab/>
      </w:r>
      <w:r w:rsidR="00FC212F">
        <w:tab/>
      </w:r>
      <w:r w:rsidR="00FC212F">
        <w:tab/>
      </w:r>
      <w:r w:rsidR="00FC212F">
        <w:tab/>
      </w:r>
      <w:r w:rsidR="00FC212F">
        <w:tab/>
      </w:r>
      <w:r w:rsidR="00FC212F">
        <w:tab/>
      </w:r>
      <w:r>
        <w:t xml:space="preserve">35 kV </w:t>
      </w:r>
    </w:p>
    <w:p w:rsidR="00F442FA" w:rsidRDefault="00F442FA" w:rsidP="00272C10">
      <w:pPr>
        <w:pStyle w:val="ListParagraph"/>
        <w:numPr>
          <w:ilvl w:val="0"/>
          <w:numId w:val="8"/>
        </w:numPr>
        <w:spacing w:line="276" w:lineRule="auto"/>
        <w:jc w:val="both"/>
      </w:pPr>
      <w:r>
        <w:t xml:space="preserve">Planirana i očekivana neto godišnja proizvodnja (bez vlastite potrošnje) </w:t>
      </w:r>
      <w:r>
        <w:tab/>
      </w:r>
      <w:r>
        <w:tab/>
      </w:r>
      <w:r w:rsidR="00FC212F">
        <w:t xml:space="preserve">   6,6</w:t>
      </w:r>
      <w:r>
        <w:t xml:space="preserve"> GWh </w:t>
      </w:r>
    </w:p>
    <w:p w:rsidR="00F442FA" w:rsidRDefault="00FC212F" w:rsidP="00F44B27">
      <w:pPr>
        <w:spacing w:line="276" w:lineRule="auto"/>
        <w:jc w:val="both"/>
      </w:pPr>
      <w:r>
        <w:t xml:space="preserve">Na osnovu podataka iz dokumenata koje smo koristili, zaključujemo da bi ukupna </w:t>
      </w:r>
      <w:r w:rsidRPr="00FC212F">
        <w:rPr>
          <w:b/>
        </w:rPr>
        <w:t>vrijedno</w:t>
      </w:r>
      <w:r w:rsidR="008F4312">
        <w:rPr>
          <w:b/>
        </w:rPr>
        <w:t>s</w:t>
      </w:r>
      <w:r w:rsidRPr="00FC212F">
        <w:rPr>
          <w:b/>
        </w:rPr>
        <w:t>t investicija</w:t>
      </w:r>
      <w:r w:rsidR="000915FA">
        <w:t xml:space="preserve">trebala biti oko 3.500.000,00 eura. Kao i kod prethodne mHE i kod finansiranja Babinog Polja bi se delimično projekat mogao finansirati iz kredita a djelimično iz sopstvenih sredstava. </w:t>
      </w:r>
      <w:r w:rsidR="00F44B27">
        <w:t xml:space="preserve">Pretpostavićemo da će se vrijednost od </w:t>
      </w:r>
    </w:p>
    <w:p w:rsidR="00F44B27" w:rsidRDefault="00F44B27" w:rsidP="00272C10">
      <w:pPr>
        <w:pStyle w:val="ListParagraph"/>
        <w:numPr>
          <w:ilvl w:val="0"/>
          <w:numId w:val="10"/>
        </w:numPr>
        <w:spacing w:line="276" w:lineRule="auto"/>
        <w:jc w:val="both"/>
      </w:pPr>
      <w:r>
        <w:t xml:space="preserve">1.500.000 eura </w:t>
      </w:r>
      <w:r w:rsidR="00B456F6">
        <w:t xml:space="preserve">finansirati iz kredita dok će ostatak u iznosu od </w:t>
      </w:r>
    </w:p>
    <w:p w:rsidR="00B456F6" w:rsidRDefault="00B456F6" w:rsidP="00272C10">
      <w:pPr>
        <w:pStyle w:val="ListParagraph"/>
        <w:numPr>
          <w:ilvl w:val="0"/>
          <w:numId w:val="10"/>
        </w:numPr>
        <w:spacing w:line="276" w:lineRule="auto"/>
        <w:jc w:val="both"/>
      </w:pPr>
      <w:r>
        <w:t xml:space="preserve">2.000.000eura biti finansiran iz vlastitih sredstava. </w:t>
      </w:r>
    </w:p>
    <w:p w:rsidR="008E5DEE" w:rsidRPr="00DB33F8" w:rsidRDefault="00B456F6" w:rsidP="00B456F6">
      <w:pPr>
        <w:spacing w:line="276" w:lineRule="auto"/>
        <w:jc w:val="both"/>
      </w:pPr>
      <w:r>
        <w:t xml:space="preserve">Ako sada sumiramo sve parametre relevantne za ekonomsku analizu projekta dobićemo rezultate prikazane u narednoj tabeli. Iz ove tabele se može utvrditi da je </w:t>
      </w:r>
      <w:r w:rsidR="00E62E14">
        <w:rPr>
          <w:b/>
        </w:rPr>
        <w:t>investiciona vrijednost jednog instaliranog</w:t>
      </w:r>
      <w:r>
        <w:rPr>
          <w:b/>
        </w:rPr>
        <w:t xml:space="preserve"> kW</w:t>
      </w:r>
      <w:r>
        <w:t xml:space="preserve"> negdje oko</w:t>
      </w:r>
      <w:r w:rsidR="00E62E14" w:rsidRPr="00642D0C">
        <w:t>1.253 eu</w:t>
      </w:r>
      <w:r w:rsidR="007F4FAD">
        <w:t xml:space="preserve">ra. </w:t>
      </w:r>
    </w:p>
    <w:tbl>
      <w:tblPr>
        <w:tblStyle w:val="TableGrid"/>
        <w:tblW w:w="0" w:type="auto"/>
        <w:jc w:val="center"/>
        <w:tblLook w:val="04A0"/>
      </w:tblPr>
      <w:tblGrid>
        <w:gridCol w:w="1961"/>
        <w:gridCol w:w="2241"/>
        <w:gridCol w:w="2144"/>
        <w:gridCol w:w="1878"/>
      </w:tblGrid>
      <w:tr w:rsidR="000915FA" w:rsidRPr="00E60832" w:rsidTr="000915FA">
        <w:trPr>
          <w:jc w:val="center"/>
        </w:trPr>
        <w:tc>
          <w:tcPr>
            <w:tcW w:w="1961" w:type="dxa"/>
            <w:vMerge w:val="restart"/>
            <w:vAlign w:val="center"/>
          </w:tcPr>
          <w:p w:rsidR="000915FA" w:rsidRPr="00E60832" w:rsidRDefault="000915FA" w:rsidP="000915FA">
            <w:pPr>
              <w:spacing w:line="276" w:lineRule="auto"/>
              <w:jc w:val="center"/>
              <w:rPr>
                <w:b/>
                <w:i/>
                <w:sz w:val="20"/>
                <w:szCs w:val="20"/>
              </w:rPr>
            </w:pPr>
            <w:r w:rsidRPr="00E60832">
              <w:rPr>
                <w:b/>
                <w:i/>
                <w:sz w:val="20"/>
                <w:szCs w:val="20"/>
              </w:rPr>
              <w:t>mHE</w:t>
            </w:r>
          </w:p>
        </w:tc>
        <w:tc>
          <w:tcPr>
            <w:tcW w:w="2241" w:type="dxa"/>
            <w:vAlign w:val="center"/>
          </w:tcPr>
          <w:p w:rsidR="000915FA" w:rsidRPr="00E60832" w:rsidRDefault="000915FA" w:rsidP="00CC5C2E">
            <w:pPr>
              <w:spacing w:line="276" w:lineRule="auto"/>
              <w:jc w:val="center"/>
              <w:rPr>
                <w:b/>
                <w:i/>
                <w:sz w:val="20"/>
                <w:szCs w:val="20"/>
              </w:rPr>
            </w:pPr>
            <w:r w:rsidRPr="00E60832">
              <w:rPr>
                <w:b/>
                <w:i/>
                <w:sz w:val="20"/>
                <w:szCs w:val="20"/>
              </w:rPr>
              <w:t>Ivesticije</w:t>
            </w:r>
          </w:p>
        </w:tc>
        <w:tc>
          <w:tcPr>
            <w:tcW w:w="2144" w:type="dxa"/>
            <w:vAlign w:val="center"/>
          </w:tcPr>
          <w:p w:rsidR="000915FA" w:rsidRPr="00E60832" w:rsidRDefault="000915FA" w:rsidP="00CC5C2E">
            <w:pPr>
              <w:spacing w:line="276" w:lineRule="auto"/>
              <w:jc w:val="center"/>
              <w:rPr>
                <w:b/>
                <w:i/>
                <w:sz w:val="20"/>
                <w:szCs w:val="20"/>
              </w:rPr>
            </w:pPr>
            <w:r w:rsidRPr="00E60832">
              <w:rPr>
                <w:b/>
                <w:i/>
                <w:sz w:val="20"/>
                <w:szCs w:val="20"/>
              </w:rPr>
              <w:t>Instalirana snaga</w:t>
            </w:r>
          </w:p>
        </w:tc>
        <w:tc>
          <w:tcPr>
            <w:tcW w:w="1878" w:type="dxa"/>
            <w:vAlign w:val="center"/>
          </w:tcPr>
          <w:p w:rsidR="000915FA" w:rsidRPr="00E60832" w:rsidRDefault="000915FA" w:rsidP="00CC5C2E">
            <w:pPr>
              <w:spacing w:line="276" w:lineRule="auto"/>
              <w:jc w:val="center"/>
              <w:rPr>
                <w:b/>
                <w:i/>
                <w:sz w:val="20"/>
                <w:szCs w:val="20"/>
              </w:rPr>
            </w:pPr>
            <w:r w:rsidRPr="00E60832">
              <w:rPr>
                <w:b/>
                <w:i/>
                <w:sz w:val="20"/>
                <w:szCs w:val="20"/>
              </w:rPr>
              <w:t>Godišnja proizvod</w:t>
            </w:r>
          </w:p>
        </w:tc>
      </w:tr>
      <w:tr w:rsidR="00F44B27" w:rsidRPr="00E60832" w:rsidTr="008E5DEE">
        <w:trPr>
          <w:trHeight w:val="215"/>
          <w:jc w:val="center"/>
        </w:trPr>
        <w:tc>
          <w:tcPr>
            <w:tcW w:w="1961" w:type="dxa"/>
            <w:vMerge/>
          </w:tcPr>
          <w:p w:rsidR="00F44B27" w:rsidRPr="00E60832" w:rsidRDefault="00F44B27" w:rsidP="000D6B51">
            <w:pPr>
              <w:spacing w:line="276" w:lineRule="auto"/>
              <w:jc w:val="both"/>
              <w:rPr>
                <w:b/>
                <w:i/>
                <w:sz w:val="20"/>
                <w:szCs w:val="20"/>
              </w:rPr>
            </w:pPr>
          </w:p>
        </w:tc>
        <w:tc>
          <w:tcPr>
            <w:tcW w:w="2241" w:type="dxa"/>
          </w:tcPr>
          <w:p w:rsidR="00F44B27" w:rsidRPr="00E60832" w:rsidRDefault="00F44B27" w:rsidP="00F44B27">
            <w:pPr>
              <w:spacing w:line="276" w:lineRule="auto"/>
              <w:jc w:val="center"/>
              <w:rPr>
                <w:b/>
                <w:sz w:val="20"/>
                <w:szCs w:val="20"/>
              </w:rPr>
            </w:pPr>
            <w:r w:rsidRPr="00E60832">
              <w:rPr>
                <w:b/>
                <w:sz w:val="20"/>
                <w:szCs w:val="20"/>
              </w:rPr>
              <w:t>EUR</w:t>
            </w:r>
          </w:p>
        </w:tc>
        <w:tc>
          <w:tcPr>
            <w:tcW w:w="2144" w:type="dxa"/>
          </w:tcPr>
          <w:p w:rsidR="00F44B27" w:rsidRPr="00E60832" w:rsidRDefault="00F44B27" w:rsidP="00F44B27">
            <w:pPr>
              <w:spacing w:line="276" w:lineRule="auto"/>
              <w:jc w:val="center"/>
              <w:rPr>
                <w:b/>
                <w:sz w:val="20"/>
                <w:szCs w:val="20"/>
              </w:rPr>
            </w:pPr>
            <w:r w:rsidRPr="00E60832">
              <w:rPr>
                <w:b/>
                <w:sz w:val="20"/>
                <w:szCs w:val="20"/>
              </w:rPr>
              <w:t xml:space="preserve">kW </w:t>
            </w:r>
          </w:p>
        </w:tc>
        <w:tc>
          <w:tcPr>
            <w:tcW w:w="1878" w:type="dxa"/>
          </w:tcPr>
          <w:p w:rsidR="00F44B27" w:rsidRPr="00E60832" w:rsidRDefault="00F44B27" w:rsidP="00F44B27">
            <w:pPr>
              <w:spacing w:line="276" w:lineRule="auto"/>
              <w:jc w:val="center"/>
              <w:rPr>
                <w:b/>
                <w:sz w:val="20"/>
                <w:szCs w:val="20"/>
              </w:rPr>
            </w:pPr>
            <w:r w:rsidRPr="00E60832">
              <w:rPr>
                <w:b/>
                <w:sz w:val="20"/>
                <w:szCs w:val="20"/>
              </w:rPr>
              <w:t>GWh</w:t>
            </w:r>
          </w:p>
        </w:tc>
      </w:tr>
      <w:tr w:rsidR="00F44B27" w:rsidRPr="00E60832" w:rsidTr="009A63EC">
        <w:trPr>
          <w:jc w:val="center"/>
        </w:trPr>
        <w:tc>
          <w:tcPr>
            <w:tcW w:w="1961" w:type="dxa"/>
          </w:tcPr>
          <w:p w:rsidR="00F44B27" w:rsidRPr="00E60832" w:rsidRDefault="00F44B27" w:rsidP="000D6B51">
            <w:pPr>
              <w:spacing w:line="276" w:lineRule="auto"/>
              <w:jc w:val="both"/>
              <w:rPr>
                <w:b/>
                <w:i/>
                <w:sz w:val="20"/>
                <w:szCs w:val="20"/>
              </w:rPr>
            </w:pPr>
            <w:r w:rsidRPr="00E60832">
              <w:rPr>
                <w:b/>
                <w:i/>
                <w:sz w:val="20"/>
                <w:szCs w:val="20"/>
              </w:rPr>
              <w:t xml:space="preserve">Jara </w:t>
            </w:r>
          </w:p>
        </w:tc>
        <w:tc>
          <w:tcPr>
            <w:tcW w:w="2241" w:type="dxa"/>
          </w:tcPr>
          <w:p w:rsidR="00F44B27" w:rsidRPr="00E60832" w:rsidRDefault="00F44B27" w:rsidP="00303429">
            <w:pPr>
              <w:spacing w:line="276" w:lineRule="auto"/>
              <w:jc w:val="center"/>
              <w:rPr>
                <w:sz w:val="20"/>
                <w:szCs w:val="20"/>
              </w:rPr>
            </w:pPr>
            <w:r w:rsidRPr="00E60832">
              <w:rPr>
                <w:sz w:val="20"/>
                <w:szCs w:val="20"/>
              </w:rPr>
              <w:t>5.000.000.</w:t>
            </w:r>
          </w:p>
        </w:tc>
        <w:tc>
          <w:tcPr>
            <w:tcW w:w="2144" w:type="dxa"/>
          </w:tcPr>
          <w:p w:rsidR="00F44B27" w:rsidRPr="00E60832" w:rsidRDefault="00B456F6" w:rsidP="00303429">
            <w:pPr>
              <w:spacing w:line="276" w:lineRule="auto"/>
              <w:jc w:val="center"/>
              <w:rPr>
                <w:sz w:val="20"/>
                <w:szCs w:val="20"/>
              </w:rPr>
            </w:pPr>
            <w:r w:rsidRPr="00E60832">
              <w:rPr>
                <w:sz w:val="20"/>
                <w:szCs w:val="20"/>
              </w:rPr>
              <w:t xml:space="preserve">4.568 </w:t>
            </w:r>
          </w:p>
        </w:tc>
        <w:tc>
          <w:tcPr>
            <w:tcW w:w="1878" w:type="dxa"/>
          </w:tcPr>
          <w:p w:rsidR="00F44B27" w:rsidRPr="00E60832" w:rsidRDefault="00B456F6" w:rsidP="00303429">
            <w:pPr>
              <w:spacing w:line="276" w:lineRule="auto"/>
              <w:jc w:val="center"/>
              <w:rPr>
                <w:sz w:val="20"/>
                <w:szCs w:val="20"/>
              </w:rPr>
            </w:pPr>
            <w:r w:rsidRPr="00E60832">
              <w:rPr>
                <w:sz w:val="20"/>
                <w:szCs w:val="20"/>
              </w:rPr>
              <w:t>15,5</w:t>
            </w:r>
          </w:p>
        </w:tc>
      </w:tr>
      <w:tr w:rsidR="00F44B27" w:rsidRPr="00E60832" w:rsidTr="009A63EC">
        <w:trPr>
          <w:jc w:val="center"/>
        </w:trPr>
        <w:tc>
          <w:tcPr>
            <w:tcW w:w="1961" w:type="dxa"/>
          </w:tcPr>
          <w:p w:rsidR="00F44B27" w:rsidRPr="00E60832" w:rsidRDefault="00F44B27" w:rsidP="000D6B51">
            <w:pPr>
              <w:spacing w:line="276" w:lineRule="auto"/>
              <w:jc w:val="both"/>
              <w:rPr>
                <w:b/>
                <w:i/>
                <w:sz w:val="20"/>
                <w:szCs w:val="20"/>
              </w:rPr>
            </w:pPr>
            <w:r w:rsidRPr="00E60832">
              <w:rPr>
                <w:b/>
                <w:i/>
                <w:sz w:val="20"/>
                <w:szCs w:val="20"/>
              </w:rPr>
              <w:t xml:space="preserve">Babino Polje </w:t>
            </w:r>
          </w:p>
        </w:tc>
        <w:tc>
          <w:tcPr>
            <w:tcW w:w="2241" w:type="dxa"/>
          </w:tcPr>
          <w:p w:rsidR="00F44B27" w:rsidRPr="00E60832" w:rsidRDefault="00F44B27" w:rsidP="00303429">
            <w:pPr>
              <w:spacing w:line="276" w:lineRule="auto"/>
              <w:jc w:val="center"/>
              <w:rPr>
                <w:sz w:val="20"/>
                <w:szCs w:val="20"/>
              </w:rPr>
            </w:pPr>
            <w:r w:rsidRPr="00E60832">
              <w:rPr>
                <w:sz w:val="20"/>
                <w:szCs w:val="20"/>
              </w:rPr>
              <w:t xml:space="preserve">3.500.000. </w:t>
            </w:r>
          </w:p>
        </w:tc>
        <w:tc>
          <w:tcPr>
            <w:tcW w:w="2144" w:type="dxa"/>
          </w:tcPr>
          <w:p w:rsidR="00F44B27" w:rsidRPr="00E60832" w:rsidRDefault="00F44B27" w:rsidP="00303429">
            <w:pPr>
              <w:spacing w:line="276" w:lineRule="auto"/>
              <w:jc w:val="center"/>
              <w:rPr>
                <w:sz w:val="20"/>
                <w:szCs w:val="20"/>
              </w:rPr>
            </w:pPr>
            <w:r w:rsidRPr="00E60832">
              <w:rPr>
                <w:sz w:val="20"/>
                <w:szCs w:val="20"/>
              </w:rPr>
              <w:t xml:space="preserve">2.214 </w:t>
            </w:r>
          </w:p>
        </w:tc>
        <w:tc>
          <w:tcPr>
            <w:tcW w:w="1878" w:type="dxa"/>
          </w:tcPr>
          <w:p w:rsidR="00F44B27" w:rsidRPr="00E60832" w:rsidRDefault="00F44B27" w:rsidP="00303429">
            <w:pPr>
              <w:spacing w:line="276" w:lineRule="auto"/>
              <w:jc w:val="center"/>
              <w:rPr>
                <w:sz w:val="20"/>
                <w:szCs w:val="20"/>
              </w:rPr>
            </w:pPr>
            <w:r w:rsidRPr="00E60832">
              <w:rPr>
                <w:sz w:val="20"/>
                <w:szCs w:val="20"/>
              </w:rPr>
              <w:t xml:space="preserve">6,6 </w:t>
            </w:r>
          </w:p>
        </w:tc>
      </w:tr>
      <w:tr w:rsidR="00F44B27" w:rsidRPr="00E60832" w:rsidTr="009A63EC">
        <w:trPr>
          <w:jc w:val="center"/>
        </w:trPr>
        <w:tc>
          <w:tcPr>
            <w:tcW w:w="1961" w:type="dxa"/>
          </w:tcPr>
          <w:p w:rsidR="00F44B27" w:rsidRPr="00E60832" w:rsidRDefault="00F44B27" w:rsidP="00F44B27">
            <w:pPr>
              <w:spacing w:line="276" w:lineRule="auto"/>
              <w:jc w:val="right"/>
              <w:rPr>
                <w:b/>
                <w:i/>
                <w:sz w:val="20"/>
                <w:szCs w:val="20"/>
              </w:rPr>
            </w:pPr>
            <w:r w:rsidRPr="00E60832">
              <w:rPr>
                <w:b/>
                <w:i/>
                <w:sz w:val="20"/>
                <w:szCs w:val="20"/>
              </w:rPr>
              <w:t xml:space="preserve">UKUPNO </w:t>
            </w:r>
          </w:p>
        </w:tc>
        <w:tc>
          <w:tcPr>
            <w:tcW w:w="2241" w:type="dxa"/>
          </w:tcPr>
          <w:p w:rsidR="00F44B27" w:rsidRPr="00E60832" w:rsidRDefault="00F44B27" w:rsidP="00F44B27">
            <w:pPr>
              <w:spacing w:line="276" w:lineRule="auto"/>
              <w:jc w:val="right"/>
              <w:rPr>
                <w:b/>
                <w:sz w:val="20"/>
                <w:szCs w:val="20"/>
              </w:rPr>
            </w:pPr>
            <w:r w:rsidRPr="00E60832">
              <w:rPr>
                <w:b/>
                <w:sz w:val="20"/>
                <w:szCs w:val="20"/>
              </w:rPr>
              <w:t xml:space="preserve">8.500.000 </w:t>
            </w:r>
          </w:p>
        </w:tc>
        <w:tc>
          <w:tcPr>
            <w:tcW w:w="2144" w:type="dxa"/>
          </w:tcPr>
          <w:p w:rsidR="00F44B27" w:rsidRPr="00E60832" w:rsidRDefault="00B456F6" w:rsidP="00F44B27">
            <w:pPr>
              <w:spacing w:line="276" w:lineRule="auto"/>
              <w:jc w:val="right"/>
              <w:rPr>
                <w:b/>
                <w:sz w:val="20"/>
                <w:szCs w:val="20"/>
              </w:rPr>
            </w:pPr>
            <w:r w:rsidRPr="00E60832">
              <w:rPr>
                <w:b/>
                <w:sz w:val="20"/>
                <w:szCs w:val="20"/>
              </w:rPr>
              <w:t>6.782</w:t>
            </w:r>
          </w:p>
        </w:tc>
        <w:tc>
          <w:tcPr>
            <w:tcW w:w="1878" w:type="dxa"/>
          </w:tcPr>
          <w:p w:rsidR="00F44B27" w:rsidRPr="00E60832" w:rsidRDefault="00B456F6" w:rsidP="00F44B27">
            <w:pPr>
              <w:spacing w:line="276" w:lineRule="auto"/>
              <w:jc w:val="right"/>
              <w:rPr>
                <w:b/>
                <w:sz w:val="20"/>
                <w:szCs w:val="20"/>
              </w:rPr>
            </w:pPr>
            <w:r w:rsidRPr="00E60832">
              <w:rPr>
                <w:b/>
                <w:sz w:val="20"/>
                <w:szCs w:val="20"/>
              </w:rPr>
              <w:t>22,1</w:t>
            </w:r>
          </w:p>
        </w:tc>
      </w:tr>
    </w:tbl>
    <w:p w:rsidR="007F4FAD" w:rsidRPr="00500408" w:rsidRDefault="00CC5C2E" w:rsidP="00500408">
      <w:pPr>
        <w:spacing w:line="276" w:lineRule="auto"/>
        <w:ind w:firstLine="720"/>
        <w:jc w:val="both"/>
        <w:rPr>
          <w:sz w:val="20"/>
          <w:szCs w:val="20"/>
        </w:rPr>
      </w:pPr>
      <w:r w:rsidRPr="00303429">
        <w:rPr>
          <w:sz w:val="20"/>
          <w:szCs w:val="20"/>
        </w:rPr>
        <w:t xml:space="preserve">Izvor: </w:t>
      </w:r>
      <w:r w:rsidR="00303429">
        <w:rPr>
          <w:sz w:val="20"/>
          <w:szCs w:val="20"/>
        </w:rPr>
        <w:t xml:space="preserve">Izračunato </w:t>
      </w:r>
      <w:r w:rsidRPr="00303429">
        <w:rPr>
          <w:sz w:val="20"/>
          <w:szCs w:val="20"/>
        </w:rPr>
        <w:t xml:space="preserve">na bazi podataka iz </w:t>
      </w:r>
      <w:r w:rsidR="000915FA">
        <w:rPr>
          <w:sz w:val="20"/>
          <w:szCs w:val="20"/>
        </w:rPr>
        <w:t>raznih dokumenata kao i iz studija</w:t>
      </w:r>
      <w:r w:rsidRPr="00303429">
        <w:rPr>
          <w:sz w:val="20"/>
          <w:szCs w:val="20"/>
        </w:rPr>
        <w:t xml:space="preserve"> SISTEM (</w:t>
      </w:r>
      <w:r w:rsidR="000915FA">
        <w:rPr>
          <w:sz w:val="20"/>
          <w:szCs w:val="20"/>
        </w:rPr>
        <w:t xml:space="preserve">2012, </w:t>
      </w:r>
      <w:r w:rsidRPr="00303429">
        <w:rPr>
          <w:sz w:val="20"/>
          <w:szCs w:val="20"/>
        </w:rPr>
        <w:t xml:space="preserve">2013). </w:t>
      </w:r>
    </w:p>
    <w:p w:rsidR="00B04E08" w:rsidRDefault="00B04E08">
      <w:pPr>
        <w:rPr>
          <w:rFonts w:cs="Cambria"/>
          <w:color w:val="000000"/>
        </w:rPr>
      </w:pPr>
      <w:r>
        <w:rPr>
          <w:rFonts w:cs="Cambria"/>
          <w:color w:val="000000"/>
        </w:rPr>
        <w:br w:type="page"/>
      </w:r>
    </w:p>
    <w:p w:rsidR="00E60832" w:rsidRPr="00E60832" w:rsidRDefault="00E60832" w:rsidP="002701DD">
      <w:pPr>
        <w:autoSpaceDE w:val="0"/>
        <w:autoSpaceDN w:val="0"/>
        <w:adjustRightInd w:val="0"/>
        <w:spacing w:line="276" w:lineRule="auto"/>
        <w:rPr>
          <w:rFonts w:cs="Cambria"/>
          <w:color w:val="000000"/>
        </w:rPr>
      </w:pPr>
    </w:p>
    <w:p w:rsidR="00B04E08" w:rsidRPr="00E60832" w:rsidRDefault="00B04E08" w:rsidP="002701DD">
      <w:pPr>
        <w:autoSpaceDE w:val="0"/>
        <w:autoSpaceDN w:val="0"/>
        <w:adjustRightInd w:val="0"/>
        <w:spacing w:line="276" w:lineRule="auto"/>
        <w:rPr>
          <w:rFonts w:cs="Cambria"/>
          <w:color w:val="000000"/>
        </w:rPr>
      </w:pPr>
    </w:p>
    <w:p w:rsidR="00573AF6" w:rsidRPr="00E0474B" w:rsidRDefault="00D5582C" w:rsidP="002701DD">
      <w:pPr>
        <w:autoSpaceDE w:val="0"/>
        <w:autoSpaceDN w:val="0"/>
        <w:adjustRightInd w:val="0"/>
        <w:spacing w:line="276" w:lineRule="auto"/>
        <w:rPr>
          <w:rFonts w:cs="Cambria"/>
          <w:b/>
          <w:color w:val="000000"/>
          <w:sz w:val="28"/>
          <w:szCs w:val="28"/>
        </w:rPr>
      </w:pPr>
      <w:r>
        <w:rPr>
          <w:rFonts w:cs="Cambria"/>
          <w:b/>
          <w:color w:val="000000"/>
          <w:sz w:val="28"/>
          <w:szCs w:val="28"/>
        </w:rPr>
        <w:t xml:space="preserve">2.2. </w:t>
      </w:r>
      <w:r w:rsidR="00FD6597">
        <w:rPr>
          <w:rFonts w:cs="Cambria"/>
          <w:b/>
          <w:color w:val="000000"/>
          <w:sz w:val="28"/>
          <w:szCs w:val="28"/>
        </w:rPr>
        <w:t>Tokovi</w:t>
      </w:r>
      <w:r w:rsidR="00B511FB">
        <w:rPr>
          <w:rFonts w:cs="Cambria"/>
          <w:b/>
          <w:color w:val="000000"/>
          <w:sz w:val="28"/>
          <w:szCs w:val="28"/>
        </w:rPr>
        <w:t xml:space="preserve">privatnihtroškova i koristi </w:t>
      </w:r>
      <w:r w:rsidR="00B04E08">
        <w:rPr>
          <w:rFonts w:cs="Cambria"/>
          <w:b/>
          <w:color w:val="000000"/>
          <w:sz w:val="28"/>
          <w:szCs w:val="28"/>
        </w:rPr>
        <w:t>od</w:t>
      </w:r>
      <w:r w:rsidR="00FD6597">
        <w:rPr>
          <w:rFonts w:cs="Cambria"/>
          <w:b/>
          <w:color w:val="000000"/>
          <w:sz w:val="28"/>
          <w:szCs w:val="28"/>
        </w:rPr>
        <w:t xml:space="preserve"> projekta </w:t>
      </w:r>
    </w:p>
    <w:p w:rsidR="009535A9" w:rsidRPr="00C8520A" w:rsidRDefault="00C8520A" w:rsidP="00C8520A">
      <w:pPr>
        <w:autoSpaceDE w:val="0"/>
        <w:autoSpaceDN w:val="0"/>
        <w:adjustRightInd w:val="0"/>
        <w:spacing w:line="276" w:lineRule="auto"/>
        <w:jc w:val="both"/>
        <w:rPr>
          <w:rFonts w:cs="Cambria"/>
          <w:color w:val="000000"/>
        </w:rPr>
      </w:pPr>
      <w:r w:rsidRPr="008010FA">
        <w:rPr>
          <w:rFonts w:cs="Cambria"/>
          <w:b/>
          <w:color w:val="000000"/>
        </w:rPr>
        <w:t>1</w:t>
      </w:r>
      <w:r w:rsidRPr="00C8520A">
        <w:rPr>
          <w:rFonts w:cs="Cambria"/>
          <w:color w:val="000000"/>
        </w:rPr>
        <w:t>.</w:t>
      </w:r>
      <w:r w:rsidR="00B307F5" w:rsidRPr="00C8520A">
        <w:rPr>
          <w:rFonts w:cs="Cambria"/>
          <w:color w:val="000000"/>
        </w:rPr>
        <w:t xml:space="preserve">U prethodnom su razmatranju date osnove za </w:t>
      </w:r>
      <w:r w:rsidR="001D19FC" w:rsidRPr="00C8520A">
        <w:rPr>
          <w:rFonts w:cs="Cambria"/>
          <w:color w:val="000000"/>
        </w:rPr>
        <w:t xml:space="preserve">projekcije bilansa uspjeha i bilansa stanja na osnovu kojih se, uz korišćenje konstrukcije finansiranja, dalje daju </w:t>
      </w:r>
      <w:r w:rsidR="001D19FC" w:rsidRPr="0012201A">
        <w:rPr>
          <w:rFonts w:cs="Cambria"/>
          <w:b/>
          <w:color w:val="000000"/>
        </w:rPr>
        <w:t>projekcije neto toka gotovine i ekonomskog toka</w:t>
      </w:r>
      <w:r w:rsidR="001D19FC" w:rsidRPr="00C8520A">
        <w:rPr>
          <w:rFonts w:cs="Cambria"/>
          <w:color w:val="000000"/>
        </w:rPr>
        <w:t xml:space="preserve"> kao osnova za ocjenu privatne efikasnosti i isplativosti projekta. </w:t>
      </w:r>
      <w:r w:rsidR="00951FF6" w:rsidRPr="00C8520A">
        <w:rPr>
          <w:rFonts w:cs="Cambria"/>
          <w:color w:val="000000"/>
        </w:rPr>
        <w:t xml:space="preserve">Nažalost, naše analize su pokazale da su mnoge od pretpostavki prezentiranih u </w:t>
      </w:r>
      <w:r w:rsidR="001C48BA" w:rsidRPr="00C8520A">
        <w:rPr>
          <w:rFonts w:cs="Cambria"/>
          <w:color w:val="000000"/>
        </w:rPr>
        <w:t>prethodnom pregledu</w:t>
      </w:r>
      <w:r w:rsidR="00951FF6" w:rsidRPr="00C8520A">
        <w:rPr>
          <w:rFonts w:cs="Cambria"/>
          <w:color w:val="000000"/>
        </w:rPr>
        <w:t xml:space="preserve"> kao i onih datih u ostalim zvaničnim dokumentima bile u najmanju ruku nepouzdane. Ponekad su se pojedini podaci i pretpostavke razlikovali od jednog do drugog dokumenta a ponekad se ni jedan od njih nije mogao prihvatiti a da se pri tom ne upadne u duboku protivrečnost sa podacima datim u bilansima uspjeha i stanja ove kompanije za prvih par godina poslovanja. Podsjećamo, kompanija posluje u predviđenom kapacitetu već par godina pa se podaci o poslovanju mogu naći na sajtu Poreske službe. </w:t>
      </w:r>
      <w:r w:rsidR="00044147" w:rsidRPr="00C8520A">
        <w:rPr>
          <w:rFonts w:cs="Cambria"/>
          <w:color w:val="000000"/>
        </w:rPr>
        <w:t xml:space="preserve">Napominjemo da nijesmo mogli dobiti ni biznis plan za dvije mHE Kronora koji je investitor morao uraditi da bi uopšte bio u biznisu. Dva puta je naš zahtjev za biznis planom odbijen, jednom eksplicitno a drugi put ćutnjom u cijelom roku u kojem </w:t>
      </w:r>
      <w:r w:rsidR="00CC52D7">
        <w:rPr>
          <w:rFonts w:cs="Cambria"/>
          <w:color w:val="000000"/>
        </w:rPr>
        <w:t>je morao odgovorit</w:t>
      </w:r>
      <w:r w:rsidR="00044147" w:rsidRPr="00C8520A">
        <w:rPr>
          <w:rFonts w:cs="Cambria"/>
          <w:color w:val="000000"/>
        </w:rPr>
        <w:t xml:space="preserve">i na naš zahtjev. </w:t>
      </w:r>
    </w:p>
    <w:p w:rsidR="00A52417" w:rsidRDefault="009535A9" w:rsidP="001D19FC">
      <w:pPr>
        <w:autoSpaceDE w:val="0"/>
        <w:autoSpaceDN w:val="0"/>
        <w:adjustRightInd w:val="0"/>
        <w:spacing w:line="276" w:lineRule="auto"/>
        <w:jc w:val="both"/>
        <w:rPr>
          <w:rFonts w:cs="Cambria"/>
          <w:color w:val="000000"/>
        </w:rPr>
      </w:pPr>
      <w:r>
        <w:rPr>
          <w:rFonts w:cs="Cambria"/>
          <w:color w:val="000000"/>
        </w:rPr>
        <w:t xml:space="preserve">Imajući prethodno u vidu, morali smo korigovati </w:t>
      </w:r>
      <w:r w:rsidR="00720553">
        <w:rPr>
          <w:rFonts w:cs="Cambria"/>
          <w:color w:val="000000"/>
        </w:rPr>
        <w:t xml:space="preserve">i, kao što ćemo vidjeti, varirati </w:t>
      </w:r>
      <w:r>
        <w:rPr>
          <w:rFonts w:cs="Cambria"/>
          <w:color w:val="000000"/>
        </w:rPr>
        <w:t xml:space="preserve">mnoge polazne pretpostavke kako bi ih učinili realističnim i konzistentnim. U narednim redovima dajemo opis pretpostavki na kojima su zasnovane naše projekcije. Naravno, posebna pažnja će biti posvećena onim pretpostavkama koje su presudne za distinkciju između </w:t>
      </w:r>
      <w:r w:rsidR="00962B6A">
        <w:rPr>
          <w:rFonts w:cs="Cambria"/>
          <w:color w:val="000000"/>
        </w:rPr>
        <w:t>priv</w:t>
      </w:r>
      <w:r w:rsidR="00044147">
        <w:rPr>
          <w:rFonts w:cs="Cambria"/>
          <w:color w:val="000000"/>
        </w:rPr>
        <w:t>a</w:t>
      </w:r>
      <w:r w:rsidR="00962B6A">
        <w:rPr>
          <w:rFonts w:cs="Cambria"/>
          <w:color w:val="000000"/>
        </w:rPr>
        <w:t xml:space="preserve">tnih i </w:t>
      </w:r>
      <w:r w:rsidR="00044147">
        <w:rPr>
          <w:rFonts w:cs="Cambria"/>
          <w:color w:val="000000"/>
        </w:rPr>
        <w:t>društvenih</w:t>
      </w:r>
      <w:r w:rsidR="00962B6A">
        <w:rPr>
          <w:rFonts w:cs="Cambria"/>
          <w:color w:val="000000"/>
        </w:rPr>
        <w:t xml:space="preserve"> troškova i koristi </w:t>
      </w:r>
      <w:r w:rsidR="00044147">
        <w:rPr>
          <w:rFonts w:cs="Cambria"/>
          <w:color w:val="000000"/>
        </w:rPr>
        <w:t xml:space="preserve">u pojedinim godinama </w:t>
      </w:r>
      <w:r w:rsidR="00962B6A">
        <w:rPr>
          <w:rFonts w:cs="Cambria"/>
          <w:color w:val="000000"/>
        </w:rPr>
        <w:t xml:space="preserve">pa time i na distinkciji između privatne i društvene isplativosti samog projekta. Napominjemo, u oba slučaja, i kod privatne i kod društvene isplativosti, </w:t>
      </w:r>
      <w:r w:rsidR="00044147">
        <w:rPr>
          <w:rFonts w:cs="Cambria"/>
          <w:color w:val="000000"/>
        </w:rPr>
        <w:t xml:space="preserve">ovdje </w:t>
      </w:r>
      <w:r w:rsidR="00962B6A">
        <w:rPr>
          <w:rFonts w:cs="Cambria"/>
          <w:color w:val="000000"/>
        </w:rPr>
        <w:t xml:space="preserve">analiziramo samo isplativost samog energetskog projekta izolovano od svih njegovih drugih </w:t>
      </w:r>
      <w:r w:rsidR="0012201A">
        <w:rPr>
          <w:rFonts w:cs="Cambria"/>
          <w:color w:val="000000"/>
        </w:rPr>
        <w:t xml:space="preserve">spoljnih </w:t>
      </w:r>
      <w:r w:rsidR="00962B6A">
        <w:rPr>
          <w:rFonts w:cs="Cambria"/>
          <w:color w:val="000000"/>
        </w:rPr>
        <w:t xml:space="preserve">efekata i uticaja. </w:t>
      </w:r>
      <w:r w:rsidR="00044147">
        <w:rPr>
          <w:rFonts w:cs="Cambria"/>
          <w:color w:val="000000"/>
        </w:rPr>
        <w:t>Za sada n</w:t>
      </w:r>
      <w:r w:rsidR="00962B6A">
        <w:rPr>
          <w:rFonts w:cs="Cambria"/>
          <w:color w:val="000000"/>
        </w:rPr>
        <w:t xml:space="preserve">e uzimamo u obzir, dakle, ni uticaj projekta na ostale djelatnosti, ni njegov uticaj na eko </w:t>
      </w:r>
      <w:r w:rsidR="00EE5003">
        <w:rPr>
          <w:rFonts w:cs="Cambria"/>
          <w:color w:val="000000"/>
        </w:rPr>
        <w:t>si</w:t>
      </w:r>
      <w:r w:rsidR="00962B6A">
        <w:rPr>
          <w:rFonts w:cs="Cambria"/>
          <w:color w:val="000000"/>
        </w:rPr>
        <w:t xml:space="preserve">stem, kao ni njegove distrubutivne efekte. </w:t>
      </w:r>
      <w:r w:rsidR="00EE5003">
        <w:rPr>
          <w:rFonts w:cs="Cambria"/>
          <w:color w:val="000000"/>
        </w:rPr>
        <w:t xml:space="preserve">Ove </w:t>
      </w:r>
      <w:r w:rsidR="00CD1E2F">
        <w:rPr>
          <w:rFonts w:cs="Cambria"/>
          <w:color w:val="000000"/>
        </w:rPr>
        <w:t xml:space="preserve">druge, važne </w:t>
      </w:r>
      <w:r w:rsidR="00EE5003">
        <w:rPr>
          <w:rFonts w:cs="Cambria"/>
          <w:color w:val="000000"/>
        </w:rPr>
        <w:t xml:space="preserve">dimenzije </w:t>
      </w:r>
      <w:r w:rsidR="00CD1E2F">
        <w:rPr>
          <w:rFonts w:cs="Cambria"/>
          <w:color w:val="000000"/>
        </w:rPr>
        <w:t>će</w:t>
      </w:r>
      <w:r w:rsidR="00044147">
        <w:rPr>
          <w:rFonts w:cs="Cambria"/>
          <w:color w:val="000000"/>
        </w:rPr>
        <w:t>biti analizirane u odeljcima</w:t>
      </w:r>
      <w:r w:rsidR="00EE5003">
        <w:rPr>
          <w:rFonts w:cs="Cambria"/>
          <w:color w:val="000000"/>
        </w:rPr>
        <w:t xml:space="preserve"> koji sl</w:t>
      </w:r>
      <w:r w:rsidR="00044147">
        <w:rPr>
          <w:rFonts w:cs="Cambria"/>
          <w:color w:val="000000"/>
        </w:rPr>
        <w:t>ij</w:t>
      </w:r>
      <w:r w:rsidR="00EE5003">
        <w:rPr>
          <w:rFonts w:cs="Cambria"/>
          <w:color w:val="000000"/>
        </w:rPr>
        <w:t xml:space="preserve">ede nakon analize privatnih </w:t>
      </w:r>
      <w:r w:rsidR="00CD1E2F">
        <w:rPr>
          <w:rFonts w:cs="Cambria"/>
          <w:color w:val="000000"/>
        </w:rPr>
        <w:t>i</w:t>
      </w:r>
      <w:r w:rsidR="00EE5003">
        <w:rPr>
          <w:rFonts w:cs="Cambria"/>
          <w:color w:val="000000"/>
        </w:rPr>
        <w:t xml:space="preserve"> društvenih efekata. </w:t>
      </w:r>
    </w:p>
    <w:p w:rsidR="00741A6D" w:rsidRDefault="0012201A" w:rsidP="001D19FC">
      <w:pPr>
        <w:autoSpaceDE w:val="0"/>
        <w:autoSpaceDN w:val="0"/>
        <w:adjustRightInd w:val="0"/>
        <w:spacing w:line="276" w:lineRule="auto"/>
        <w:jc w:val="both"/>
        <w:rPr>
          <w:rFonts w:cs="Cambria"/>
          <w:color w:val="000000"/>
        </w:rPr>
      </w:pPr>
      <w:r w:rsidRPr="008010FA">
        <w:rPr>
          <w:rFonts w:cs="Cambria"/>
          <w:b/>
          <w:color w:val="000000"/>
        </w:rPr>
        <w:t>2</w:t>
      </w:r>
      <w:r>
        <w:rPr>
          <w:rFonts w:cs="Cambria"/>
          <w:color w:val="000000"/>
        </w:rPr>
        <w:t xml:space="preserve">. </w:t>
      </w:r>
      <w:r w:rsidR="002543AE" w:rsidRPr="0012201A">
        <w:rPr>
          <w:rFonts w:cs="Cambria"/>
          <w:b/>
          <w:color w:val="000000"/>
        </w:rPr>
        <w:t>Ključnu razliku između privatnih i društvenih tokova troškova i koristi</w:t>
      </w:r>
      <w:r w:rsidR="002543AE">
        <w:rPr>
          <w:rFonts w:cs="Cambria"/>
          <w:color w:val="000000"/>
        </w:rPr>
        <w:t xml:space="preserve">od samog projekta čine, s jedne strane, subvencije i </w:t>
      </w:r>
      <w:r w:rsidR="00707F41">
        <w:rPr>
          <w:rFonts w:cs="Cambria"/>
          <w:color w:val="000000"/>
        </w:rPr>
        <w:t xml:space="preserve">druge </w:t>
      </w:r>
      <w:r w:rsidR="002543AE">
        <w:rPr>
          <w:rFonts w:cs="Cambria"/>
          <w:color w:val="000000"/>
        </w:rPr>
        <w:t xml:space="preserve">privilegije koje država daje investitorima u male hidro-elektrane i, s druge strane, koncesije i drugi izdaci koje plaćaju samo investitori u male </w:t>
      </w:r>
      <w:r w:rsidR="00D93A58">
        <w:rPr>
          <w:rFonts w:cs="Cambria"/>
          <w:color w:val="000000"/>
        </w:rPr>
        <w:t>hidro-elektrane (u daljem tekstu mHE)</w:t>
      </w:r>
      <w:r w:rsidR="00707F41">
        <w:rPr>
          <w:rFonts w:cs="Cambria"/>
          <w:color w:val="000000"/>
        </w:rPr>
        <w:t xml:space="preserve"> a ne i investitori u druge djelatnosti</w:t>
      </w:r>
      <w:r w:rsidR="00D93A58">
        <w:rPr>
          <w:rFonts w:cs="Cambria"/>
          <w:color w:val="000000"/>
        </w:rPr>
        <w:t xml:space="preserve">. </w:t>
      </w:r>
      <w:r w:rsidR="00707F41">
        <w:rPr>
          <w:rFonts w:cs="Cambria"/>
          <w:color w:val="000000"/>
        </w:rPr>
        <w:t xml:space="preserve">Napominjemo da ni u postojećoj regulative ni u dokumentima koji prate dvije elektrane u kojima je investirao Kronor d. o. o. </w:t>
      </w:r>
      <w:r w:rsidR="002A6B18">
        <w:rPr>
          <w:rFonts w:cs="Cambria"/>
          <w:color w:val="000000"/>
        </w:rPr>
        <w:t xml:space="preserve">a kojima smo mi raspolagali </w:t>
      </w:r>
      <w:r w:rsidR="00707F41">
        <w:rPr>
          <w:rFonts w:cs="Cambria"/>
          <w:color w:val="000000"/>
        </w:rPr>
        <w:t xml:space="preserve">nije data precizna racionalizacija preduzetih subvencija, koncesija ili drugih mjera. </w:t>
      </w:r>
      <w:r w:rsidR="002A6B18">
        <w:rPr>
          <w:rFonts w:cs="Cambria"/>
          <w:color w:val="000000"/>
        </w:rPr>
        <w:t>Osim naglašavanja da kao obnovljiv izvor i kao čista tehnologija struja proizvedena na ovaj način ima veću korisnost te da zato treba imati i veću cijenu</w:t>
      </w:r>
      <w:r w:rsidR="005F3ECE">
        <w:rPr>
          <w:rFonts w:cs="Cambria"/>
          <w:color w:val="000000"/>
        </w:rPr>
        <w:t>,</w:t>
      </w:r>
      <w:r w:rsidR="002A6B18">
        <w:rPr>
          <w:rFonts w:cs="Cambria"/>
          <w:color w:val="000000"/>
        </w:rPr>
        <w:t xml:space="preserve"> nema nikakvih preciznih jednačina ili drugih mjera na osnovu kojih bi se ta veća, privilegovana cijena precizno izračunala. </w:t>
      </w:r>
      <w:r w:rsidR="005414E0">
        <w:rPr>
          <w:rFonts w:cs="Cambria"/>
          <w:color w:val="000000"/>
        </w:rPr>
        <w:t>Takođe, osim notorne činjenice da se koncesije koriste kako bi se zahvatila prirodna renta i prisvojila od strane države kao predstavnika društva kao ultimativnog vlasnika, zakonodavac se nije baš pretrg</w:t>
      </w:r>
      <w:r w:rsidR="005F3ECE">
        <w:rPr>
          <w:rFonts w:cs="Cambria"/>
          <w:color w:val="000000"/>
        </w:rPr>
        <w:t>ao oko nastojanja da sam proces</w:t>
      </w:r>
      <w:r w:rsidR="005414E0">
        <w:rPr>
          <w:rFonts w:cs="Cambria"/>
          <w:color w:val="000000"/>
        </w:rPr>
        <w:t xml:space="preserve"> utvrđivanja koncesija učini jasnijim i transparentnijim.</w:t>
      </w:r>
      <w:r w:rsidR="00413847">
        <w:rPr>
          <w:rFonts w:cs="Cambria"/>
          <w:color w:val="000000"/>
        </w:rPr>
        <w:t xml:space="preserve"> Dat je samo set kriterija od kojih se polazi a da se pri tom ne daje obrazac na koji bi ti kriteriji ulazili u odgovarajuću jednačinu. </w:t>
      </w:r>
      <w:r w:rsidR="00B46397">
        <w:rPr>
          <w:rFonts w:cs="Cambria"/>
          <w:color w:val="000000"/>
        </w:rPr>
        <w:t xml:space="preserve">S druge strane, kao što je poznato sam </w:t>
      </w:r>
      <w:r w:rsidR="00B46397">
        <w:rPr>
          <w:rFonts w:cs="Cambria"/>
          <w:color w:val="000000"/>
        </w:rPr>
        <w:lastRenderedPageBreak/>
        <w:t xml:space="preserve">javni poziv i eventualna konkurencija koja bi se tu mogla javiti, ne garantuje da će nivo koncesija biti optimalan. </w:t>
      </w:r>
    </w:p>
    <w:p w:rsidR="00EE5003" w:rsidRDefault="00741A6D" w:rsidP="001D19FC">
      <w:pPr>
        <w:autoSpaceDE w:val="0"/>
        <w:autoSpaceDN w:val="0"/>
        <w:adjustRightInd w:val="0"/>
        <w:spacing w:line="276" w:lineRule="auto"/>
        <w:jc w:val="both"/>
        <w:rPr>
          <w:rFonts w:cs="Cambria"/>
          <w:color w:val="000000"/>
        </w:rPr>
      </w:pPr>
      <w:r>
        <w:rPr>
          <w:rFonts w:cs="Cambria"/>
          <w:color w:val="000000"/>
        </w:rPr>
        <w:t>Važno je napomenuti da je sam Koncesioni ugovor</w:t>
      </w:r>
      <w:r w:rsidR="00EC73DB">
        <w:rPr>
          <w:rFonts w:cs="Cambria"/>
          <w:color w:val="000000"/>
        </w:rPr>
        <w:t xml:space="preserve"> u ovom slučaju</w:t>
      </w:r>
      <w:r>
        <w:rPr>
          <w:rFonts w:cs="Cambria"/>
          <w:color w:val="000000"/>
        </w:rPr>
        <w:t xml:space="preserve"> potpisan na 25 godina. Upravo zbog toga i naše projekcije su pravljene na period od 25 godina. Takođe, s obzirom da je ovdje riječ o DBOT aranžmanu investitor nema na kraju projektovanog perioda ostatak vrijednosti. Ostatak vrijednosti projekta, naravno, postoji ali je on </w:t>
      </w:r>
      <w:r w:rsidR="000E1895">
        <w:rPr>
          <w:rFonts w:cs="Cambria"/>
          <w:color w:val="000000"/>
        </w:rPr>
        <w:t xml:space="preserve">prema ugovoru postaje </w:t>
      </w:r>
      <w:r>
        <w:rPr>
          <w:rFonts w:cs="Cambria"/>
          <w:color w:val="000000"/>
        </w:rPr>
        <w:t>vlasništvo države</w:t>
      </w:r>
      <w:r w:rsidR="000E1895">
        <w:rPr>
          <w:rFonts w:cs="Cambria"/>
          <w:color w:val="000000"/>
        </w:rPr>
        <w:t xml:space="preserve"> nakon 25 godina</w:t>
      </w:r>
      <w:r>
        <w:rPr>
          <w:rFonts w:cs="Cambria"/>
          <w:color w:val="000000"/>
        </w:rPr>
        <w:t xml:space="preserve">. On, dakle, predstavlja pozitivnu stavku </w:t>
      </w:r>
      <w:r w:rsidR="00C55D4D">
        <w:rPr>
          <w:rFonts w:cs="Cambria"/>
          <w:color w:val="000000"/>
        </w:rPr>
        <w:t xml:space="preserve">društvenog </w:t>
      </w:r>
      <w:r>
        <w:rPr>
          <w:rFonts w:cs="Cambria"/>
          <w:color w:val="000000"/>
        </w:rPr>
        <w:t xml:space="preserve">toka </w:t>
      </w:r>
      <w:r w:rsidR="00C55D4D">
        <w:rPr>
          <w:rFonts w:cs="Cambria"/>
          <w:color w:val="000000"/>
        </w:rPr>
        <w:t>korisnosti.</w:t>
      </w:r>
      <w:r>
        <w:rPr>
          <w:rFonts w:cs="Cambria"/>
          <w:color w:val="000000"/>
        </w:rPr>
        <w:t xml:space="preserve"> Investitor je čak oabvezan da prilikom predaje objekata nakon 25 godina učini sve kako bi ih učinio potpuno funkcionalnim</w:t>
      </w:r>
      <w:r w:rsidR="00EC73DB">
        <w:rPr>
          <w:rFonts w:cs="Cambria"/>
          <w:color w:val="000000"/>
        </w:rPr>
        <w:t xml:space="preserve"> kao na početku rada</w:t>
      </w:r>
      <w:r>
        <w:rPr>
          <w:rFonts w:cs="Cambria"/>
          <w:color w:val="000000"/>
        </w:rPr>
        <w:t>. Ukoliko investitor bude vršio remont i invest</w:t>
      </w:r>
      <w:r w:rsidR="00C55D4D">
        <w:rPr>
          <w:rFonts w:cs="Cambria"/>
          <w:color w:val="000000"/>
        </w:rPr>
        <w:t xml:space="preserve">iciona ulaganja svakih 8 godina, a to je </w:t>
      </w:r>
      <w:r w:rsidR="00C55D4D" w:rsidRPr="00593C19">
        <w:rPr>
          <w:rFonts w:cs="Cambria"/>
        </w:rPr>
        <w:t>pretpostavka</w:t>
      </w:r>
      <w:r w:rsidR="00C55D4D">
        <w:rPr>
          <w:rFonts w:cs="Cambria"/>
          <w:color w:val="000000"/>
        </w:rPr>
        <w:t xml:space="preserve">od koje smo u projekcijama mi pošli, onda on nebi trebao da se u poslednjoj godini izlaže </w:t>
      </w:r>
      <w:r w:rsidR="000E1895">
        <w:rPr>
          <w:rFonts w:cs="Cambria"/>
          <w:color w:val="000000"/>
        </w:rPr>
        <w:t xml:space="preserve">izdacima većim od 90% vrijednosti same investicije u inicijalnim godinama. </w:t>
      </w:r>
      <w:r w:rsidR="009F1F9C">
        <w:rPr>
          <w:rFonts w:cs="Cambria"/>
          <w:color w:val="000000"/>
        </w:rPr>
        <w:t xml:space="preserve">Iako postoji mogućnost obnavljanja ugovora mi smo projekcije pravili samo za jedan ugovorni period. </w:t>
      </w:r>
      <w:r w:rsidR="00950252">
        <w:rPr>
          <w:rFonts w:cs="Cambria"/>
          <w:color w:val="000000"/>
        </w:rPr>
        <w:t xml:space="preserve">Razlog je prosto u činjenici da se rezultati nebi mnogo razlikovali. </w:t>
      </w:r>
    </w:p>
    <w:p w:rsidR="00C55D4D" w:rsidRPr="00460818" w:rsidRDefault="00460818" w:rsidP="00460818">
      <w:pPr>
        <w:autoSpaceDE w:val="0"/>
        <w:autoSpaceDN w:val="0"/>
        <w:adjustRightInd w:val="0"/>
        <w:spacing w:line="276" w:lineRule="auto"/>
        <w:jc w:val="both"/>
        <w:rPr>
          <w:rFonts w:cs="Cambria"/>
          <w:color w:val="000000"/>
        </w:rPr>
      </w:pPr>
      <w:r w:rsidRPr="008010FA">
        <w:rPr>
          <w:rFonts w:cs="Cambria"/>
          <w:b/>
          <w:color w:val="000000"/>
        </w:rPr>
        <w:t>3.</w:t>
      </w:r>
      <w:r w:rsidR="00C55D4D" w:rsidRPr="00460818">
        <w:rPr>
          <w:rFonts w:cs="Cambria"/>
          <w:color w:val="000000"/>
        </w:rPr>
        <w:t xml:space="preserve">Kada je o samoj </w:t>
      </w:r>
      <w:r w:rsidR="00C55D4D" w:rsidRPr="00460818">
        <w:rPr>
          <w:rFonts w:cs="Cambria"/>
          <w:b/>
          <w:color w:val="000000"/>
        </w:rPr>
        <w:t>koncesionoj naknadi</w:t>
      </w:r>
      <w:r w:rsidR="00655A72" w:rsidRPr="00460818">
        <w:rPr>
          <w:rFonts w:cs="Cambria"/>
          <w:color w:val="000000"/>
        </w:rPr>
        <w:t xml:space="preserve">i sličnim plaćanjima kompanije </w:t>
      </w:r>
      <w:r w:rsidR="00C55D4D" w:rsidRPr="00460818">
        <w:rPr>
          <w:rFonts w:cs="Cambria"/>
          <w:color w:val="000000"/>
        </w:rPr>
        <w:t xml:space="preserve">riječ ona je u ovom slučaju Ugovorom </w:t>
      </w:r>
      <w:r w:rsidR="00655A72" w:rsidRPr="00460818">
        <w:rPr>
          <w:rFonts w:cs="Cambria"/>
          <w:color w:val="000000"/>
        </w:rPr>
        <w:t xml:space="preserve">o koncesiji </w:t>
      </w:r>
      <w:r w:rsidR="00C55D4D" w:rsidRPr="00460818">
        <w:rPr>
          <w:rFonts w:cs="Cambria"/>
          <w:color w:val="000000"/>
        </w:rPr>
        <w:t>iz 2008 godine predviđena da bude svake godine utvrđena na slede</w:t>
      </w:r>
      <w:r w:rsidR="001D45D3">
        <w:rPr>
          <w:rFonts w:cs="Cambria"/>
          <w:color w:val="000000"/>
        </w:rPr>
        <w:t>ć</w:t>
      </w:r>
      <w:r w:rsidR="00C55D4D" w:rsidRPr="00460818">
        <w:rPr>
          <w:rFonts w:cs="Cambria"/>
          <w:color w:val="000000"/>
        </w:rPr>
        <w:t xml:space="preserve">i način: </w:t>
      </w:r>
    </w:p>
    <w:p w:rsidR="00C55D4D" w:rsidRDefault="00C55D4D" w:rsidP="00272C10">
      <w:pPr>
        <w:pStyle w:val="ListParagraph"/>
        <w:numPr>
          <w:ilvl w:val="0"/>
          <w:numId w:val="6"/>
        </w:numPr>
        <w:autoSpaceDE w:val="0"/>
        <w:autoSpaceDN w:val="0"/>
        <w:adjustRightInd w:val="0"/>
        <w:spacing w:line="276" w:lineRule="auto"/>
        <w:jc w:val="both"/>
        <w:rPr>
          <w:rFonts w:cs="Cambria"/>
          <w:color w:val="000000"/>
        </w:rPr>
      </w:pPr>
      <w:r>
        <w:rPr>
          <w:rFonts w:cs="Cambria"/>
          <w:color w:val="000000"/>
        </w:rPr>
        <w:t>10% od vrijednosti prodate struje, tj</w:t>
      </w:r>
      <w:r w:rsidR="001D45D3">
        <w:rPr>
          <w:rFonts w:cs="Cambria"/>
          <w:color w:val="000000"/>
        </w:rPr>
        <w:t>.</w:t>
      </w:r>
      <w:r>
        <w:rPr>
          <w:rFonts w:cs="Cambria"/>
          <w:color w:val="000000"/>
        </w:rPr>
        <w:t xml:space="preserve">od ukupnog prihoda ostvarenog po osnovu prodaje struje iz mHE bi bilo namijenjeno budžetu države; </w:t>
      </w:r>
      <w:r w:rsidR="00D838FF">
        <w:rPr>
          <w:rFonts w:cs="Cambria"/>
          <w:color w:val="000000"/>
        </w:rPr>
        <w:t>Ako uzmemo rezultate iz 2018</w:t>
      </w:r>
      <w:r w:rsidR="001D45D3">
        <w:rPr>
          <w:rFonts w:cs="Cambria"/>
          <w:color w:val="000000"/>
        </w:rPr>
        <w:t>.</w:t>
      </w:r>
      <w:r w:rsidR="00D838FF">
        <w:rPr>
          <w:rFonts w:cs="Cambria"/>
          <w:color w:val="000000"/>
        </w:rPr>
        <w:t xml:space="preserve">godine kao </w:t>
      </w:r>
      <w:r w:rsidR="004B11D3" w:rsidRPr="0028353D">
        <w:rPr>
          <w:rFonts w:cs="Cambria"/>
          <w:i/>
          <w:color w:val="000000"/>
        </w:rPr>
        <w:t>benchmark</w:t>
      </w:r>
      <w:r w:rsidR="00D838FF">
        <w:rPr>
          <w:rFonts w:cs="Cambria"/>
          <w:color w:val="000000"/>
        </w:rPr>
        <w:t xml:space="preserve">, tj. kada prihod i nivo aktivnosti u ovoj godini treturamo kao polazni osnov u analizi, što ćemo mi nadalje činiti, </w:t>
      </w:r>
      <w:r w:rsidR="00691032">
        <w:rPr>
          <w:rFonts w:cs="Cambria"/>
          <w:color w:val="000000"/>
        </w:rPr>
        <w:t>ispada da po ovom osnovu investitor godišnje plaća oko 240,000 eura</w:t>
      </w:r>
      <w:r w:rsidR="00F21310">
        <w:rPr>
          <w:rFonts w:cs="Cambria"/>
          <w:color w:val="000000"/>
        </w:rPr>
        <w:t xml:space="preserve"> u prvom periodu od 12 godina kada je, zbog podsticajnih cijena ukupni prihod veći, a docnije kada zbog pada cijena i prihod opadne plaća oko 140,000 eura</w:t>
      </w:r>
      <w:r w:rsidR="00691032">
        <w:rPr>
          <w:rFonts w:cs="Cambria"/>
          <w:color w:val="000000"/>
        </w:rPr>
        <w:t xml:space="preserve">; </w:t>
      </w:r>
    </w:p>
    <w:p w:rsidR="00691032" w:rsidRDefault="00C55D4D" w:rsidP="00272C10">
      <w:pPr>
        <w:pStyle w:val="ListParagraph"/>
        <w:numPr>
          <w:ilvl w:val="0"/>
          <w:numId w:val="6"/>
        </w:numPr>
        <w:autoSpaceDE w:val="0"/>
        <w:autoSpaceDN w:val="0"/>
        <w:adjustRightInd w:val="0"/>
        <w:spacing w:line="276" w:lineRule="auto"/>
        <w:jc w:val="both"/>
        <w:rPr>
          <w:rFonts w:cs="Cambria"/>
          <w:color w:val="000000"/>
        </w:rPr>
      </w:pPr>
      <w:r>
        <w:rPr>
          <w:rFonts w:cs="Cambria"/>
          <w:color w:val="000000"/>
        </w:rPr>
        <w:t>5% ukupnog prihoda bi bilo namijenjeno lokalnoj samoup</w:t>
      </w:r>
      <w:r w:rsidR="00691032">
        <w:rPr>
          <w:rFonts w:cs="Cambria"/>
          <w:color w:val="000000"/>
        </w:rPr>
        <w:t>ravi za potrebe infrastru</w:t>
      </w:r>
      <w:r w:rsidR="001D45D3">
        <w:rPr>
          <w:rFonts w:cs="Cambria"/>
          <w:color w:val="000000"/>
        </w:rPr>
        <w:t>k</w:t>
      </w:r>
      <w:r w:rsidR="00691032">
        <w:rPr>
          <w:rFonts w:cs="Cambria"/>
          <w:color w:val="000000"/>
        </w:rPr>
        <w:t xml:space="preserve">ture; Ispada da u tipičnoj godini investitor plaća oko 120,000 eura godišnje </w:t>
      </w:r>
      <w:r w:rsidR="00655A72">
        <w:rPr>
          <w:rFonts w:cs="Cambria"/>
          <w:color w:val="000000"/>
        </w:rPr>
        <w:t>po ovom osnovu</w:t>
      </w:r>
      <w:r w:rsidR="00F21310">
        <w:rPr>
          <w:rFonts w:cs="Cambria"/>
          <w:color w:val="000000"/>
        </w:rPr>
        <w:t xml:space="preserve"> u prvih dvanajest godina</w:t>
      </w:r>
      <w:r w:rsidR="00D838FF">
        <w:rPr>
          <w:rFonts w:cs="Cambria"/>
          <w:color w:val="000000"/>
        </w:rPr>
        <w:t>,</w:t>
      </w:r>
      <w:r w:rsidR="00F21310">
        <w:rPr>
          <w:rFonts w:cs="Cambria"/>
          <w:color w:val="000000"/>
        </w:rPr>
        <w:t xml:space="preserve"> odnosno nakon toga oko 70,000 eura</w:t>
      </w:r>
      <w:r w:rsidR="00655A72">
        <w:rPr>
          <w:rFonts w:cs="Cambria"/>
          <w:color w:val="000000"/>
        </w:rPr>
        <w:t xml:space="preserve">; </w:t>
      </w:r>
    </w:p>
    <w:p w:rsidR="00691032" w:rsidRPr="00691032" w:rsidRDefault="00593C19" w:rsidP="00272C10">
      <w:pPr>
        <w:pStyle w:val="ListParagraph"/>
        <w:numPr>
          <w:ilvl w:val="0"/>
          <w:numId w:val="6"/>
        </w:numPr>
        <w:autoSpaceDE w:val="0"/>
        <w:autoSpaceDN w:val="0"/>
        <w:adjustRightInd w:val="0"/>
        <w:spacing w:line="276" w:lineRule="auto"/>
        <w:jc w:val="both"/>
        <w:rPr>
          <w:rFonts w:cs="Cambria"/>
          <w:color w:val="000000"/>
        </w:rPr>
      </w:pPr>
      <w:r w:rsidRPr="00691032">
        <w:rPr>
          <w:rFonts w:cs="Cambria"/>
        </w:rPr>
        <w:t>Pored koncesije</w:t>
      </w:r>
      <w:r w:rsidR="00757F17" w:rsidRPr="00691032">
        <w:rPr>
          <w:rFonts w:cs="Cambria"/>
        </w:rPr>
        <w:t>, kada je riječ o specifičnim izdacima,</w:t>
      </w:r>
      <w:r w:rsidRPr="00691032">
        <w:rPr>
          <w:rFonts w:cs="Cambria"/>
        </w:rPr>
        <w:t xml:space="preserve"> investitor je dužan </w:t>
      </w:r>
      <w:r w:rsidR="00757F17" w:rsidRPr="00691032">
        <w:rPr>
          <w:rFonts w:cs="Cambria"/>
        </w:rPr>
        <w:t xml:space="preserve">da plaća i naknadu za vode. </w:t>
      </w:r>
      <w:r w:rsidR="00691032" w:rsidRPr="00691032">
        <w:rPr>
          <w:rFonts w:cs="Cambria"/>
        </w:rPr>
        <w:t>Predviđeno je da na svaki MWh investitor pla</w:t>
      </w:r>
      <w:r w:rsidR="001D45D3">
        <w:rPr>
          <w:rFonts w:cs="Cambria"/>
        </w:rPr>
        <w:t>ća</w:t>
      </w:r>
      <w:r w:rsidR="00691032" w:rsidRPr="00691032">
        <w:rPr>
          <w:rFonts w:cs="Cambria"/>
        </w:rPr>
        <w:t xml:space="preserve"> 32 eurska centa. Na godišnjem nivou to </w:t>
      </w:r>
      <w:r w:rsidR="00655A72">
        <w:rPr>
          <w:rFonts w:cs="Cambria"/>
        </w:rPr>
        <w:t xml:space="preserve">u tipičnoj godini </w:t>
      </w:r>
      <w:r w:rsidR="00691032" w:rsidRPr="00691032">
        <w:rPr>
          <w:rFonts w:cs="Cambria"/>
        </w:rPr>
        <w:t xml:space="preserve">iznosi </w:t>
      </w:r>
      <w:r w:rsidR="00691032">
        <w:rPr>
          <w:rFonts w:cs="Cambria"/>
        </w:rPr>
        <w:t>9,213</w:t>
      </w:r>
      <w:r w:rsidR="00F21310">
        <w:rPr>
          <w:rFonts w:cs="Cambria"/>
        </w:rPr>
        <w:t>, odnosno nakon 12 godina oko 5,400</w:t>
      </w:r>
      <w:r w:rsidR="00691032">
        <w:rPr>
          <w:rFonts w:cs="Cambria"/>
        </w:rPr>
        <w:t xml:space="preserve"> eura i zaista ne predstavlja iole ozbiljnu cifru. </w:t>
      </w:r>
    </w:p>
    <w:p w:rsidR="00691032" w:rsidRDefault="00691032" w:rsidP="00691032">
      <w:pPr>
        <w:autoSpaceDE w:val="0"/>
        <w:autoSpaceDN w:val="0"/>
        <w:adjustRightInd w:val="0"/>
        <w:spacing w:line="276" w:lineRule="auto"/>
        <w:jc w:val="both"/>
        <w:rPr>
          <w:rFonts w:cs="Cambria"/>
          <w:color w:val="000000"/>
        </w:rPr>
      </w:pPr>
      <w:r>
        <w:rPr>
          <w:rFonts w:cs="Cambria"/>
          <w:color w:val="000000"/>
        </w:rPr>
        <w:t xml:space="preserve">Sve u svemu </w:t>
      </w:r>
      <w:r w:rsidR="00DA59B5">
        <w:rPr>
          <w:rFonts w:cs="Cambria"/>
          <w:color w:val="000000"/>
        </w:rPr>
        <w:t xml:space="preserve">godišnja “cijena” koju investitor treba da plaća u narednih 25 godina za korišćenje prirodnih resursa bi trebala da iznosi oko </w:t>
      </w:r>
    </w:p>
    <w:p w:rsidR="00DA59B5" w:rsidRDefault="00DA59B5" w:rsidP="00DA59B5">
      <w:pPr>
        <w:autoSpaceDE w:val="0"/>
        <w:autoSpaceDN w:val="0"/>
        <w:adjustRightInd w:val="0"/>
        <w:spacing w:line="276" w:lineRule="auto"/>
        <w:jc w:val="center"/>
        <w:rPr>
          <w:rFonts w:cs="Cambria"/>
          <w:color w:val="000000"/>
        </w:rPr>
      </w:pPr>
      <w:r w:rsidRPr="00DA59B5">
        <w:rPr>
          <w:rFonts w:cs="Cambria"/>
          <w:b/>
          <w:color w:val="000000"/>
        </w:rPr>
        <w:t>370,000</w:t>
      </w:r>
      <w:r w:rsidR="00F21310">
        <w:rPr>
          <w:rFonts w:cs="Cambria"/>
          <w:color w:val="000000"/>
        </w:rPr>
        <w:t xml:space="preserve"> eura </w:t>
      </w:r>
    </w:p>
    <w:p w:rsidR="00F21310" w:rsidRDefault="00F21310" w:rsidP="00F21310">
      <w:pPr>
        <w:autoSpaceDE w:val="0"/>
        <w:autoSpaceDN w:val="0"/>
        <w:adjustRightInd w:val="0"/>
        <w:spacing w:line="276" w:lineRule="auto"/>
        <w:rPr>
          <w:rFonts w:cs="Cambria"/>
          <w:color w:val="000000"/>
        </w:rPr>
      </w:pPr>
      <w:r>
        <w:rPr>
          <w:rFonts w:cs="Cambria"/>
          <w:color w:val="000000"/>
        </w:rPr>
        <w:t>u</w:t>
      </w:r>
      <w:r w:rsidR="00014A00">
        <w:rPr>
          <w:rFonts w:cs="Cambria"/>
          <w:color w:val="000000"/>
        </w:rPr>
        <w:t xml:space="preserve"> prvih 12 godina poslovanja a na</w:t>
      </w:r>
      <w:r>
        <w:rPr>
          <w:rFonts w:cs="Cambria"/>
          <w:color w:val="000000"/>
        </w:rPr>
        <w:t xml:space="preserve">kon toga </w:t>
      </w:r>
      <w:r w:rsidR="00014A00">
        <w:rPr>
          <w:rFonts w:cs="Cambria"/>
          <w:color w:val="000000"/>
        </w:rPr>
        <w:t xml:space="preserve">u narednih 13 godina </w:t>
      </w:r>
      <w:r>
        <w:rPr>
          <w:rFonts w:cs="Cambria"/>
          <w:color w:val="000000"/>
        </w:rPr>
        <w:t xml:space="preserve">do kraja koncesuonog aranžmana </w:t>
      </w:r>
      <w:r w:rsidR="00014A00">
        <w:rPr>
          <w:rFonts w:cs="Cambria"/>
          <w:color w:val="000000"/>
        </w:rPr>
        <w:t xml:space="preserve">oko </w:t>
      </w:r>
    </w:p>
    <w:p w:rsidR="00014A00" w:rsidRDefault="00014A00" w:rsidP="00014A00">
      <w:pPr>
        <w:autoSpaceDE w:val="0"/>
        <w:autoSpaceDN w:val="0"/>
        <w:adjustRightInd w:val="0"/>
        <w:spacing w:line="276" w:lineRule="auto"/>
        <w:jc w:val="center"/>
        <w:rPr>
          <w:rFonts w:cs="Cambria"/>
          <w:color w:val="000000"/>
        </w:rPr>
      </w:pPr>
      <w:r w:rsidRPr="00014A00">
        <w:rPr>
          <w:rFonts w:cs="Cambria"/>
          <w:b/>
          <w:color w:val="000000"/>
        </w:rPr>
        <w:t xml:space="preserve">215,000 </w:t>
      </w:r>
      <w:r>
        <w:rPr>
          <w:rFonts w:cs="Cambria"/>
          <w:color w:val="000000"/>
        </w:rPr>
        <w:t xml:space="preserve">eura. </w:t>
      </w:r>
    </w:p>
    <w:p w:rsidR="0012201A" w:rsidRPr="00691032" w:rsidRDefault="0012201A" w:rsidP="0012201A">
      <w:pPr>
        <w:autoSpaceDE w:val="0"/>
        <w:autoSpaceDN w:val="0"/>
        <w:adjustRightInd w:val="0"/>
        <w:spacing w:line="276" w:lineRule="auto"/>
        <w:jc w:val="both"/>
        <w:rPr>
          <w:rFonts w:cs="Cambria"/>
          <w:color w:val="000000"/>
        </w:rPr>
      </w:pPr>
      <w:r>
        <w:rPr>
          <w:rFonts w:cs="Cambria"/>
          <w:color w:val="000000"/>
        </w:rPr>
        <w:t xml:space="preserve">Uskoro ćemo vidjeti da ova razlika proizilazi iz </w:t>
      </w:r>
      <w:r w:rsidR="00460818">
        <w:rPr>
          <w:rFonts w:cs="Cambria"/>
          <w:color w:val="000000"/>
        </w:rPr>
        <w:t xml:space="preserve">činjenice da je u ova dva perioda, zbog različitih cijena struje, i nivo ukupnog prihoda </w:t>
      </w:r>
      <w:r w:rsidR="00695DF2">
        <w:rPr>
          <w:rFonts w:cs="Cambria"/>
          <w:color w:val="000000"/>
        </w:rPr>
        <w:t>morao biti</w:t>
      </w:r>
      <w:r w:rsidR="00460818">
        <w:rPr>
          <w:rFonts w:cs="Cambria"/>
          <w:color w:val="000000"/>
        </w:rPr>
        <w:t xml:space="preserve"> različit. </w:t>
      </w:r>
    </w:p>
    <w:p w:rsidR="005414E0" w:rsidRDefault="00460818" w:rsidP="001D19FC">
      <w:pPr>
        <w:autoSpaceDE w:val="0"/>
        <w:autoSpaceDN w:val="0"/>
        <w:adjustRightInd w:val="0"/>
        <w:spacing w:line="276" w:lineRule="auto"/>
        <w:jc w:val="both"/>
        <w:rPr>
          <w:rFonts w:cs="Cambria"/>
          <w:color w:val="000000"/>
        </w:rPr>
      </w:pPr>
      <w:r w:rsidRPr="008010FA">
        <w:rPr>
          <w:rFonts w:cs="Cambria"/>
          <w:b/>
          <w:color w:val="000000"/>
        </w:rPr>
        <w:t>4</w:t>
      </w:r>
      <w:r w:rsidR="00C8520A" w:rsidRPr="008010FA">
        <w:rPr>
          <w:rFonts w:cs="Cambria"/>
          <w:b/>
          <w:color w:val="000000"/>
        </w:rPr>
        <w:t>.</w:t>
      </w:r>
      <w:r w:rsidR="005414E0">
        <w:rPr>
          <w:rFonts w:cs="Cambria"/>
          <w:color w:val="000000"/>
        </w:rPr>
        <w:t xml:space="preserve">Kada je o </w:t>
      </w:r>
      <w:r w:rsidR="00950252">
        <w:rPr>
          <w:rFonts w:cs="Cambria"/>
          <w:color w:val="000000"/>
        </w:rPr>
        <w:t>stra</w:t>
      </w:r>
      <w:r w:rsidR="005414E0">
        <w:rPr>
          <w:rFonts w:cs="Cambria"/>
          <w:color w:val="000000"/>
        </w:rPr>
        <w:t>n</w:t>
      </w:r>
      <w:r w:rsidR="00950252">
        <w:rPr>
          <w:rFonts w:cs="Cambria"/>
          <w:color w:val="000000"/>
        </w:rPr>
        <w:t>i</w:t>
      </w:r>
      <w:r w:rsidR="005414E0">
        <w:rPr>
          <w:rFonts w:cs="Cambria"/>
          <w:color w:val="000000"/>
        </w:rPr>
        <w:t xml:space="preserve"> samih </w:t>
      </w:r>
      <w:r w:rsidR="005414E0" w:rsidRPr="00231383">
        <w:rPr>
          <w:rFonts w:cs="Cambria"/>
          <w:b/>
          <w:color w:val="000000"/>
        </w:rPr>
        <w:t xml:space="preserve">podsticaja </w:t>
      </w:r>
      <w:r w:rsidR="005414E0">
        <w:rPr>
          <w:rFonts w:cs="Cambria"/>
          <w:color w:val="000000"/>
        </w:rPr>
        <w:t xml:space="preserve">riječ oni </w:t>
      </w:r>
      <w:r w:rsidR="00950252">
        <w:rPr>
          <w:rFonts w:cs="Cambria"/>
          <w:color w:val="000000"/>
        </w:rPr>
        <w:t xml:space="preserve">su definisani </w:t>
      </w:r>
      <w:r w:rsidR="00950252" w:rsidRPr="002B6765">
        <w:rPr>
          <w:rFonts w:cs="Cambria"/>
          <w:i/>
          <w:color w:val="000000"/>
        </w:rPr>
        <w:t>Zakonom o energetici</w:t>
      </w:r>
      <w:r w:rsidR="008643CA">
        <w:rPr>
          <w:rFonts w:cs="Cambria"/>
          <w:color w:val="000000"/>
        </w:rPr>
        <w:t xml:space="preserve">(2015) </w:t>
      </w:r>
      <w:r w:rsidR="00950252">
        <w:rPr>
          <w:rFonts w:cs="Cambria"/>
          <w:color w:val="000000"/>
        </w:rPr>
        <w:t>i</w:t>
      </w:r>
      <w:r w:rsidR="005414E0">
        <w:rPr>
          <w:rFonts w:cs="Cambria"/>
          <w:color w:val="000000"/>
        </w:rPr>
        <w:t xml:space="preserve"> sastoje </w:t>
      </w:r>
      <w:r w:rsidR="00950252">
        <w:rPr>
          <w:rFonts w:cs="Cambria"/>
          <w:color w:val="000000"/>
        </w:rPr>
        <w:t xml:space="preserve">se </w:t>
      </w:r>
      <w:r w:rsidR="00463EDC">
        <w:rPr>
          <w:rFonts w:cs="Cambria"/>
          <w:color w:val="000000"/>
        </w:rPr>
        <w:t xml:space="preserve">od sledećih važnih elemenata: </w:t>
      </w:r>
    </w:p>
    <w:p w:rsidR="001B5379" w:rsidRDefault="001B5379" w:rsidP="00272C10">
      <w:pPr>
        <w:pStyle w:val="ListParagraph"/>
        <w:numPr>
          <w:ilvl w:val="0"/>
          <w:numId w:val="6"/>
        </w:numPr>
        <w:autoSpaceDE w:val="0"/>
        <w:autoSpaceDN w:val="0"/>
        <w:adjustRightInd w:val="0"/>
        <w:spacing w:line="276" w:lineRule="auto"/>
        <w:jc w:val="both"/>
        <w:rPr>
          <w:rFonts w:cs="Cambria"/>
          <w:color w:val="000000"/>
        </w:rPr>
      </w:pPr>
      <w:r>
        <w:rPr>
          <w:rFonts w:cs="Cambria"/>
          <w:color w:val="000000"/>
        </w:rPr>
        <w:lastRenderedPageBreak/>
        <w:t xml:space="preserve">Garantovan je otkup električne energije proizvedene u mHE; </w:t>
      </w:r>
    </w:p>
    <w:p w:rsidR="00950252" w:rsidRPr="00950252" w:rsidRDefault="00950252" w:rsidP="00272C10">
      <w:pPr>
        <w:pStyle w:val="ListParagraph"/>
        <w:numPr>
          <w:ilvl w:val="0"/>
          <w:numId w:val="6"/>
        </w:numPr>
        <w:autoSpaceDE w:val="0"/>
        <w:autoSpaceDN w:val="0"/>
        <w:adjustRightInd w:val="0"/>
        <w:spacing w:line="276" w:lineRule="auto"/>
        <w:jc w:val="both"/>
        <w:rPr>
          <w:rFonts w:cs="Cambria"/>
          <w:color w:val="000000"/>
        </w:rPr>
      </w:pPr>
      <w:r>
        <w:rPr>
          <w:rFonts w:cs="Cambria"/>
          <w:color w:val="000000"/>
        </w:rPr>
        <w:t xml:space="preserve">Pri preuzimanju električne energije u sistem energija iz mHE ima prvenstvo; </w:t>
      </w:r>
    </w:p>
    <w:p w:rsidR="00463EDC" w:rsidRDefault="00695DF2" w:rsidP="00272C10">
      <w:pPr>
        <w:pStyle w:val="ListParagraph"/>
        <w:numPr>
          <w:ilvl w:val="0"/>
          <w:numId w:val="6"/>
        </w:numPr>
        <w:autoSpaceDE w:val="0"/>
        <w:autoSpaceDN w:val="0"/>
        <w:adjustRightInd w:val="0"/>
        <w:spacing w:line="276" w:lineRule="auto"/>
        <w:jc w:val="both"/>
        <w:rPr>
          <w:rFonts w:cs="Cambria"/>
          <w:color w:val="000000"/>
        </w:rPr>
      </w:pPr>
      <w:r>
        <w:rPr>
          <w:rFonts w:cs="Cambria"/>
          <w:color w:val="000000"/>
        </w:rPr>
        <w:t>Gar</w:t>
      </w:r>
      <w:r w:rsidR="001D45D3">
        <w:rPr>
          <w:rFonts w:cs="Cambria"/>
          <w:color w:val="000000"/>
        </w:rPr>
        <w:t>a</w:t>
      </w:r>
      <w:r>
        <w:rPr>
          <w:rFonts w:cs="Cambria"/>
          <w:color w:val="000000"/>
        </w:rPr>
        <w:t>ntuje se</w:t>
      </w:r>
      <w:r w:rsidR="001B5379">
        <w:rPr>
          <w:rFonts w:cs="Cambria"/>
          <w:color w:val="000000"/>
        </w:rPr>
        <w:t xml:space="preserve"> podsticajna cijena za otkup</w:t>
      </w:r>
      <w:r w:rsidR="00463EDC">
        <w:rPr>
          <w:rFonts w:cs="Cambria"/>
          <w:color w:val="000000"/>
        </w:rPr>
        <w:t xml:space="preserve"> električne energije proizvedene iz mHE (od 1kW do 10 kW instal</w:t>
      </w:r>
      <w:r w:rsidR="00AD609D">
        <w:rPr>
          <w:rFonts w:cs="Cambria"/>
          <w:color w:val="000000"/>
        </w:rPr>
        <w:t>i</w:t>
      </w:r>
      <w:r w:rsidR="00463EDC">
        <w:rPr>
          <w:rFonts w:cs="Cambria"/>
          <w:color w:val="000000"/>
        </w:rPr>
        <w:t>ranog kapaciteta)</w:t>
      </w:r>
      <w:r w:rsidR="001B5379">
        <w:rPr>
          <w:rFonts w:cs="Cambria"/>
          <w:color w:val="000000"/>
        </w:rPr>
        <w:t xml:space="preserve"> koja u sebi sadrži premiju</w:t>
      </w:r>
      <w:r w:rsidR="00463EDC">
        <w:rPr>
          <w:rFonts w:cs="Cambria"/>
          <w:color w:val="000000"/>
        </w:rPr>
        <w:t xml:space="preserve">; </w:t>
      </w:r>
    </w:p>
    <w:p w:rsidR="00463EDC" w:rsidRDefault="009F1F9C" w:rsidP="00272C10">
      <w:pPr>
        <w:pStyle w:val="ListParagraph"/>
        <w:numPr>
          <w:ilvl w:val="0"/>
          <w:numId w:val="6"/>
        </w:numPr>
        <w:autoSpaceDE w:val="0"/>
        <w:autoSpaceDN w:val="0"/>
        <w:adjustRightInd w:val="0"/>
        <w:spacing w:line="276" w:lineRule="auto"/>
        <w:jc w:val="both"/>
        <w:rPr>
          <w:rFonts w:cs="Cambria"/>
          <w:color w:val="000000"/>
        </w:rPr>
      </w:pPr>
      <w:r>
        <w:rPr>
          <w:rFonts w:cs="Cambria"/>
          <w:color w:val="000000"/>
        </w:rPr>
        <w:t>Period važenja pot</w:t>
      </w:r>
      <w:r w:rsidR="00950252">
        <w:rPr>
          <w:rFonts w:cs="Cambria"/>
          <w:color w:val="000000"/>
        </w:rPr>
        <w:t xml:space="preserve">icaja je 12 godina; </w:t>
      </w:r>
    </w:p>
    <w:p w:rsidR="00950252" w:rsidRDefault="00950252" w:rsidP="00272C10">
      <w:pPr>
        <w:pStyle w:val="ListParagraph"/>
        <w:numPr>
          <w:ilvl w:val="0"/>
          <w:numId w:val="6"/>
        </w:numPr>
        <w:autoSpaceDE w:val="0"/>
        <w:autoSpaceDN w:val="0"/>
        <w:adjustRightInd w:val="0"/>
        <w:spacing w:line="276" w:lineRule="auto"/>
        <w:jc w:val="both"/>
        <w:rPr>
          <w:rFonts w:cs="Cambria"/>
          <w:color w:val="000000"/>
        </w:rPr>
      </w:pPr>
      <w:r>
        <w:rPr>
          <w:rFonts w:cs="Cambria"/>
          <w:color w:val="000000"/>
        </w:rPr>
        <w:t>Potrošači plaćaju naknadu za podsticanje proizvodnje iz obnovljivih izvora i z</w:t>
      </w:r>
      <w:r w:rsidR="00D357E7">
        <w:rPr>
          <w:rFonts w:cs="Cambria"/>
          <w:color w:val="000000"/>
        </w:rPr>
        <w:t>a energiju visoke kogeneracije; Pomenimo da ova naknada, iako nije toliko bitna za naše projekcije, služi kao izvor sredstava za plaćanje naprijed pomenute poticajne cijene</w:t>
      </w:r>
      <w:r w:rsidR="00376AA3">
        <w:rPr>
          <w:rFonts w:cs="Cambria"/>
          <w:color w:val="000000"/>
        </w:rPr>
        <w:t xml:space="preserve"> (</w:t>
      </w:r>
      <w:r w:rsidR="00376AA3" w:rsidRPr="002B6765">
        <w:rPr>
          <w:rFonts w:cs="Arial"/>
          <w:i/>
        </w:rPr>
        <w:t xml:space="preserve">Uredba o naknadi za podsticanje proizvodnje električne energije iz obnovljivih izvora i visokoefikasne kogeneracije </w:t>
      </w:r>
      <w:r w:rsidR="00376AA3">
        <w:rPr>
          <w:rFonts w:cs="Arial"/>
        </w:rPr>
        <w:t>(2016, 2017))</w:t>
      </w:r>
      <w:r w:rsidR="00D357E7">
        <w:rPr>
          <w:rFonts w:cs="Cambria"/>
          <w:color w:val="000000"/>
        </w:rPr>
        <w:t xml:space="preserve">; </w:t>
      </w:r>
    </w:p>
    <w:p w:rsidR="00D357E7" w:rsidRDefault="00044147" w:rsidP="00272C10">
      <w:pPr>
        <w:pStyle w:val="ListParagraph"/>
        <w:numPr>
          <w:ilvl w:val="0"/>
          <w:numId w:val="6"/>
        </w:numPr>
        <w:autoSpaceDE w:val="0"/>
        <w:autoSpaceDN w:val="0"/>
        <w:adjustRightInd w:val="0"/>
        <w:spacing w:line="276" w:lineRule="auto"/>
        <w:jc w:val="both"/>
        <w:rPr>
          <w:rFonts w:cs="Cambria"/>
          <w:color w:val="000000"/>
        </w:rPr>
      </w:pPr>
      <w:r>
        <w:rPr>
          <w:rFonts w:cs="Cambria"/>
          <w:color w:val="000000"/>
        </w:rPr>
        <w:t>Konačno</w:t>
      </w:r>
      <w:r w:rsidR="00D357E7">
        <w:rPr>
          <w:rFonts w:cs="Cambria"/>
          <w:color w:val="000000"/>
        </w:rPr>
        <w:t xml:space="preserve">, </w:t>
      </w:r>
      <w:r w:rsidR="00A30B8B">
        <w:rPr>
          <w:rFonts w:cs="Cambria"/>
          <w:color w:val="000000"/>
        </w:rPr>
        <w:t xml:space="preserve">mHE su oslobođene od plaćanja usluga balansiranja Sistema, što takođe nije bitno za metodologiju koju ćemo u analizi primijeniti mi. </w:t>
      </w:r>
    </w:p>
    <w:p w:rsidR="005414E0" w:rsidRPr="00A30B8B" w:rsidRDefault="005414E0" w:rsidP="001D19FC">
      <w:pPr>
        <w:autoSpaceDE w:val="0"/>
        <w:autoSpaceDN w:val="0"/>
        <w:adjustRightInd w:val="0"/>
        <w:spacing w:line="276" w:lineRule="auto"/>
        <w:jc w:val="both"/>
        <w:rPr>
          <w:rFonts w:cs="Cambria"/>
        </w:rPr>
      </w:pPr>
      <w:r w:rsidRPr="00A30B8B">
        <w:rPr>
          <w:rFonts w:cs="Cambria"/>
        </w:rPr>
        <w:t>K</w:t>
      </w:r>
      <w:r w:rsidR="00A30B8B">
        <w:rPr>
          <w:rFonts w:cs="Cambria"/>
        </w:rPr>
        <w:t>ada je riječ o</w:t>
      </w:r>
      <w:r w:rsidR="00A30B8B" w:rsidRPr="00460818">
        <w:rPr>
          <w:rFonts w:cs="Cambria"/>
          <w:b/>
        </w:rPr>
        <w:t>utvrđivanju</w:t>
      </w:r>
      <w:r w:rsidRPr="00460818">
        <w:rPr>
          <w:rFonts w:cs="Cambria"/>
          <w:b/>
        </w:rPr>
        <w:t xml:space="preserve"> same podsticajne cijene</w:t>
      </w:r>
      <w:r w:rsidR="00DB2879">
        <w:rPr>
          <w:rFonts w:cs="Cambria"/>
        </w:rPr>
        <w:t xml:space="preserve">treba reći da je ovaj sistem </w:t>
      </w:r>
      <w:r w:rsidR="002B6765">
        <w:rPr>
          <w:rFonts w:cs="Cambria"/>
        </w:rPr>
        <w:t>mijenjan od 2011</w:t>
      </w:r>
      <w:r w:rsidR="00AD609D">
        <w:rPr>
          <w:rFonts w:cs="Cambria"/>
        </w:rPr>
        <w:t>.</w:t>
      </w:r>
      <w:r w:rsidR="00DB2879">
        <w:rPr>
          <w:rFonts w:cs="Cambria"/>
        </w:rPr>
        <w:t>do da</w:t>
      </w:r>
      <w:r w:rsidR="00E85017">
        <w:rPr>
          <w:rFonts w:cs="Cambria"/>
        </w:rPr>
        <w:t xml:space="preserve">nas </w:t>
      </w:r>
      <w:r w:rsidR="002B6765">
        <w:rPr>
          <w:rFonts w:cs="Cambria"/>
        </w:rPr>
        <w:t xml:space="preserve">nekoliko puta, </w:t>
      </w:r>
      <w:r w:rsidR="00E85017">
        <w:rPr>
          <w:rFonts w:cs="Cambria"/>
        </w:rPr>
        <w:t>te da je danas na snazi rješ</w:t>
      </w:r>
      <w:r w:rsidR="00DB2879">
        <w:rPr>
          <w:rFonts w:cs="Cambria"/>
        </w:rPr>
        <w:t>enje iz 2015</w:t>
      </w:r>
      <w:r w:rsidR="00AD609D">
        <w:rPr>
          <w:rFonts w:cs="Cambria"/>
        </w:rPr>
        <w:t>.</w:t>
      </w:r>
      <w:r w:rsidR="00DB2879">
        <w:rPr>
          <w:rFonts w:cs="Cambria"/>
        </w:rPr>
        <w:t>godine</w:t>
      </w:r>
      <w:r w:rsidR="002B6765">
        <w:rPr>
          <w:rFonts w:cs="Cambria"/>
        </w:rPr>
        <w:t xml:space="preserve"> (</w:t>
      </w:r>
      <w:r w:rsidR="002B6765" w:rsidRPr="00784439">
        <w:rPr>
          <w:rFonts w:cs="Arial"/>
          <w:bCs/>
          <w:i/>
          <w:color w:val="000000"/>
        </w:rPr>
        <w:t xml:space="preserve">Uredba o tarifnom sistemu za utvrđivanje podsticajne cijene električne energije i visoko efikasne kogeneracije </w:t>
      </w:r>
      <w:r w:rsidR="002B6765">
        <w:rPr>
          <w:rFonts w:cs="Arial"/>
          <w:bCs/>
          <w:color w:val="000000"/>
        </w:rPr>
        <w:t>(2011.</w:t>
      </w:r>
      <w:r w:rsidR="00AD609D">
        <w:rPr>
          <w:rFonts w:cs="Arial"/>
          <w:bCs/>
          <w:color w:val="000000"/>
        </w:rPr>
        <w:t>,</w:t>
      </w:r>
      <w:r w:rsidR="002B6765">
        <w:rPr>
          <w:rFonts w:cs="Arial"/>
          <w:bCs/>
          <w:color w:val="000000"/>
        </w:rPr>
        <w:t xml:space="preserve"> 2014</w:t>
      </w:r>
      <w:r w:rsidR="00AD609D">
        <w:rPr>
          <w:rFonts w:cs="Arial"/>
          <w:bCs/>
          <w:color w:val="000000"/>
        </w:rPr>
        <w:t>.</w:t>
      </w:r>
      <w:r w:rsidR="002B6765">
        <w:rPr>
          <w:rFonts w:cs="Arial"/>
          <w:bCs/>
          <w:color w:val="000000"/>
        </w:rPr>
        <w:t>, 2015</w:t>
      </w:r>
      <w:r w:rsidR="00AD609D">
        <w:rPr>
          <w:rFonts w:cs="Arial"/>
          <w:bCs/>
          <w:color w:val="000000"/>
        </w:rPr>
        <w:t>.</w:t>
      </w:r>
      <w:r w:rsidR="002B6765">
        <w:rPr>
          <w:rFonts w:cs="Arial"/>
          <w:bCs/>
          <w:color w:val="000000"/>
        </w:rPr>
        <w:t>))</w:t>
      </w:r>
      <w:r w:rsidR="00DB2879">
        <w:rPr>
          <w:rFonts w:cs="Cambria"/>
        </w:rPr>
        <w:t xml:space="preserve">. Cijene utvrđene na bazi ovog </w:t>
      </w:r>
      <w:r w:rsidR="00E85017">
        <w:rPr>
          <w:rFonts w:cs="Cambria"/>
        </w:rPr>
        <w:t xml:space="preserve">zakonskog rješenja se moraju primijeniti u slučaju dvije razmatrane mHE zato što </w:t>
      </w:r>
      <w:r w:rsidR="00F321F3">
        <w:rPr>
          <w:rFonts w:cs="Cambria"/>
        </w:rPr>
        <w:t>je mHE Jara stekla status povlašćenog proizvođača 24.11. 2016. (ugovor o otkupu je potpisan 28.11.2016</w:t>
      </w:r>
      <w:r w:rsidR="00AD609D">
        <w:rPr>
          <w:rFonts w:cs="Cambria"/>
        </w:rPr>
        <w:t>.</w:t>
      </w:r>
      <w:r w:rsidR="00F321F3">
        <w:rPr>
          <w:rFonts w:cs="Cambria"/>
        </w:rPr>
        <w:t>), dok je mHE Babino Polje taj status stekla 3.11.2017</w:t>
      </w:r>
      <w:r w:rsidR="00AD609D">
        <w:rPr>
          <w:rFonts w:cs="Cambria"/>
        </w:rPr>
        <w:t>.</w:t>
      </w:r>
      <w:r w:rsidR="00F321F3">
        <w:rPr>
          <w:rFonts w:cs="Cambria"/>
        </w:rPr>
        <w:t xml:space="preserve"> (ugovor o otkupu je potpisan 10.11.2017</w:t>
      </w:r>
      <w:r w:rsidR="00AD609D">
        <w:rPr>
          <w:rFonts w:cs="Cambria"/>
        </w:rPr>
        <w:t>.</w:t>
      </w:r>
      <w:r w:rsidR="00F321F3">
        <w:rPr>
          <w:rFonts w:cs="Cambria"/>
        </w:rPr>
        <w:t xml:space="preserve">). </w:t>
      </w:r>
      <w:r w:rsidR="002B6765">
        <w:rPr>
          <w:rFonts w:cs="Cambria"/>
        </w:rPr>
        <w:t>Ovako utvrđena cijena će važiti za cijelo ugovorom predviđeno vrijeme (12 godina) baš kao što stara rešenja iz 2001</w:t>
      </w:r>
      <w:r w:rsidR="0007714D">
        <w:rPr>
          <w:rFonts w:cs="Cambria"/>
        </w:rPr>
        <w:t>.</w:t>
      </w:r>
      <w:r w:rsidR="002B6765">
        <w:rPr>
          <w:rFonts w:cs="Cambria"/>
        </w:rPr>
        <w:t>i 2014</w:t>
      </w:r>
      <w:r w:rsidR="0007714D">
        <w:rPr>
          <w:rFonts w:cs="Cambria"/>
        </w:rPr>
        <w:t>.</w:t>
      </w:r>
      <w:r w:rsidR="002B6765">
        <w:rPr>
          <w:rFonts w:cs="Cambria"/>
        </w:rPr>
        <w:t xml:space="preserve">važe za investiture koji su prije tog perioda stekli status povlašćenog proizvođača. </w:t>
      </w:r>
    </w:p>
    <w:p w:rsidR="009535A9" w:rsidRDefault="002B6765" w:rsidP="001D19FC">
      <w:pPr>
        <w:autoSpaceDE w:val="0"/>
        <w:autoSpaceDN w:val="0"/>
        <w:adjustRightInd w:val="0"/>
        <w:spacing w:line="276" w:lineRule="auto"/>
        <w:jc w:val="both"/>
        <w:rPr>
          <w:rFonts w:cs="Cambria"/>
          <w:color w:val="000000"/>
        </w:rPr>
      </w:pPr>
      <w:r>
        <w:rPr>
          <w:rFonts w:cs="Cambria"/>
          <w:color w:val="000000"/>
        </w:rPr>
        <w:t>U konkretnom slučaju cijen</w:t>
      </w:r>
      <w:r w:rsidR="003B01D7">
        <w:rPr>
          <w:rFonts w:cs="Cambria"/>
          <w:color w:val="000000"/>
        </w:rPr>
        <w:t>e se utvrđuju na sledeći način. Polazeći od snage na pragu elektrane (Pe) i kategorije mHE, koja opet takođe zavisi od instalirane snage (Član 5</w:t>
      </w:r>
      <w:r w:rsidR="0007714D">
        <w:rPr>
          <w:rFonts w:cs="Cambria"/>
          <w:color w:val="000000"/>
        </w:rPr>
        <w:t>.</w:t>
      </w:r>
      <w:r w:rsidR="003B01D7">
        <w:rPr>
          <w:rFonts w:cs="Cambria"/>
          <w:color w:val="000000"/>
        </w:rPr>
        <w:t xml:space="preserve"> citirane Uredbe o tarifama), tarifa se </w:t>
      </w:r>
      <w:r w:rsidR="00883A9E">
        <w:rPr>
          <w:rFonts w:cs="Cambria"/>
          <w:color w:val="000000"/>
        </w:rPr>
        <w:t xml:space="preserve">računa polazeći od podataka i formula datih u sledećoj tabeli. </w:t>
      </w:r>
    </w:p>
    <w:p w:rsidR="00DB2879" w:rsidRDefault="003B01D7" w:rsidP="003B01D7">
      <w:pPr>
        <w:autoSpaceDE w:val="0"/>
        <w:autoSpaceDN w:val="0"/>
        <w:adjustRightInd w:val="0"/>
        <w:spacing w:line="276" w:lineRule="auto"/>
        <w:jc w:val="center"/>
        <w:rPr>
          <w:rFonts w:cs="Cambria"/>
          <w:color w:val="000000"/>
        </w:rPr>
      </w:pPr>
      <w:r w:rsidRPr="003B01D7">
        <w:rPr>
          <w:noProof/>
        </w:rPr>
        <w:drawing>
          <wp:inline distT="0" distB="0" distL="0" distR="0">
            <wp:extent cx="4276090" cy="13074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6090" cy="1307465"/>
                    </a:xfrm>
                    <a:prstGeom prst="rect">
                      <a:avLst/>
                    </a:prstGeom>
                    <a:noFill/>
                    <a:ln>
                      <a:noFill/>
                    </a:ln>
                  </pic:spPr>
                </pic:pic>
              </a:graphicData>
            </a:graphic>
          </wp:inline>
        </w:drawing>
      </w:r>
    </w:p>
    <w:p w:rsidR="00883A9E" w:rsidRDefault="00883A9E" w:rsidP="00883A9E">
      <w:pPr>
        <w:autoSpaceDE w:val="0"/>
        <w:autoSpaceDN w:val="0"/>
        <w:adjustRightInd w:val="0"/>
        <w:spacing w:line="276" w:lineRule="auto"/>
        <w:jc w:val="both"/>
        <w:rPr>
          <w:rFonts w:cs="Cambria"/>
          <w:color w:val="000000"/>
        </w:rPr>
      </w:pPr>
      <w:r>
        <w:rPr>
          <w:rFonts w:cs="Cambria"/>
          <w:color w:val="000000"/>
        </w:rPr>
        <w:t xml:space="preserve">Kao što vidimo, i zbog razloga kategorizacije mHE a i zbog samih formula od kojih se polazi kod računanja cijene, podsticajna cijena je utoliko veća ukuoliko je elektrana manja. </w:t>
      </w:r>
      <w:r w:rsidR="001A1E40">
        <w:rPr>
          <w:rFonts w:cs="Cambria"/>
          <w:color w:val="000000"/>
        </w:rPr>
        <w:t>Očigledno, mHE Jara spad</w:t>
      </w:r>
      <w:r w:rsidR="0007714D">
        <w:rPr>
          <w:rFonts w:cs="Cambria"/>
          <w:color w:val="000000"/>
        </w:rPr>
        <w:t>a</w:t>
      </w:r>
      <w:r w:rsidR="001A1E40">
        <w:rPr>
          <w:rFonts w:cs="Cambria"/>
          <w:color w:val="000000"/>
        </w:rPr>
        <w:t xml:space="preserve"> u kategoriju III, dok mHE Babino Polje spade u kategoriju II koja ima još povoljniju podsticajnu cijenu. </w:t>
      </w:r>
    </w:p>
    <w:p w:rsidR="00561B65" w:rsidRDefault="00883A9E" w:rsidP="00883A9E">
      <w:pPr>
        <w:autoSpaceDE w:val="0"/>
        <w:autoSpaceDN w:val="0"/>
        <w:adjustRightInd w:val="0"/>
        <w:spacing w:line="276" w:lineRule="auto"/>
        <w:jc w:val="both"/>
        <w:rPr>
          <w:rFonts w:cs="Cambria"/>
          <w:color w:val="000000"/>
        </w:rPr>
      </w:pPr>
      <w:r>
        <w:rPr>
          <w:rFonts w:cs="Cambria"/>
          <w:color w:val="000000"/>
        </w:rPr>
        <w:t xml:space="preserve">Polazeći od formula datih u poslednjoj koloni </w:t>
      </w:r>
      <w:r w:rsidR="001A1E40">
        <w:rPr>
          <w:rFonts w:cs="Cambria"/>
          <w:color w:val="000000"/>
        </w:rPr>
        <w:t>lako je izračunati cijenu u euro centim</w:t>
      </w:r>
      <w:r w:rsidR="0007714D">
        <w:rPr>
          <w:rFonts w:cs="Cambria"/>
          <w:color w:val="000000"/>
        </w:rPr>
        <w:t>a</w:t>
      </w:r>
      <w:r w:rsidR="001A1E40">
        <w:rPr>
          <w:rFonts w:cs="Cambria"/>
          <w:color w:val="000000"/>
        </w:rPr>
        <w:t xml:space="preserve"> po kWh za obe mHE. U našem slučaju te cijene su </w:t>
      </w:r>
      <w:r w:rsidR="00EC71FB">
        <w:rPr>
          <w:rFonts w:cs="Cambria"/>
          <w:color w:val="000000"/>
        </w:rPr>
        <w:t xml:space="preserve">sledeće: </w:t>
      </w:r>
    </w:p>
    <w:p w:rsidR="00EC71FB" w:rsidRDefault="00EC71FB" w:rsidP="00EC71FB">
      <w:pPr>
        <w:autoSpaceDE w:val="0"/>
        <w:autoSpaceDN w:val="0"/>
        <w:adjustRightInd w:val="0"/>
        <w:spacing w:line="276" w:lineRule="auto"/>
        <w:jc w:val="center"/>
        <w:rPr>
          <w:rFonts w:cs="Cambria"/>
          <w:color w:val="000000"/>
        </w:rPr>
      </w:pPr>
      <w:r w:rsidRPr="00EC71FB">
        <w:rPr>
          <w:noProof/>
        </w:rPr>
        <w:drawing>
          <wp:inline distT="0" distB="0" distL="0" distR="0">
            <wp:extent cx="3020060" cy="334645"/>
            <wp:effectExtent l="0" t="0" r="889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0060" cy="334645"/>
                    </a:xfrm>
                    <a:prstGeom prst="rect">
                      <a:avLst/>
                    </a:prstGeom>
                    <a:noFill/>
                    <a:ln>
                      <a:noFill/>
                    </a:ln>
                  </pic:spPr>
                </pic:pic>
              </a:graphicData>
            </a:graphic>
          </wp:inline>
        </w:drawing>
      </w:r>
    </w:p>
    <w:p w:rsidR="00561B65" w:rsidRDefault="00EC71FB" w:rsidP="00896F7F">
      <w:pPr>
        <w:autoSpaceDE w:val="0"/>
        <w:autoSpaceDN w:val="0"/>
        <w:adjustRightInd w:val="0"/>
        <w:spacing w:line="276" w:lineRule="auto"/>
        <w:jc w:val="both"/>
        <w:rPr>
          <w:rFonts w:cs="Cambria"/>
          <w:color w:val="000000"/>
        </w:rPr>
      </w:pPr>
      <w:r>
        <w:rPr>
          <w:rFonts w:cs="Cambria"/>
          <w:color w:val="000000"/>
        </w:rPr>
        <w:lastRenderedPageBreak/>
        <w:t>Obratimo pažnju, međutim, na činjenicu da je Uredba koju koristimo za ova</w:t>
      </w:r>
      <w:r w:rsidR="0056175C">
        <w:rPr>
          <w:rFonts w:cs="Cambria"/>
          <w:color w:val="000000"/>
        </w:rPr>
        <w:t>j obračun donijeta decembra 2015</w:t>
      </w:r>
      <w:r w:rsidR="0007714D">
        <w:rPr>
          <w:rFonts w:cs="Cambria"/>
          <w:color w:val="000000"/>
        </w:rPr>
        <w:t>.</w:t>
      </w:r>
      <w:r>
        <w:rPr>
          <w:rFonts w:cs="Cambria"/>
          <w:color w:val="000000"/>
        </w:rPr>
        <w:t xml:space="preserve">, te da, konsekventno, gore date podsticajne cijene predstavljaju cijene iz decembra 2015. Ista ova Uredba, međutim, predviđa da se ovako izračunate cijene moraju korigovati za inflaciju kako se ona mjeri od strane Monstata. </w:t>
      </w:r>
      <w:r w:rsidR="00896F7F">
        <w:rPr>
          <w:rFonts w:cs="Cambria"/>
          <w:color w:val="000000"/>
        </w:rPr>
        <w:t>U posmatranom period</w:t>
      </w:r>
      <w:r w:rsidR="00B7559F">
        <w:rPr>
          <w:rFonts w:cs="Cambria"/>
          <w:color w:val="000000"/>
        </w:rPr>
        <w:t>u</w:t>
      </w:r>
      <w:r w:rsidR="00896F7F">
        <w:rPr>
          <w:rFonts w:cs="Cambria"/>
          <w:color w:val="000000"/>
        </w:rPr>
        <w:t>, od decembra 2015</w:t>
      </w:r>
      <w:r w:rsidR="0007714D">
        <w:rPr>
          <w:rFonts w:cs="Cambria"/>
          <w:color w:val="000000"/>
        </w:rPr>
        <w:t>.</w:t>
      </w:r>
      <w:r w:rsidR="00896F7F">
        <w:rPr>
          <w:rFonts w:cs="Cambria"/>
          <w:color w:val="000000"/>
        </w:rPr>
        <w:t>do decembra 2018</w:t>
      </w:r>
      <w:r w:rsidR="0007714D">
        <w:rPr>
          <w:rFonts w:cs="Cambria"/>
          <w:color w:val="000000"/>
        </w:rPr>
        <w:t>.</w:t>
      </w:r>
      <w:r w:rsidR="00896F7F">
        <w:rPr>
          <w:rFonts w:cs="Cambria"/>
          <w:color w:val="000000"/>
        </w:rPr>
        <w:t xml:space="preserve">, godišnja stopa rasta potrošačkih cijena je imala sledeću dinamiku: </w:t>
      </w:r>
    </w:p>
    <w:p w:rsidR="00896F7F" w:rsidRDefault="00783169" w:rsidP="00783169">
      <w:pPr>
        <w:autoSpaceDE w:val="0"/>
        <w:autoSpaceDN w:val="0"/>
        <w:adjustRightInd w:val="0"/>
        <w:spacing w:line="276" w:lineRule="auto"/>
        <w:jc w:val="center"/>
        <w:rPr>
          <w:rFonts w:cs="Cambria"/>
          <w:color w:val="000000"/>
        </w:rPr>
      </w:pPr>
      <w:r w:rsidRPr="00783169">
        <w:rPr>
          <w:noProof/>
        </w:rPr>
        <w:drawing>
          <wp:inline distT="0" distB="0" distL="0" distR="0">
            <wp:extent cx="4702480" cy="3302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11" cy="346451"/>
                    </a:xfrm>
                    <a:prstGeom prst="rect">
                      <a:avLst/>
                    </a:prstGeom>
                    <a:noFill/>
                    <a:ln>
                      <a:noFill/>
                    </a:ln>
                  </pic:spPr>
                </pic:pic>
              </a:graphicData>
            </a:graphic>
          </wp:inline>
        </w:drawing>
      </w:r>
    </w:p>
    <w:p w:rsidR="00083D24" w:rsidRDefault="00083D24" w:rsidP="00896F7F">
      <w:pPr>
        <w:autoSpaceDE w:val="0"/>
        <w:autoSpaceDN w:val="0"/>
        <w:adjustRightInd w:val="0"/>
        <w:spacing w:line="276" w:lineRule="auto"/>
        <w:jc w:val="both"/>
        <w:rPr>
          <w:rFonts w:cs="Cambria"/>
          <w:color w:val="000000"/>
        </w:rPr>
      </w:pPr>
      <w:r>
        <w:rPr>
          <w:rFonts w:cs="Cambria"/>
          <w:color w:val="000000"/>
        </w:rPr>
        <w:t>Primi</w:t>
      </w:r>
      <w:r w:rsidR="00783169">
        <w:rPr>
          <w:rFonts w:cs="Cambria"/>
          <w:color w:val="000000"/>
        </w:rPr>
        <w:t>jenjujući ovako utvrđene stope rasta potrošačkih cijena uzetih</w:t>
      </w:r>
      <w:r>
        <w:rPr>
          <w:rFonts w:cs="Cambria"/>
          <w:color w:val="000000"/>
        </w:rPr>
        <w:t xml:space="preserve"> od Monstata (www.mons</w:t>
      </w:r>
      <w:r w:rsidR="00783169">
        <w:rPr>
          <w:rFonts w:cs="Cambria"/>
          <w:color w:val="000000"/>
        </w:rPr>
        <w:t>tat.org</w:t>
      </w:r>
      <w:r>
        <w:rPr>
          <w:rFonts w:cs="Cambria"/>
          <w:color w:val="000000"/>
        </w:rPr>
        <w:t xml:space="preserve">) </w:t>
      </w:r>
      <w:r w:rsidR="00313778">
        <w:rPr>
          <w:rFonts w:cs="Cambria"/>
          <w:color w:val="000000"/>
        </w:rPr>
        <w:t>na vrijednost podsticajnih cijena iz decembra 2015</w:t>
      </w:r>
      <w:r w:rsidR="0007714D">
        <w:rPr>
          <w:rFonts w:cs="Cambria"/>
          <w:color w:val="000000"/>
        </w:rPr>
        <w:t>.</w:t>
      </w:r>
      <w:r w:rsidR="00313778">
        <w:rPr>
          <w:rFonts w:cs="Cambria"/>
          <w:color w:val="000000"/>
        </w:rPr>
        <w:t>, ustanovljavamo</w:t>
      </w:r>
      <w:r w:rsidR="00313778" w:rsidRPr="00BD2D42">
        <w:rPr>
          <w:rFonts w:cs="Cambria"/>
        </w:rPr>
        <w:t xml:space="preserve"> sledeću vrijednost </w:t>
      </w:r>
      <w:r w:rsidR="00313778">
        <w:rPr>
          <w:rFonts w:cs="Cambria"/>
          <w:color w:val="000000"/>
        </w:rPr>
        <w:t xml:space="preserve">podsticajnih cijena datu u cijenama iz decembra 2018. </w:t>
      </w:r>
    </w:p>
    <w:p w:rsidR="00F30355" w:rsidRDefault="00F30355" w:rsidP="00F30355">
      <w:pPr>
        <w:autoSpaceDE w:val="0"/>
        <w:autoSpaceDN w:val="0"/>
        <w:adjustRightInd w:val="0"/>
        <w:spacing w:line="276" w:lineRule="auto"/>
        <w:jc w:val="center"/>
        <w:rPr>
          <w:rFonts w:cs="Cambria"/>
          <w:color w:val="000000"/>
        </w:rPr>
      </w:pPr>
      <w:r w:rsidRPr="00F30355">
        <w:rPr>
          <w:noProof/>
        </w:rPr>
        <w:drawing>
          <wp:inline distT="0" distB="0" distL="0" distR="0">
            <wp:extent cx="4676775" cy="3333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6775" cy="333375"/>
                    </a:xfrm>
                    <a:prstGeom prst="rect">
                      <a:avLst/>
                    </a:prstGeom>
                    <a:noFill/>
                    <a:ln>
                      <a:noFill/>
                    </a:ln>
                  </pic:spPr>
                </pic:pic>
              </a:graphicData>
            </a:graphic>
          </wp:inline>
        </w:drawing>
      </w:r>
    </w:p>
    <w:p w:rsidR="002F075D" w:rsidRDefault="00231383" w:rsidP="002F075D">
      <w:pPr>
        <w:autoSpaceDE w:val="0"/>
        <w:autoSpaceDN w:val="0"/>
        <w:adjustRightInd w:val="0"/>
        <w:spacing w:line="276" w:lineRule="auto"/>
        <w:jc w:val="both"/>
        <w:rPr>
          <w:rFonts w:cs="Cambria"/>
          <w:color w:val="000000"/>
        </w:rPr>
      </w:pPr>
      <w:r>
        <w:rPr>
          <w:rFonts w:cs="Cambria"/>
          <w:color w:val="000000"/>
        </w:rPr>
        <w:t xml:space="preserve">Ovako ustanovljene podsticajne cijene koristićemo i za projekcije </w:t>
      </w:r>
      <w:r w:rsidR="00590CD6">
        <w:rPr>
          <w:rFonts w:cs="Cambria"/>
          <w:color w:val="000000"/>
        </w:rPr>
        <w:t>prihoda mHE u svim ostalim godinama</w:t>
      </w:r>
      <w:r w:rsidR="00B7559F">
        <w:rPr>
          <w:rFonts w:cs="Cambria"/>
          <w:color w:val="000000"/>
        </w:rPr>
        <w:t xml:space="preserve"> u kojima podsti</w:t>
      </w:r>
      <w:r w:rsidR="00900689">
        <w:rPr>
          <w:rFonts w:cs="Cambria"/>
          <w:color w:val="000000"/>
        </w:rPr>
        <w:t>c</w:t>
      </w:r>
      <w:r w:rsidR="00B7559F">
        <w:rPr>
          <w:rFonts w:cs="Cambria"/>
          <w:color w:val="000000"/>
        </w:rPr>
        <w:t>ajne cijene važe a to je period od prvih 12 godina</w:t>
      </w:r>
      <w:r w:rsidR="00590CD6">
        <w:rPr>
          <w:rFonts w:cs="Cambria"/>
          <w:color w:val="000000"/>
        </w:rPr>
        <w:t>. Takođe, u istim tim cijenama iz 2018</w:t>
      </w:r>
      <w:r w:rsidR="00900689">
        <w:rPr>
          <w:rFonts w:cs="Cambria"/>
          <w:color w:val="000000"/>
        </w:rPr>
        <w:t>.</w:t>
      </w:r>
      <w:r w:rsidR="00590CD6">
        <w:rPr>
          <w:rFonts w:cs="Cambria"/>
          <w:color w:val="000000"/>
        </w:rPr>
        <w:t>projektovaćemo i sve ostale stavk</w:t>
      </w:r>
      <w:r w:rsidR="00163A01">
        <w:rPr>
          <w:rFonts w:cs="Cambria"/>
          <w:color w:val="000000"/>
        </w:rPr>
        <w:t>e bilansa stanja, bilansa uspjeha</w:t>
      </w:r>
      <w:r w:rsidR="00590CD6">
        <w:rPr>
          <w:rFonts w:cs="Cambria"/>
          <w:color w:val="000000"/>
        </w:rPr>
        <w:t xml:space="preserve">, toka gotovine i ekonomskog toka. Nema, naime, nikakvog razloga da vjerujemo da će se kretanje cijena pojedinih stavki razlikovati ili, ako i vjerujemo da će se razlikovati, da znamo koji će biti tempo rasta relativnih cijena pojedinih stavki napred pobrojanih bilansa. U ovoj situaciji najprirodnije je dati projekcije u stalnim cijenama. </w:t>
      </w:r>
    </w:p>
    <w:p w:rsidR="002B31F8" w:rsidRPr="002C4373" w:rsidRDefault="00C53A9F" w:rsidP="002F075D">
      <w:pPr>
        <w:autoSpaceDE w:val="0"/>
        <w:autoSpaceDN w:val="0"/>
        <w:adjustRightInd w:val="0"/>
        <w:spacing w:line="276" w:lineRule="auto"/>
        <w:jc w:val="both"/>
        <w:rPr>
          <w:rFonts w:cs="Cambria"/>
        </w:rPr>
      </w:pPr>
      <w:r>
        <w:rPr>
          <w:rFonts w:cs="Cambria"/>
        </w:rPr>
        <w:t>Normalnu, n</w:t>
      </w:r>
      <w:r w:rsidR="002F075D" w:rsidRPr="002C4373">
        <w:rPr>
          <w:rFonts w:cs="Cambria"/>
        </w:rPr>
        <w:t>e</w:t>
      </w:r>
      <w:r>
        <w:rPr>
          <w:rFonts w:cs="Cambria"/>
        </w:rPr>
        <w:t>-</w:t>
      </w:r>
      <w:r w:rsidR="002F075D" w:rsidRPr="002C4373">
        <w:rPr>
          <w:rFonts w:cs="Cambria"/>
        </w:rPr>
        <w:t>podsticajnucijenu, tj</w:t>
      </w:r>
      <w:r w:rsidR="00900689">
        <w:rPr>
          <w:rFonts w:cs="Cambria"/>
        </w:rPr>
        <w:t>.</w:t>
      </w:r>
      <w:r w:rsidR="002F075D" w:rsidRPr="002C4373">
        <w:rPr>
          <w:rFonts w:cs="Cambria"/>
        </w:rPr>
        <w:t>ekonomsku cijen</w:t>
      </w:r>
      <w:r w:rsidR="00900689">
        <w:rPr>
          <w:rFonts w:cs="Cambria"/>
        </w:rPr>
        <w:t>u</w:t>
      </w:r>
      <w:r w:rsidR="002F075D" w:rsidRPr="002C4373">
        <w:rPr>
          <w:rFonts w:cs="Cambria"/>
        </w:rPr>
        <w:t xml:space="preserve">koja će važiti za </w:t>
      </w:r>
      <w:r w:rsidR="002B31F8" w:rsidRPr="002C4373">
        <w:rPr>
          <w:rFonts w:cs="Cambria"/>
        </w:rPr>
        <w:t>period od 12</w:t>
      </w:r>
      <w:r w:rsidR="002F075D" w:rsidRPr="002C4373">
        <w:rPr>
          <w:rFonts w:cs="Cambria"/>
        </w:rPr>
        <w:t>.</w:t>
      </w:r>
      <w:r w:rsidR="002B31F8" w:rsidRPr="002C4373">
        <w:rPr>
          <w:rFonts w:cs="Cambria"/>
        </w:rPr>
        <w:t>do 25</w:t>
      </w:r>
      <w:r w:rsidR="00900689">
        <w:rPr>
          <w:rFonts w:cs="Cambria"/>
        </w:rPr>
        <w:t>.</w:t>
      </w:r>
      <w:r>
        <w:rPr>
          <w:rFonts w:cs="Cambria"/>
        </w:rPr>
        <w:t>godine</w:t>
      </w:r>
      <w:r w:rsidR="002F075D" w:rsidRPr="002C4373">
        <w:rPr>
          <w:rFonts w:cs="Cambria"/>
        </w:rPr>
        <w:t xml:space="preserve"> smo </w:t>
      </w:r>
      <w:r>
        <w:rPr>
          <w:rFonts w:cs="Cambria"/>
        </w:rPr>
        <w:t>u</w:t>
      </w:r>
      <w:r w:rsidR="002F075D" w:rsidRPr="002C4373">
        <w:rPr>
          <w:rFonts w:cs="Cambria"/>
        </w:rPr>
        <w:t xml:space="preserve">tvrdili polazeći od </w:t>
      </w:r>
      <w:r w:rsidR="002F075D" w:rsidRPr="00F21310">
        <w:rPr>
          <w:rFonts w:cs="Cambria"/>
          <w:b/>
        </w:rPr>
        <w:t xml:space="preserve">prosječne berzanske cijene </w:t>
      </w:r>
      <w:r w:rsidR="002F075D" w:rsidRPr="002C4373">
        <w:rPr>
          <w:rFonts w:cs="Cambria"/>
        </w:rPr>
        <w:t xml:space="preserve">izračunate polazeći od proseka cijena na različitim berzama prezentiranim u narednoj tabeli. </w:t>
      </w:r>
    </w:p>
    <w:tbl>
      <w:tblPr>
        <w:tblW w:w="8056" w:type="dxa"/>
        <w:jc w:val="center"/>
        <w:tblLayout w:type="fixed"/>
        <w:tblCellMar>
          <w:left w:w="113" w:type="dxa"/>
        </w:tblCellMar>
        <w:tblLook w:val="0000"/>
      </w:tblPr>
      <w:tblGrid>
        <w:gridCol w:w="4770"/>
        <w:gridCol w:w="1080"/>
        <w:gridCol w:w="1170"/>
        <w:gridCol w:w="1036"/>
      </w:tblGrid>
      <w:tr w:rsidR="00D435F2" w:rsidRPr="00D435F2" w:rsidTr="002C4373">
        <w:trPr>
          <w:trHeight w:hRule="exact" w:val="288"/>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auto"/>
          </w:tcPr>
          <w:p w:rsidR="002F075D" w:rsidRPr="00D435F2" w:rsidRDefault="002F075D" w:rsidP="002F075D">
            <w:pPr>
              <w:jc w:val="center"/>
              <w:rPr>
                <w:b/>
              </w:rPr>
            </w:pPr>
            <w:r w:rsidRPr="00D435F2">
              <w:rPr>
                <w:rFonts w:eastAsia="Times" w:cs="Times"/>
                <w:b/>
              </w:rPr>
              <w:t>Berzanski indeksi</w:t>
            </w:r>
            <w:r w:rsidR="00335438">
              <w:rPr>
                <w:rFonts w:eastAsia="Times" w:cs="Times"/>
                <w:b/>
              </w:rPr>
              <w:t xml:space="preserve"> električne energije (</w:t>
            </w:r>
            <w:r w:rsidR="00C0703B">
              <w:rPr>
                <w:rFonts w:eastAsia="Times" w:cs="Times"/>
                <w:b/>
              </w:rPr>
              <w:t>E/M</w:t>
            </w:r>
            <w:r w:rsidR="00335438">
              <w:rPr>
                <w:rFonts w:eastAsia="Times" w:cs="Times"/>
                <w:b/>
              </w:rPr>
              <w:t>Wh)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2F075D" w:rsidRPr="00D435F2" w:rsidRDefault="002F075D" w:rsidP="002F075D">
            <w:pPr>
              <w:jc w:val="center"/>
              <w:rPr>
                <w:b/>
              </w:rPr>
            </w:pPr>
            <w:r w:rsidRPr="00D435F2">
              <w:rPr>
                <w:rFonts w:eastAsia="Times" w:cs="Times"/>
                <w:b/>
              </w:rPr>
              <w:t>2015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2F075D" w:rsidRPr="00D435F2" w:rsidRDefault="002F075D" w:rsidP="002F075D">
            <w:pPr>
              <w:jc w:val="center"/>
              <w:rPr>
                <w:b/>
              </w:rPr>
            </w:pPr>
            <w:r w:rsidRPr="00D435F2">
              <w:rPr>
                <w:rFonts w:eastAsia="Times" w:cs="Times"/>
                <w:b/>
              </w:rPr>
              <w:t>2017</w:t>
            </w:r>
          </w:p>
        </w:tc>
        <w:tc>
          <w:tcPr>
            <w:tcW w:w="1036" w:type="dxa"/>
            <w:tcBorders>
              <w:top w:val="single" w:sz="4" w:space="0" w:color="000000"/>
              <w:left w:val="single" w:sz="4" w:space="0" w:color="000000"/>
              <w:bottom w:val="single" w:sz="4" w:space="0" w:color="000000"/>
              <w:right w:val="single" w:sz="4" w:space="0" w:color="000000"/>
            </w:tcBorders>
          </w:tcPr>
          <w:p w:rsidR="002F075D" w:rsidRPr="00D435F2" w:rsidRDefault="002F075D" w:rsidP="002F075D">
            <w:pPr>
              <w:jc w:val="center"/>
              <w:rPr>
                <w:rFonts w:eastAsia="Times" w:cs="Times"/>
                <w:b/>
              </w:rPr>
            </w:pPr>
            <w:r w:rsidRPr="00D435F2">
              <w:rPr>
                <w:rFonts w:eastAsia="Times" w:cs="Times"/>
                <w:b/>
              </w:rPr>
              <w:t>2018</w:t>
            </w:r>
          </w:p>
        </w:tc>
      </w:tr>
      <w:tr w:rsidR="00D435F2" w:rsidRPr="00D435F2" w:rsidTr="002C4373">
        <w:trPr>
          <w:trHeight w:hRule="exact" w:val="288"/>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auto"/>
          </w:tcPr>
          <w:p w:rsidR="002F075D" w:rsidRPr="00D435F2" w:rsidRDefault="002F075D" w:rsidP="007735AB">
            <w:r w:rsidRPr="00D435F2">
              <w:rPr>
                <w:rFonts w:eastAsia="Times" w:cs="Times"/>
              </w:rPr>
              <w:t>Phelix</w:t>
            </w:r>
            <w:r w:rsidR="00D435F2" w:rsidRPr="00335438">
              <w:rPr>
                <w:rFonts w:ascii="Times" w:eastAsia="Times" w:hAnsi="Times" w:cs="Times"/>
                <w:i/>
                <w:sz w:val="16"/>
                <w:szCs w:val="16"/>
                <w:lang w:val="es-AR"/>
              </w:rPr>
              <w:t xml:space="preserve">(Indeks </w:t>
            </w:r>
            <w:r w:rsidR="002C4373">
              <w:rPr>
                <w:rFonts w:ascii="Times" w:eastAsia="Times" w:hAnsi="Times" w:cs="Times"/>
                <w:i/>
                <w:sz w:val="16"/>
                <w:szCs w:val="16"/>
                <w:lang w:val="es-AR"/>
              </w:rPr>
              <w:t>Evropske berze za energiju</w:t>
            </w:r>
            <w:r w:rsidR="00D435F2" w:rsidRPr="00335438">
              <w:rPr>
                <w:rFonts w:ascii="Times" w:eastAsia="Times" w:hAnsi="Times" w:cs="Times"/>
                <w:i/>
                <w:sz w:val="16"/>
                <w:szCs w:val="16"/>
                <w:lang w:val="es-AR"/>
              </w:rPr>
              <w:t xml:space="preserve"> za Austriju i Njemačku)</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2F075D" w:rsidRPr="00D435F2" w:rsidRDefault="002F075D" w:rsidP="007735AB">
            <w:pPr>
              <w:jc w:val="center"/>
            </w:pPr>
            <w:r w:rsidRPr="00D435F2">
              <w:t>28,94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2F075D" w:rsidRPr="00D435F2" w:rsidRDefault="002F075D" w:rsidP="007735AB">
            <w:pPr>
              <w:jc w:val="center"/>
            </w:pPr>
            <w:r w:rsidRPr="00D435F2">
              <w:rPr>
                <w:rFonts w:eastAsia="Times" w:cs="Times"/>
              </w:rPr>
              <w:t>34,21</w:t>
            </w:r>
          </w:p>
        </w:tc>
        <w:tc>
          <w:tcPr>
            <w:tcW w:w="1036" w:type="dxa"/>
            <w:tcBorders>
              <w:top w:val="single" w:sz="4" w:space="0" w:color="000000"/>
              <w:left w:val="single" w:sz="4" w:space="0" w:color="000000"/>
              <w:bottom w:val="single" w:sz="4" w:space="0" w:color="000000"/>
              <w:right w:val="single" w:sz="4" w:space="0" w:color="000000"/>
            </w:tcBorders>
          </w:tcPr>
          <w:p w:rsidR="002F075D" w:rsidRPr="00D435F2" w:rsidRDefault="002F075D" w:rsidP="007735AB">
            <w:pPr>
              <w:jc w:val="center"/>
              <w:rPr>
                <w:rFonts w:eastAsia="Times" w:cs="Times"/>
              </w:rPr>
            </w:pPr>
            <w:r w:rsidRPr="00D435F2">
              <w:rPr>
                <w:rFonts w:eastAsia="Times" w:cs="Times"/>
              </w:rPr>
              <w:t>44,45</w:t>
            </w:r>
          </w:p>
        </w:tc>
      </w:tr>
      <w:tr w:rsidR="00D435F2" w:rsidRPr="00D435F2" w:rsidTr="002C4373">
        <w:trPr>
          <w:trHeight w:hRule="exact" w:val="288"/>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auto"/>
          </w:tcPr>
          <w:p w:rsidR="002F075D" w:rsidRPr="00D435F2" w:rsidRDefault="002F075D" w:rsidP="007735AB">
            <w:r w:rsidRPr="00D435F2">
              <w:rPr>
                <w:rFonts w:eastAsia="Times" w:cs="Times"/>
              </w:rPr>
              <w:t>ELIX</w:t>
            </w:r>
            <w:r w:rsidR="00335438">
              <w:rPr>
                <w:rFonts w:ascii="Times" w:eastAsia="Times" w:hAnsi="Times" w:cs="Times"/>
                <w:i/>
                <w:sz w:val="16"/>
                <w:szCs w:val="16"/>
                <w:lang w:val="es-AR"/>
              </w:rPr>
              <w:t>(E</w:t>
            </w:r>
            <w:r w:rsidR="00335438" w:rsidRPr="00335438">
              <w:rPr>
                <w:rFonts w:ascii="Times" w:eastAsia="Times" w:hAnsi="Times" w:cs="Times"/>
                <w:i/>
                <w:sz w:val="16"/>
                <w:szCs w:val="16"/>
                <w:lang w:val="es-AR"/>
              </w:rPr>
              <w:t>vropski berzovni index EEX-a</w:t>
            </w:r>
            <w:r w:rsidR="00335438">
              <w:rPr>
                <w:rFonts w:ascii="Times" w:eastAsia="Times" w:hAnsi="Times" w:cs="Times"/>
                <w:i/>
                <w:sz w:val="16"/>
                <w:szCs w:val="16"/>
                <w:lang w:val="es-AR"/>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2F075D" w:rsidRPr="00D435F2" w:rsidRDefault="002F075D" w:rsidP="007735AB">
            <w:pPr>
              <w:jc w:val="center"/>
            </w:pPr>
            <w:r w:rsidRPr="00D435F2">
              <w:t>29,79</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2F075D" w:rsidRPr="00D435F2" w:rsidRDefault="002F075D" w:rsidP="007735AB">
            <w:pPr>
              <w:jc w:val="center"/>
            </w:pPr>
            <w:r w:rsidRPr="00D435F2">
              <w:rPr>
                <w:rFonts w:eastAsia="Times" w:cs="Times"/>
              </w:rPr>
              <w:t>36,23</w:t>
            </w:r>
          </w:p>
        </w:tc>
        <w:tc>
          <w:tcPr>
            <w:tcW w:w="1036" w:type="dxa"/>
            <w:tcBorders>
              <w:top w:val="single" w:sz="4" w:space="0" w:color="000000"/>
              <w:left w:val="single" w:sz="4" w:space="0" w:color="000000"/>
              <w:bottom w:val="single" w:sz="4" w:space="0" w:color="000000"/>
              <w:right w:val="single" w:sz="4" w:space="0" w:color="000000"/>
            </w:tcBorders>
          </w:tcPr>
          <w:p w:rsidR="002F075D" w:rsidRPr="00D435F2" w:rsidRDefault="002F075D" w:rsidP="007735AB">
            <w:pPr>
              <w:jc w:val="center"/>
              <w:rPr>
                <w:rFonts w:eastAsia="Times" w:cs="Times"/>
              </w:rPr>
            </w:pPr>
            <w:r w:rsidRPr="00D435F2">
              <w:rPr>
                <w:rFonts w:eastAsia="Times" w:cs="Times"/>
              </w:rPr>
              <w:t>42,74</w:t>
            </w:r>
          </w:p>
        </w:tc>
      </w:tr>
      <w:tr w:rsidR="00D435F2" w:rsidRPr="00D435F2" w:rsidTr="002C4373">
        <w:trPr>
          <w:trHeight w:hRule="exact" w:val="288"/>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auto"/>
          </w:tcPr>
          <w:p w:rsidR="002F075D" w:rsidRPr="00335438" w:rsidRDefault="002F075D" w:rsidP="007735AB">
            <w:pPr>
              <w:rPr>
                <w:sz w:val="16"/>
                <w:szCs w:val="16"/>
              </w:rPr>
            </w:pPr>
            <w:r w:rsidRPr="00D435F2">
              <w:rPr>
                <w:rFonts w:eastAsia="Times" w:cs="Times"/>
              </w:rPr>
              <w:t>SIPX</w:t>
            </w:r>
            <w:r w:rsidR="002C4373">
              <w:rPr>
                <w:rFonts w:eastAsia="Times" w:cs="Times"/>
                <w:i/>
                <w:sz w:val="16"/>
                <w:szCs w:val="16"/>
              </w:rPr>
              <w:t>(Indeks S</w:t>
            </w:r>
            <w:r w:rsidR="00335438" w:rsidRPr="00335438">
              <w:rPr>
                <w:rFonts w:eastAsia="Times" w:cs="Times"/>
                <w:i/>
                <w:sz w:val="16"/>
                <w:szCs w:val="16"/>
              </w:rPr>
              <w:t xml:space="preserve">lovenačke berze)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2F075D" w:rsidRPr="00D435F2" w:rsidRDefault="002F075D" w:rsidP="007735AB">
            <w:pPr>
              <w:jc w:val="center"/>
            </w:pPr>
            <w:r w:rsidRPr="00D435F2">
              <w:t>35,58</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2F075D" w:rsidRPr="00D435F2" w:rsidRDefault="002F075D" w:rsidP="007735AB">
            <w:pPr>
              <w:jc w:val="center"/>
            </w:pPr>
            <w:r w:rsidRPr="00D435F2">
              <w:rPr>
                <w:rFonts w:eastAsia="Times" w:cs="Times"/>
              </w:rPr>
              <w:t>49,52</w:t>
            </w:r>
          </w:p>
        </w:tc>
        <w:tc>
          <w:tcPr>
            <w:tcW w:w="1036" w:type="dxa"/>
            <w:tcBorders>
              <w:top w:val="single" w:sz="4" w:space="0" w:color="000000"/>
              <w:left w:val="single" w:sz="4" w:space="0" w:color="000000"/>
              <w:bottom w:val="single" w:sz="4" w:space="0" w:color="000000"/>
              <w:right w:val="single" w:sz="4" w:space="0" w:color="000000"/>
            </w:tcBorders>
          </w:tcPr>
          <w:p w:rsidR="002F075D" w:rsidRPr="00D435F2" w:rsidRDefault="002F075D" w:rsidP="007735AB">
            <w:pPr>
              <w:jc w:val="center"/>
              <w:rPr>
                <w:rFonts w:eastAsia="Times" w:cs="Times"/>
              </w:rPr>
            </w:pPr>
            <w:r w:rsidRPr="00D435F2">
              <w:rPr>
                <w:rFonts w:eastAsia="Times" w:cs="Times"/>
              </w:rPr>
              <w:t>51,11</w:t>
            </w:r>
          </w:p>
        </w:tc>
      </w:tr>
      <w:tr w:rsidR="00D435F2" w:rsidRPr="00D435F2" w:rsidTr="002C4373">
        <w:trPr>
          <w:trHeight w:hRule="exact" w:val="288"/>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auto"/>
          </w:tcPr>
          <w:p w:rsidR="002F075D" w:rsidRPr="00D435F2" w:rsidRDefault="002F075D" w:rsidP="007735AB">
            <w:r w:rsidRPr="00D435F2">
              <w:rPr>
                <w:rFonts w:eastAsia="Times" w:cs="Times"/>
              </w:rPr>
              <w:t>HUPXDAM</w:t>
            </w:r>
            <w:r w:rsidR="002C4373" w:rsidRPr="002C4373">
              <w:rPr>
                <w:rFonts w:eastAsia="Times" w:cs="Times"/>
                <w:i/>
                <w:sz w:val="16"/>
                <w:szCs w:val="16"/>
              </w:rPr>
              <w:t>(Index M</w:t>
            </w:r>
            <w:r w:rsidR="00335438" w:rsidRPr="002C4373">
              <w:rPr>
                <w:rFonts w:eastAsia="Times" w:cs="Times"/>
                <w:i/>
                <w:sz w:val="16"/>
                <w:szCs w:val="16"/>
              </w:rPr>
              <w:t>ađarske berze</w:t>
            </w:r>
            <w:r w:rsidR="002C4373" w:rsidRPr="002C4373">
              <w:rPr>
                <w:rFonts w:eastAsia="Times" w:cs="Times"/>
                <w:i/>
                <w:sz w:val="16"/>
                <w:szCs w:val="16"/>
              </w:rPr>
              <w:t xml:space="preserve"> za dan unapred</w:t>
            </w:r>
            <w:r w:rsidR="00335438" w:rsidRPr="002C4373">
              <w:rPr>
                <w:rFonts w:eastAsia="Times" w:cs="Times"/>
                <w:i/>
                <w:sz w:val="16"/>
                <w:szCs w:val="16"/>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2F075D" w:rsidRPr="00D435F2" w:rsidRDefault="002F075D" w:rsidP="007735AB">
            <w:pPr>
              <w:jc w:val="center"/>
            </w:pPr>
            <w:r w:rsidRPr="00D435F2">
              <w:t>34,16</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2F075D" w:rsidRPr="00D435F2" w:rsidRDefault="002F075D" w:rsidP="007735AB">
            <w:pPr>
              <w:jc w:val="center"/>
            </w:pPr>
            <w:r w:rsidRPr="00D435F2">
              <w:rPr>
                <w:rFonts w:eastAsia="Times" w:cs="Times"/>
              </w:rPr>
              <w:t>50,36</w:t>
            </w:r>
          </w:p>
        </w:tc>
        <w:tc>
          <w:tcPr>
            <w:tcW w:w="1036" w:type="dxa"/>
            <w:tcBorders>
              <w:top w:val="single" w:sz="4" w:space="0" w:color="000000"/>
              <w:left w:val="single" w:sz="4" w:space="0" w:color="000000"/>
              <w:bottom w:val="single" w:sz="4" w:space="0" w:color="000000"/>
              <w:right w:val="single" w:sz="4" w:space="0" w:color="000000"/>
            </w:tcBorders>
          </w:tcPr>
          <w:p w:rsidR="002F075D" w:rsidRPr="00D435F2" w:rsidRDefault="002F075D" w:rsidP="007735AB">
            <w:pPr>
              <w:jc w:val="center"/>
              <w:rPr>
                <w:rFonts w:eastAsia="Times" w:cs="Times"/>
              </w:rPr>
            </w:pPr>
            <w:r w:rsidRPr="00D435F2">
              <w:rPr>
                <w:rFonts w:eastAsia="Times" w:cs="Times"/>
              </w:rPr>
              <w:t>50,93</w:t>
            </w:r>
          </w:p>
        </w:tc>
      </w:tr>
      <w:tr w:rsidR="00D435F2" w:rsidRPr="00D435F2" w:rsidTr="002C4373">
        <w:trPr>
          <w:trHeight w:hRule="exact" w:val="288"/>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auto"/>
          </w:tcPr>
          <w:p w:rsidR="002F075D" w:rsidRPr="00D435F2" w:rsidRDefault="002F075D" w:rsidP="007735AB">
            <w:r w:rsidRPr="00D435F2">
              <w:rPr>
                <w:rFonts w:eastAsia="Times" w:cs="Times"/>
              </w:rPr>
              <w:t>OPCOM</w:t>
            </w:r>
            <w:r w:rsidR="002C4373" w:rsidRPr="002C4373">
              <w:rPr>
                <w:rFonts w:eastAsia="Times" w:cs="Times"/>
                <w:i/>
                <w:sz w:val="16"/>
                <w:szCs w:val="16"/>
              </w:rPr>
              <w:t>(</w:t>
            </w:r>
            <w:r w:rsidR="002C4373" w:rsidRPr="002C4373">
              <w:rPr>
                <w:rFonts w:ascii="Times" w:eastAsia="Times" w:hAnsi="Times" w:cs="Times"/>
                <w:i/>
                <w:sz w:val="16"/>
                <w:szCs w:val="16"/>
                <w:lang w:val="es-AR"/>
              </w:rPr>
              <w:t>Rumunski berzovni indeks</w:t>
            </w:r>
            <w:r w:rsidR="002C4373">
              <w:rPr>
                <w:rFonts w:ascii="Times" w:eastAsia="Times" w:hAnsi="Times" w:cs="Times"/>
                <w:i/>
                <w:sz w:val="16"/>
                <w:szCs w:val="16"/>
                <w:lang w:val="es-AR"/>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2F075D" w:rsidRPr="00D435F2" w:rsidRDefault="002F075D" w:rsidP="007735AB">
            <w:pPr>
              <w:jc w:val="center"/>
            </w:pPr>
            <w:r w:rsidRPr="00D435F2">
              <w:t>33,28</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2F075D" w:rsidRPr="00D435F2" w:rsidRDefault="002F075D" w:rsidP="007735AB">
            <w:pPr>
              <w:jc w:val="center"/>
            </w:pPr>
            <w:r w:rsidRPr="00D435F2">
              <w:rPr>
                <w:rFonts w:eastAsia="Times" w:cs="Times"/>
              </w:rPr>
              <w:t>48,17</w:t>
            </w:r>
          </w:p>
        </w:tc>
        <w:tc>
          <w:tcPr>
            <w:tcW w:w="1036" w:type="dxa"/>
            <w:tcBorders>
              <w:top w:val="single" w:sz="4" w:space="0" w:color="000000"/>
              <w:left w:val="single" w:sz="4" w:space="0" w:color="000000"/>
              <w:bottom w:val="single" w:sz="4" w:space="0" w:color="000000"/>
              <w:right w:val="single" w:sz="4" w:space="0" w:color="000000"/>
            </w:tcBorders>
          </w:tcPr>
          <w:p w:rsidR="002F075D" w:rsidRPr="00D435F2" w:rsidRDefault="002F075D" w:rsidP="007735AB">
            <w:pPr>
              <w:jc w:val="center"/>
              <w:rPr>
                <w:rFonts w:eastAsia="Times" w:cs="Times"/>
              </w:rPr>
            </w:pPr>
            <w:r w:rsidRPr="00D435F2">
              <w:rPr>
                <w:rFonts w:eastAsia="Times" w:cs="Times"/>
              </w:rPr>
              <w:t>46,42</w:t>
            </w:r>
          </w:p>
        </w:tc>
      </w:tr>
      <w:tr w:rsidR="00D435F2" w:rsidRPr="00D435F2" w:rsidTr="002C4373">
        <w:trPr>
          <w:trHeight w:hRule="exact" w:val="288"/>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auto"/>
          </w:tcPr>
          <w:p w:rsidR="002F075D" w:rsidRPr="00D435F2" w:rsidRDefault="002F075D" w:rsidP="007735AB">
            <w:r w:rsidRPr="00D435F2">
              <w:rPr>
                <w:rFonts w:eastAsia="Times" w:cs="Times"/>
              </w:rPr>
              <w:t>SEEPEX</w:t>
            </w:r>
            <w:r w:rsidR="002C4373" w:rsidRPr="002C4373">
              <w:rPr>
                <w:rFonts w:eastAsia="Times" w:cs="Times"/>
                <w:i/>
                <w:sz w:val="16"/>
                <w:szCs w:val="16"/>
              </w:rPr>
              <w:t>(Srpski berzanski Indeks)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2F075D" w:rsidRPr="00D435F2" w:rsidRDefault="002F075D" w:rsidP="007735AB">
            <w:pPr>
              <w:jc w:val="center"/>
            </w:pPr>
            <w:r w:rsidRPr="00D435F2">
              <w:t>35,04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2F075D" w:rsidRPr="00D435F2" w:rsidRDefault="002F075D" w:rsidP="007735AB">
            <w:pPr>
              <w:jc w:val="center"/>
            </w:pPr>
            <w:r w:rsidRPr="00D435F2">
              <w:rPr>
                <w:rFonts w:eastAsia="Times" w:cs="Times"/>
              </w:rPr>
              <w:t>51,70</w:t>
            </w:r>
          </w:p>
        </w:tc>
        <w:tc>
          <w:tcPr>
            <w:tcW w:w="1036" w:type="dxa"/>
            <w:tcBorders>
              <w:top w:val="single" w:sz="4" w:space="0" w:color="000000"/>
              <w:left w:val="single" w:sz="4" w:space="0" w:color="000000"/>
              <w:bottom w:val="single" w:sz="4" w:space="0" w:color="000000"/>
              <w:right w:val="single" w:sz="4" w:space="0" w:color="000000"/>
            </w:tcBorders>
          </w:tcPr>
          <w:p w:rsidR="002F075D" w:rsidRPr="00D435F2" w:rsidRDefault="002F075D" w:rsidP="007735AB">
            <w:pPr>
              <w:jc w:val="center"/>
              <w:rPr>
                <w:rFonts w:eastAsia="Times" w:cs="Times"/>
              </w:rPr>
            </w:pPr>
            <w:r w:rsidRPr="00D435F2">
              <w:rPr>
                <w:rFonts w:eastAsia="Times" w:cs="Times"/>
              </w:rPr>
              <w:t>51,42</w:t>
            </w:r>
          </w:p>
        </w:tc>
      </w:tr>
      <w:tr w:rsidR="00D435F2" w:rsidRPr="00D435F2" w:rsidTr="002C4373">
        <w:trPr>
          <w:trHeight w:hRule="exact" w:val="288"/>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auto"/>
          </w:tcPr>
          <w:p w:rsidR="002F075D" w:rsidRPr="00D435F2" w:rsidRDefault="002F075D" w:rsidP="007735AB">
            <w:r w:rsidRPr="00D435F2">
              <w:rPr>
                <w:rFonts w:eastAsia="Times" w:cs="Times"/>
              </w:rPr>
              <w:t>CROPEX</w:t>
            </w:r>
            <w:r w:rsidR="002C4373" w:rsidRPr="002C4373">
              <w:rPr>
                <w:rFonts w:eastAsia="Times" w:cs="Times"/>
                <w:sz w:val="16"/>
                <w:szCs w:val="16"/>
              </w:rPr>
              <w:t xml:space="preserve">(Hrvatski berzanski indeks)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2F075D" w:rsidRPr="00D435F2" w:rsidRDefault="002F075D" w:rsidP="007735AB">
            <w:pPr>
              <w:jc w:val="center"/>
            </w:pPr>
            <w:r w:rsidRPr="00D435F2">
              <w:t>35,16</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2F075D" w:rsidRPr="00D435F2" w:rsidRDefault="002F075D" w:rsidP="007735AB">
            <w:pPr>
              <w:jc w:val="center"/>
            </w:pPr>
            <w:r w:rsidRPr="00D435F2">
              <w:rPr>
                <w:rFonts w:eastAsia="Times" w:cs="Times"/>
              </w:rPr>
              <w:t>52,34</w:t>
            </w:r>
          </w:p>
        </w:tc>
        <w:tc>
          <w:tcPr>
            <w:tcW w:w="1036" w:type="dxa"/>
            <w:tcBorders>
              <w:top w:val="single" w:sz="4" w:space="0" w:color="000000"/>
              <w:left w:val="single" w:sz="4" w:space="0" w:color="000000"/>
              <w:bottom w:val="single" w:sz="4" w:space="0" w:color="000000"/>
              <w:right w:val="single" w:sz="4" w:space="0" w:color="000000"/>
            </w:tcBorders>
          </w:tcPr>
          <w:p w:rsidR="002F075D" w:rsidRPr="00D435F2" w:rsidRDefault="002F075D" w:rsidP="007735AB">
            <w:pPr>
              <w:jc w:val="center"/>
              <w:rPr>
                <w:rFonts w:eastAsia="Times" w:cs="Times"/>
              </w:rPr>
            </w:pPr>
            <w:r w:rsidRPr="00D435F2">
              <w:rPr>
                <w:rFonts w:eastAsia="Times" w:cs="Times"/>
              </w:rPr>
              <w:t>53,17</w:t>
            </w:r>
          </w:p>
        </w:tc>
      </w:tr>
      <w:tr w:rsidR="00D435F2" w:rsidRPr="00D435F2" w:rsidTr="002C4373">
        <w:trPr>
          <w:trHeight w:hRule="exact" w:val="288"/>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auto"/>
          </w:tcPr>
          <w:p w:rsidR="002F075D" w:rsidRPr="00D435F2" w:rsidRDefault="002F075D" w:rsidP="002F075D">
            <w:pPr>
              <w:jc w:val="center"/>
              <w:rPr>
                <w:b/>
              </w:rPr>
            </w:pPr>
            <w:r w:rsidRPr="00D435F2">
              <w:rPr>
                <w:rFonts w:eastAsia="Times" w:cs="Times"/>
                <w:b/>
              </w:rPr>
              <w:t>Prosječna berzanska cijena za sve berze</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2F075D" w:rsidRPr="00D435F2" w:rsidRDefault="002F075D" w:rsidP="002F075D">
            <w:pPr>
              <w:jc w:val="center"/>
              <w:rPr>
                <w:b/>
              </w:rPr>
            </w:pPr>
            <w:r w:rsidRPr="00D435F2">
              <w:rPr>
                <w:b/>
              </w:rPr>
              <w:t>33,14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2F075D" w:rsidRPr="00D435F2" w:rsidRDefault="002F075D" w:rsidP="002F075D">
            <w:pPr>
              <w:jc w:val="center"/>
              <w:rPr>
                <w:b/>
              </w:rPr>
            </w:pPr>
            <w:r w:rsidRPr="00D435F2">
              <w:rPr>
                <w:rFonts w:eastAsia="Times" w:cs="Times"/>
                <w:b/>
              </w:rPr>
              <w:t>46,08</w:t>
            </w:r>
          </w:p>
        </w:tc>
        <w:tc>
          <w:tcPr>
            <w:tcW w:w="1036" w:type="dxa"/>
            <w:tcBorders>
              <w:top w:val="single" w:sz="4" w:space="0" w:color="000000"/>
              <w:left w:val="single" w:sz="4" w:space="0" w:color="000000"/>
              <w:bottom w:val="single" w:sz="4" w:space="0" w:color="000000"/>
              <w:right w:val="single" w:sz="4" w:space="0" w:color="000000"/>
            </w:tcBorders>
          </w:tcPr>
          <w:p w:rsidR="002F075D" w:rsidRPr="00D435F2" w:rsidRDefault="002F075D" w:rsidP="002F075D">
            <w:pPr>
              <w:jc w:val="center"/>
              <w:rPr>
                <w:rFonts w:eastAsia="Times" w:cs="Times"/>
                <w:b/>
              </w:rPr>
            </w:pPr>
            <w:r w:rsidRPr="00D435F2">
              <w:rPr>
                <w:rFonts w:eastAsia="Times" w:cs="Times"/>
                <w:b/>
              </w:rPr>
              <w:t>48,61</w:t>
            </w:r>
          </w:p>
        </w:tc>
      </w:tr>
    </w:tbl>
    <w:p w:rsidR="002F075D" w:rsidRPr="00335438" w:rsidRDefault="00335438" w:rsidP="002C4373">
      <w:pPr>
        <w:autoSpaceDE w:val="0"/>
        <w:autoSpaceDN w:val="0"/>
        <w:adjustRightInd w:val="0"/>
        <w:spacing w:line="276" w:lineRule="auto"/>
        <w:ind w:firstLine="720"/>
        <w:jc w:val="both"/>
        <w:rPr>
          <w:rFonts w:cs="Cambria"/>
          <w:color w:val="000000"/>
          <w:sz w:val="20"/>
          <w:szCs w:val="20"/>
        </w:rPr>
      </w:pPr>
      <w:r w:rsidRPr="00335438">
        <w:rPr>
          <w:rFonts w:cs="Cambria"/>
          <w:color w:val="000000"/>
          <w:sz w:val="20"/>
          <w:szCs w:val="20"/>
        </w:rPr>
        <w:t xml:space="preserve">Izvor: Miljević (2019) </w:t>
      </w:r>
    </w:p>
    <w:p w:rsidR="00313778" w:rsidRDefault="00460818" w:rsidP="00DA59B5">
      <w:pPr>
        <w:autoSpaceDE w:val="0"/>
        <w:autoSpaceDN w:val="0"/>
        <w:adjustRightInd w:val="0"/>
        <w:spacing w:line="276" w:lineRule="auto"/>
        <w:jc w:val="both"/>
        <w:rPr>
          <w:rFonts w:cs="Cambria"/>
        </w:rPr>
      </w:pPr>
      <w:r w:rsidRPr="008010FA">
        <w:rPr>
          <w:rFonts w:cs="Cambria"/>
          <w:b/>
        </w:rPr>
        <w:t>5</w:t>
      </w:r>
      <w:r w:rsidR="00DA59B5" w:rsidRPr="008010FA">
        <w:rPr>
          <w:rFonts w:cs="Cambria"/>
          <w:b/>
        </w:rPr>
        <w:t>.</w:t>
      </w:r>
      <w:r w:rsidR="002B31F8">
        <w:rPr>
          <w:rFonts w:cs="Cambria"/>
        </w:rPr>
        <w:t>Kada, na prethodno opisan način,</w:t>
      </w:r>
      <w:r w:rsidR="00E81B37" w:rsidRPr="00DA59B5">
        <w:rPr>
          <w:rFonts w:cs="Cambria"/>
        </w:rPr>
        <w:t xml:space="preserve"> utvrđene podsticajne cijene primijenimo na obime pr</w:t>
      </w:r>
      <w:r w:rsidR="00CF3275" w:rsidRPr="00DA59B5">
        <w:rPr>
          <w:rFonts w:cs="Cambria"/>
        </w:rPr>
        <w:t>oizvodnje dveju mHE date u</w:t>
      </w:r>
      <w:r w:rsidR="00E81B37" w:rsidRPr="00DA59B5">
        <w:rPr>
          <w:rFonts w:cs="Cambria"/>
        </w:rPr>
        <w:t xml:space="preserve"> raznim dokumentima i projektima sa kojima smo se mi imali prilike upoznati, a koji su dati u prethodnom opisu projekta, dobijamo </w:t>
      </w:r>
      <w:r w:rsidR="00E81B37" w:rsidRPr="00460818">
        <w:rPr>
          <w:rFonts w:cs="Cambria"/>
          <w:b/>
        </w:rPr>
        <w:t>vrijednosti ukupnog prihoda</w:t>
      </w:r>
      <w:r w:rsidR="00E81B37" w:rsidRPr="00DA59B5">
        <w:rPr>
          <w:rFonts w:cs="Cambria"/>
        </w:rPr>
        <w:t xml:space="preserve"> koje su daleko manje od onih koje imamo u </w:t>
      </w:r>
      <w:r w:rsidR="009F021E" w:rsidRPr="00DA59B5">
        <w:rPr>
          <w:rFonts w:cs="Cambria"/>
        </w:rPr>
        <w:t xml:space="preserve">zvaničnim bilansima </w:t>
      </w:r>
      <w:r w:rsidR="00CF3275" w:rsidRPr="00DA59B5">
        <w:rPr>
          <w:rFonts w:cs="Cambria"/>
        </w:rPr>
        <w:t>uspjeha kompanje Kronor d. o. o. Ove bilasne smo dobili na web site-u</w:t>
      </w:r>
      <w:r w:rsidR="008268DC">
        <w:rPr>
          <w:rFonts w:cs="Cambria"/>
        </w:rPr>
        <w:t xml:space="preserve"> Poreske službe a prilažemo ih</w:t>
      </w:r>
      <w:r w:rsidR="00CF3275" w:rsidRPr="00DA59B5">
        <w:rPr>
          <w:rFonts w:cs="Cambria"/>
        </w:rPr>
        <w:t xml:space="preserve"> u dodatku uz ovaj odeljak.</w:t>
      </w:r>
      <w:r w:rsidR="005338D7">
        <w:rPr>
          <w:rStyle w:val="FootnoteReference"/>
          <w:rFonts w:cs="Cambria"/>
        </w:rPr>
        <w:footnoteReference w:id="11"/>
      </w:r>
      <w:r w:rsidR="00BE4700" w:rsidRPr="00DA59B5">
        <w:rPr>
          <w:rFonts w:cs="Cambria"/>
        </w:rPr>
        <w:t xml:space="preserve">Pošto cijene nijesu mogle biti problematične, jer su utvrđene na bazi regulative, došli smo do zaključka da je diskrepanca između zvaničnog nivoa </w:t>
      </w:r>
      <w:r w:rsidR="00BE4700" w:rsidRPr="00DA59B5">
        <w:rPr>
          <w:rFonts w:cs="Cambria"/>
        </w:rPr>
        <w:lastRenderedPageBreak/>
        <w:t xml:space="preserve">ukupnog prihoda od prodaje struje i onog koji mi dobijamo u obimu proizvodnje struje koji mi koristimo polazeći od podataka iz zvaničnih dokumenata kojima smo mi raspolagali. </w:t>
      </w:r>
      <w:r w:rsidR="001948E9" w:rsidRPr="00DA59B5">
        <w:rPr>
          <w:rFonts w:cs="Cambria"/>
        </w:rPr>
        <w:t xml:space="preserve">Da bi došli do </w:t>
      </w:r>
      <w:r w:rsidR="00BE4700" w:rsidRPr="00DA59B5">
        <w:rPr>
          <w:rFonts w:cs="Cambria"/>
        </w:rPr>
        <w:t xml:space="preserve">stvarnog tj </w:t>
      </w:r>
      <w:r w:rsidR="001948E9" w:rsidRPr="00DA59B5">
        <w:rPr>
          <w:rFonts w:cs="Cambria"/>
        </w:rPr>
        <w:t xml:space="preserve">realno mogućeg obima proizvodnje za početak smo provjerili </w:t>
      </w:r>
      <w:r w:rsidR="00611960" w:rsidRPr="00DA59B5">
        <w:rPr>
          <w:rFonts w:cs="Cambria"/>
        </w:rPr>
        <w:t>go</w:t>
      </w:r>
      <w:r w:rsidR="00BE4700" w:rsidRPr="00DA59B5">
        <w:rPr>
          <w:rFonts w:cs="Cambria"/>
        </w:rPr>
        <w:t xml:space="preserve">dišnje planove proizvodnje po pojedinim mjesecima koje je investitor dužan da </w:t>
      </w:r>
      <w:r w:rsidR="00A13FDC" w:rsidRPr="00DA59B5">
        <w:rPr>
          <w:rFonts w:cs="Cambria"/>
        </w:rPr>
        <w:t>predaje regulatoru svake godine. Ovako planiran obim proizvodnje struje u mHE Jara je za 2017</w:t>
      </w:r>
      <w:r w:rsidR="00900689">
        <w:rPr>
          <w:rFonts w:cs="Cambria"/>
        </w:rPr>
        <w:t>.</w:t>
      </w:r>
      <w:r w:rsidR="00A13FDC" w:rsidRPr="00DA59B5">
        <w:rPr>
          <w:rFonts w:cs="Cambria"/>
        </w:rPr>
        <w:t xml:space="preserve">godinu iznosio 18,032 MWh što je znatno veći obim proizvodnje od onog koji imamo u dokumentima od kojih smo pošli i koji smo prezentirali ranije (15,500 MWh). </w:t>
      </w:r>
      <w:r w:rsidR="001B48B9" w:rsidRPr="00DA59B5">
        <w:rPr>
          <w:rFonts w:cs="Cambria"/>
        </w:rPr>
        <w:t>U slučaju mHE Babino Polje planirana proizvodnja u 2018</w:t>
      </w:r>
      <w:r w:rsidR="00900689">
        <w:rPr>
          <w:rFonts w:cs="Cambria"/>
        </w:rPr>
        <w:t>.</w:t>
      </w:r>
      <w:r w:rsidR="001B48B9" w:rsidRPr="00DA59B5">
        <w:rPr>
          <w:rFonts w:cs="Cambria"/>
        </w:rPr>
        <w:t>godini</w:t>
      </w:r>
      <w:r w:rsidR="002B6618" w:rsidRPr="00DA59B5">
        <w:rPr>
          <w:rFonts w:cs="Cambria"/>
        </w:rPr>
        <w:t>,</w:t>
      </w:r>
      <w:r w:rsidR="001B48B9" w:rsidRPr="00DA59B5">
        <w:rPr>
          <w:rFonts w:cs="Cambria"/>
        </w:rPr>
        <w:t xml:space="preserve"> bazirana na hidrološkoj situaciji u prethodno 2017</w:t>
      </w:r>
      <w:r w:rsidR="00900689">
        <w:rPr>
          <w:rFonts w:cs="Cambria"/>
        </w:rPr>
        <w:t>.</w:t>
      </w:r>
      <w:r w:rsidR="001B48B9" w:rsidRPr="00DA59B5">
        <w:rPr>
          <w:rFonts w:cs="Cambria"/>
        </w:rPr>
        <w:t>godini</w:t>
      </w:r>
      <w:r w:rsidR="002B6618" w:rsidRPr="00DA59B5">
        <w:rPr>
          <w:rFonts w:cs="Cambria"/>
        </w:rPr>
        <w:t>,</w:t>
      </w:r>
      <w:r w:rsidR="001B48B9" w:rsidRPr="00DA59B5">
        <w:rPr>
          <w:rFonts w:cs="Cambria"/>
        </w:rPr>
        <w:t xml:space="preserve"> je iznosila 7,940 MWh </w:t>
      </w:r>
      <w:r w:rsidR="002B6618" w:rsidRPr="00DA59B5">
        <w:rPr>
          <w:rFonts w:cs="Cambria"/>
        </w:rPr>
        <w:t>što je takođe znatno više</w:t>
      </w:r>
      <w:r w:rsidR="001B48B9" w:rsidRPr="00DA59B5">
        <w:rPr>
          <w:rFonts w:cs="Cambria"/>
        </w:rPr>
        <w:t xml:space="preserve"> od onog što imamo u nama dostupnim zvaničnim dokumentima (6,600 MWh). </w:t>
      </w:r>
      <w:r w:rsidR="00593C19" w:rsidRPr="00DA59B5">
        <w:rPr>
          <w:rFonts w:cs="Cambria"/>
        </w:rPr>
        <w:t>Doduš</w:t>
      </w:r>
      <w:r w:rsidR="002B6618" w:rsidRPr="00DA59B5">
        <w:rPr>
          <w:rFonts w:cs="Cambria"/>
        </w:rPr>
        <w:t xml:space="preserve">e, u jednom od dokumentata iz rane faze razvoja projekta nalazi se podatak o instaliranoj snazi od 2,900 KW a ne </w:t>
      </w:r>
      <w:r w:rsidR="00593C19" w:rsidRPr="00DA59B5">
        <w:rPr>
          <w:rFonts w:cs="Cambria"/>
        </w:rPr>
        <w:t>2,214 KW kako stoji u docnijm dokumentima a što smo i mi koristili u opisu projekta. Ako sada korigujemo i ukupnu proizvodnju polazeći od ovako definisanog kapaciteta tada ukupan prihod od obe elektrane postaje gotovo istovetan onom koji imamo u zvaničnom bilansu uspjeha.</w:t>
      </w:r>
      <w:r w:rsidR="00F907F3" w:rsidRPr="00F907F3">
        <w:rPr>
          <w:rFonts w:cs="Cambria"/>
        </w:rPr>
        <w:t>Obim proizvodnje koji implicira prihod dat za 2018</w:t>
      </w:r>
      <w:r w:rsidR="00900689">
        <w:rPr>
          <w:rFonts w:cs="Cambria"/>
        </w:rPr>
        <w:t>.</w:t>
      </w:r>
      <w:r w:rsidR="00F907F3" w:rsidRPr="00F907F3">
        <w:rPr>
          <w:rFonts w:cs="Cambria"/>
        </w:rPr>
        <w:t>godinu, kada su obe elektrane radile, a koji je korigovan na opisani način iznosi 28,791.66 MWh godišnje: 18,031.90 MWh na mHE Jare i 10,759.78 MWh na mHE Babin</w:t>
      </w:r>
      <w:r w:rsidR="00F907F3">
        <w:rPr>
          <w:rFonts w:cs="Cambria"/>
        </w:rPr>
        <w:t>o Polje</w:t>
      </w:r>
      <w:r w:rsidR="00F907F3" w:rsidRPr="00F907F3">
        <w:rPr>
          <w:rFonts w:cs="Cambria"/>
        </w:rPr>
        <w:t xml:space="preserve">. </w:t>
      </w:r>
      <w:r w:rsidR="00DA59B5">
        <w:rPr>
          <w:rFonts w:cs="Cambria"/>
        </w:rPr>
        <w:t xml:space="preserve">U </w:t>
      </w:r>
      <w:r w:rsidR="00F907F3">
        <w:rPr>
          <w:rFonts w:cs="Cambria"/>
        </w:rPr>
        <w:t xml:space="preserve">tipičnoj godini ukupan prihod ostvaren prodajomove količine električne energije po podsticajnim cijenama iznosi </w:t>
      </w:r>
      <w:r w:rsidR="00DA59B5">
        <w:rPr>
          <w:rFonts w:cs="Cambria"/>
        </w:rPr>
        <w:t xml:space="preserve">oko </w:t>
      </w:r>
    </w:p>
    <w:p w:rsidR="00F907F3" w:rsidRDefault="00DA59B5" w:rsidP="00F907F3">
      <w:pPr>
        <w:autoSpaceDE w:val="0"/>
        <w:autoSpaceDN w:val="0"/>
        <w:adjustRightInd w:val="0"/>
        <w:spacing w:line="276" w:lineRule="auto"/>
        <w:jc w:val="center"/>
        <w:rPr>
          <w:rFonts w:cs="Cambria"/>
        </w:rPr>
      </w:pPr>
      <w:r w:rsidRPr="00DA59B5">
        <w:rPr>
          <w:rFonts w:cs="Cambria"/>
          <w:b/>
        </w:rPr>
        <w:t>2,400,000</w:t>
      </w:r>
      <w:r w:rsidR="00F907F3">
        <w:rPr>
          <w:rFonts w:cs="Cambria"/>
        </w:rPr>
        <w:t xml:space="preserve"> eura </w:t>
      </w:r>
    </w:p>
    <w:p w:rsidR="00F907F3" w:rsidRDefault="00597572" w:rsidP="00F907F3">
      <w:pPr>
        <w:autoSpaceDE w:val="0"/>
        <w:autoSpaceDN w:val="0"/>
        <w:adjustRightInd w:val="0"/>
        <w:spacing w:line="276" w:lineRule="auto"/>
        <w:jc w:val="both"/>
        <w:rPr>
          <w:rFonts w:cs="Cambria"/>
        </w:rPr>
      </w:pPr>
      <w:r>
        <w:rPr>
          <w:rFonts w:cs="Cambria"/>
        </w:rPr>
        <w:t>i</w:t>
      </w:r>
      <w:r w:rsidR="00F907F3">
        <w:rPr>
          <w:rFonts w:cs="Cambria"/>
        </w:rPr>
        <w:t xml:space="preserve"> skoro je identičan ukupnom prihodu iz Bilansa uspjeha preduzeća u periodu kada su obe elektrane radili cijelu godinu dana. </w:t>
      </w:r>
    </w:p>
    <w:p w:rsidR="000D6D14" w:rsidRPr="00F907F3" w:rsidRDefault="000D6D14" w:rsidP="000D6D14">
      <w:pPr>
        <w:autoSpaceDE w:val="0"/>
        <w:autoSpaceDN w:val="0"/>
        <w:adjustRightInd w:val="0"/>
        <w:spacing w:line="276" w:lineRule="auto"/>
        <w:jc w:val="both"/>
        <w:rPr>
          <w:rFonts w:cs="Cambria"/>
        </w:rPr>
      </w:pPr>
      <w:r w:rsidRPr="000D6D14">
        <w:rPr>
          <w:rFonts w:cs="Cambria"/>
        </w:rPr>
        <w:t>Prethodno važi za prvih 12 godina kada se primijenjju podsticajne cijene.</w:t>
      </w:r>
      <w:r w:rsidRPr="00F907F3">
        <w:rPr>
          <w:rFonts w:cs="Cambria"/>
        </w:rPr>
        <w:t xml:space="preserve"> Međutim, u periodu od 12. do 25. godine, cijene neće biti podsticajne</w:t>
      </w:r>
      <w:r w:rsidR="00322654" w:rsidRPr="00F907F3">
        <w:rPr>
          <w:rFonts w:cs="Cambria"/>
        </w:rPr>
        <w:t xml:space="preserve">, već će kao što smo videlu u tabeli o berzanskim cijenama biti na nivou od </w:t>
      </w:r>
      <w:r w:rsidR="004E5178" w:rsidRPr="00F907F3">
        <w:rPr>
          <w:rFonts w:cs="Cambria"/>
        </w:rPr>
        <w:t xml:space="preserve">48,61 euro po MWh, odnosno po 4,861 euro centi po kWh. Usled toga će u tim godinama </w:t>
      </w:r>
      <w:r w:rsidRPr="00F907F3">
        <w:rPr>
          <w:rFonts w:cs="Cambria"/>
        </w:rPr>
        <w:t>ukupan prihod u tipi</w:t>
      </w:r>
      <w:r w:rsidR="004E5178" w:rsidRPr="00F907F3">
        <w:rPr>
          <w:rFonts w:cs="Cambria"/>
        </w:rPr>
        <w:t>čnoj godini</w:t>
      </w:r>
      <w:r w:rsidRPr="00F907F3">
        <w:rPr>
          <w:rFonts w:cs="Cambria"/>
        </w:rPr>
        <w:t xml:space="preserve"> iznositi oko </w:t>
      </w:r>
    </w:p>
    <w:p w:rsidR="000D6D14" w:rsidRPr="00F907F3" w:rsidRDefault="004E5178" w:rsidP="000D6D14">
      <w:pPr>
        <w:autoSpaceDE w:val="0"/>
        <w:autoSpaceDN w:val="0"/>
        <w:adjustRightInd w:val="0"/>
        <w:spacing w:line="276" w:lineRule="auto"/>
        <w:jc w:val="center"/>
        <w:rPr>
          <w:rFonts w:cs="Cambria"/>
        </w:rPr>
      </w:pPr>
      <w:r w:rsidRPr="00F907F3">
        <w:rPr>
          <w:rFonts w:cs="Cambria"/>
          <w:b/>
        </w:rPr>
        <w:t xml:space="preserve">1,399,563 </w:t>
      </w:r>
      <w:r w:rsidRPr="00F907F3">
        <w:rPr>
          <w:rFonts w:cs="Cambria"/>
        </w:rPr>
        <w:t xml:space="preserve">eura. </w:t>
      </w:r>
    </w:p>
    <w:p w:rsidR="009958F5" w:rsidRDefault="004E5178" w:rsidP="004E5178">
      <w:pPr>
        <w:autoSpaceDE w:val="0"/>
        <w:autoSpaceDN w:val="0"/>
        <w:adjustRightInd w:val="0"/>
        <w:spacing w:line="276" w:lineRule="auto"/>
        <w:jc w:val="both"/>
        <w:rPr>
          <w:rFonts w:cs="Cambria"/>
        </w:rPr>
      </w:pPr>
      <w:r w:rsidRPr="00F907F3">
        <w:rPr>
          <w:rFonts w:cs="Cambria"/>
        </w:rPr>
        <w:t xml:space="preserve">Riječ je o zaista značajnoj razlici od nešto više nego million eura godišnje. </w:t>
      </w:r>
      <w:r w:rsidR="002F075D" w:rsidRPr="00F907F3">
        <w:rPr>
          <w:rFonts w:cs="Cambria"/>
        </w:rPr>
        <w:t>Obim proizvodnje koji ovo</w:t>
      </w:r>
      <w:r w:rsidRPr="00F907F3">
        <w:rPr>
          <w:rFonts w:cs="Cambria"/>
        </w:rPr>
        <w:t>liki prihod</w:t>
      </w:r>
      <w:r w:rsidR="002F075D" w:rsidRPr="00F907F3">
        <w:rPr>
          <w:rFonts w:cs="Cambria"/>
        </w:rPr>
        <w:t xml:space="preserve"> implicira je </w:t>
      </w:r>
      <w:r w:rsidRPr="00F907F3">
        <w:rPr>
          <w:rFonts w:cs="Cambria"/>
        </w:rPr>
        <w:t xml:space="preserve">kao što smo vidjeli 28,791.66 MWh godišnje: 18,031.90 MWh na mHE Jare i 10,759.78 MWh na mHE Babin Potok. </w:t>
      </w:r>
    </w:p>
    <w:p w:rsidR="002F075D" w:rsidRPr="00F907F3" w:rsidRDefault="009958F5" w:rsidP="004E5178">
      <w:pPr>
        <w:autoSpaceDE w:val="0"/>
        <w:autoSpaceDN w:val="0"/>
        <w:adjustRightInd w:val="0"/>
        <w:spacing w:line="276" w:lineRule="auto"/>
        <w:jc w:val="both"/>
        <w:rPr>
          <w:rFonts w:cs="Cambria"/>
        </w:rPr>
      </w:pPr>
      <w:r>
        <w:rPr>
          <w:rFonts w:cs="Cambria"/>
        </w:rPr>
        <w:t>Napominjemo da ćemo docnije napraviti i analizu u kojoj se kao benchmark nala</w:t>
      </w:r>
      <w:r w:rsidR="00900689">
        <w:rPr>
          <w:rFonts w:cs="Cambria"/>
        </w:rPr>
        <w:t>z</w:t>
      </w:r>
      <w:r>
        <w:rPr>
          <w:rFonts w:cs="Cambria"/>
        </w:rPr>
        <w:t>e podaci iz planskih dokumenta koji su, kao što je rečeno, mnogo manj</w:t>
      </w:r>
      <w:r w:rsidR="00900689">
        <w:rPr>
          <w:rFonts w:cs="Cambria"/>
        </w:rPr>
        <w:t>i</w:t>
      </w:r>
      <w:r>
        <w:rPr>
          <w:rFonts w:cs="Cambria"/>
        </w:rPr>
        <w:t xml:space="preserve">od stvarne proizvodnje. </w:t>
      </w:r>
    </w:p>
    <w:p w:rsidR="00E0474B" w:rsidRPr="002D099A" w:rsidRDefault="00460818" w:rsidP="001D19FC">
      <w:pPr>
        <w:autoSpaceDE w:val="0"/>
        <w:autoSpaceDN w:val="0"/>
        <w:adjustRightInd w:val="0"/>
        <w:spacing w:line="276" w:lineRule="auto"/>
        <w:jc w:val="both"/>
        <w:rPr>
          <w:rFonts w:cs="Cambria"/>
        </w:rPr>
      </w:pPr>
      <w:r w:rsidRPr="008010FA">
        <w:rPr>
          <w:rFonts w:cs="Cambria"/>
          <w:b/>
        </w:rPr>
        <w:t>6</w:t>
      </w:r>
      <w:r w:rsidR="002D099A" w:rsidRPr="008010FA">
        <w:rPr>
          <w:rFonts w:cs="Cambria"/>
          <w:b/>
        </w:rPr>
        <w:t>.</w:t>
      </w:r>
      <w:r w:rsidR="002D099A">
        <w:rPr>
          <w:rFonts w:cs="Cambria"/>
        </w:rPr>
        <w:t xml:space="preserve"> Vrijednost </w:t>
      </w:r>
      <w:r w:rsidR="002D099A" w:rsidRPr="002D099A">
        <w:rPr>
          <w:rFonts w:cs="Cambria"/>
          <w:b/>
        </w:rPr>
        <w:t>troškova amortizacije</w:t>
      </w:r>
      <w:r w:rsidR="002D099A">
        <w:rPr>
          <w:rFonts w:cs="Cambria"/>
        </w:rPr>
        <w:t xml:space="preserve"> smo utvrdili polazeći od rešenja iz ugovorao koncesiji a prema kojem se stopa amortizacije računa polazeći od vijeka trajanja opreme i drugih fiksnih fondova kako ih je odredio </w:t>
      </w:r>
      <w:r w:rsidR="002D099A">
        <w:rPr>
          <w:rFonts w:cs="Cambria"/>
          <w:color w:val="000000"/>
        </w:rPr>
        <w:t xml:space="preserve">provajder. U konkretnom slučaju stopa amortizacije je ispala da iznosi oko 4.5% od vrijednosti </w:t>
      </w:r>
      <w:r w:rsidR="00932D24">
        <w:rPr>
          <w:rFonts w:cs="Cambria"/>
          <w:color w:val="000000"/>
        </w:rPr>
        <w:t xml:space="preserve">ulaganja u fiksne fondove, opremu i građevinske radove, što na godišnjem nivou u tipičnoj godini iznosi oko </w:t>
      </w:r>
    </w:p>
    <w:p w:rsidR="00950252" w:rsidRPr="00932D24" w:rsidRDefault="00932D24" w:rsidP="00932D24">
      <w:pPr>
        <w:autoSpaceDE w:val="0"/>
        <w:autoSpaceDN w:val="0"/>
        <w:adjustRightInd w:val="0"/>
        <w:spacing w:line="276" w:lineRule="auto"/>
        <w:jc w:val="center"/>
        <w:rPr>
          <w:rFonts w:cs="Cambria"/>
        </w:rPr>
      </w:pPr>
      <w:r>
        <w:rPr>
          <w:rFonts w:cs="Cambria"/>
          <w:b/>
        </w:rPr>
        <w:t xml:space="preserve">380,000 </w:t>
      </w:r>
      <w:r>
        <w:rPr>
          <w:rFonts w:cs="Cambria"/>
        </w:rPr>
        <w:t xml:space="preserve">eura. </w:t>
      </w:r>
    </w:p>
    <w:p w:rsidR="00950252" w:rsidRDefault="00C05AF3" w:rsidP="001D19FC">
      <w:pPr>
        <w:autoSpaceDE w:val="0"/>
        <w:autoSpaceDN w:val="0"/>
        <w:adjustRightInd w:val="0"/>
        <w:spacing w:line="276" w:lineRule="auto"/>
        <w:jc w:val="both"/>
        <w:rPr>
          <w:rFonts w:cs="Cambria"/>
        </w:rPr>
      </w:pPr>
      <w:r>
        <w:rPr>
          <w:rFonts w:cs="Cambria"/>
        </w:rPr>
        <w:t xml:space="preserve">Za razliku od troškova amortizacije koji su odbitna stavka u bilansu uspjeha i dodatna stavka u neto toku gotovine, </w:t>
      </w:r>
      <w:r w:rsidRPr="00C05AF3">
        <w:rPr>
          <w:rFonts w:cs="Cambria"/>
          <w:b/>
        </w:rPr>
        <w:t>troškovi zamjene i remonta</w:t>
      </w:r>
      <w:r>
        <w:rPr>
          <w:rFonts w:cs="Cambria"/>
        </w:rPr>
        <w:t xml:space="preserve"> predstavljaju odbitnu stavku neto toka gotovine. U ovoj analizi </w:t>
      </w:r>
      <w:r>
        <w:rPr>
          <w:rFonts w:cs="Cambria"/>
        </w:rPr>
        <w:lastRenderedPageBreak/>
        <w:t xml:space="preserve">smo pošli od pretpostavke da se remont i zamjena vrše </w:t>
      </w:r>
      <w:r w:rsidR="00E06438">
        <w:rPr>
          <w:rFonts w:cs="Cambria"/>
        </w:rPr>
        <w:t xml:space="preserve">nakon </w:t>
      </w:r>
      <w:r>
        <w:rPr>
          <w:rFonts w:cs="Cambria"/>
        </w:rPr>
        <w:t xml:space="preserve">svakih 8 godina. Iznos smo izračunali kao ukupnu vrijednost opreme uvećanu samo donekle za vrijednost građevinskih radova. </w:t>
      </w:r>
      <w:r w:rsidR="00E06438">
        <w:rPr>
          <w:rFonts w:cs="Cambria"/>
        </w:rPr>
        <w:t xml:space="preserve">Ukupna vrijednost troškova zamjene i remonta bi u tom slučaju trebala </w:t>
      </w:r>
      <w:r w:rsidR="003F2F92">
        <w:rPr>
          <w:rFonts w:cs="Cambria"/>
        </w:rPr>
        <w:t xml:space="preserve">nakon svake osme godine </w:t>
      </w:r>
      <w:r w:rsidR="00E06438">
        <w:rPr>
          <w:rFonts w:cs="Cambria"/>
        </w:rPr>
        <w:t xml:space="preserve">iznositi </w:t>
      </w:r>
    </w:p>
    <w:p w:rsidR="00932D24" w:rsidRPr="00E06438" w:rsidRDefault="00E06438" w:rsidP="00E06438">
      <w:pPr>
        <w:autoSpaceDE w:val="0"/>
        <w:autoSpaceDN w:val="0"/>
        <w:adjustRightInd w:val="0"/>
        <w:spacing w:line="276" w:lineRule="auto"/>
        <w:jc w:val="center"/>
        <w:rPr>
          <w:rFonts w:cs="Cambria"/>
        </w:rPr>
      </w:pPr>
      <w:r>
        <w:rPr>
          <w:rFonts w:cs="Cambria"/>
          <w:b/>
        </w:rPr>
        <w:t xml:space="preserve">2,557,800 </w:t>
      </w:r>
      <w:r>
        <w:rPr>
          <w:rFonts w:cs="Cambria"/>
        </w:rPr>
        <w:t xml:space="preserve">eura. </w:t>
      </w:r>
    </w:p>
    <w:p w:rsidR="00BE3D5C" w:rsidRPr="00CF2014" w:rsidRDefault="00460818" w:rsidP="00CF2014">
      <w:pPr>
        <w:autoSpaceDE w:val="0"/>
        <w:autoSpaceDN w:val="0"/>
        <w:adjustRightInd w:val="0"/>
        <w:spacing w:line="276" w:lineRule="auto"/>
        <w:jc w:val="both"/>
        <w:rPr>
          <w:rFonts w:cs="Cambria"/>
        </w:rPr>
      </w:pPr>
      <w:r w:rsidRPr="008010FA">
        <w:rPr>
          <w:rFonts w:cs="Cambria"/>
          <w:b/>
        </w:rPr>
        <w:t>7</w:t>
      </w:r>
      <w:r w:rsidR="00CF2014" w:rsidRPr="008010FA">
        <w:rPr>
          <w:rFonts w:cs="Cambria"/>
          <w:b/>
        </w:rPr>
        <w:t>.</w:t>
      </w:r>
      <w:r w:rsidR="00BE3D5C" w:rsidRPr="0012201A">
        <w:rPr>
          <w:rFonts w:cs="Cambria"/>
          <w:b/>
        </w:rPr>
        <w:t xml:space="preserve">Troškovi bruto plata </w:t>
      </w:r>
      <w:r w:rsidR="00BE3D5C" w:rsidRPr="00CF2014">
        <w:rPr>
          <w:rFonts w:cs="Cambria"/>
        </w:rPr>
        <w:t xml:space="preserve">nebi trebali predstavljati ni značajnu stavku ni stavku koju bi bilo teško izračunati. Nažalost, u statističkim podacima iz izvještaja </w:t>
      </w:r>
      <w:r w:rsidR="00F63200" w:rsidRPr="00CF2014">
        <w:rPr>
          <w:rFonts w:cs="Cambria"/>
        </w:rPr>
        <w:t>koji se obavezno dostavlja Poreskoj službi, a koji se može naći na internet, vidimo da u d. o. o Kronos, koja se sastoji samo iz dvije mHE (Jara i Babino Polje), radi ni manje ni više nego 20 zaposlenih. Ovo je iznad svake realne mjere. Ipak, da bi analizu učinili što je moguće više konzervativnom a rezultate što je moguće robusnijim i mi ćemo poći od slične pre</w:t>
      </w:r>
      <w:r w:rsidR="00CF2014" w:rsidRPr="00CF2014">
        <w:rPr>
          <w:rFonts w:cs="Cambria"/>
        </w:rPr>
        <w:t xml:space="preserve">tpostavke. Šta više pretpostavićemo ida su bruto plate na istom nivou kao u bilansu investitora: 660 eura na mjesečnom nivou, odnosno 7,920 eura po radniku na godišnjem nivou. Polazeći od ovih pretpostavki dolazimo do godišnjeg iznosa ukupnih bruto plata u iznosu od: </w:t>
      </w:r>
    </w:p>
    <w:p w:rsidR="00CF2014" w:rsidRDefault="00CF2014" w:rsidP="00CF2014">
      <w:pPr>
        <w:jc w:val="center"/>
      </w:pPr>
      <w:r w:rsidRPr="00CF2014">
        <w:rPr>
          <w:b/>
        </w:rPr>
        <w:t>158,400</w:t>
      </w:r>
      <w:r>
        <w:t xml:space="preserve"> eura, </w:t>
      </w:r>
    </w:p>
    <w:p w:rsidR="00CF2014" w:rsidRPr="00CF2014" w:rsidRDefault="00CF2014" w:rsidP="00CF2014">
      <w:r>
        <w:t xml:space="preserve">što čini oko 6,6% ukupnog prihoda. </w:t>
      </w:r>
    </w:p>
    <w:p w:rsidR="00E06438" w:rsidRPr="003F2F92" w:rsidRDefault="00460818" w:rsidP="003F2F92">
      <w:pPr>
        <w:autoSpaceDE w:val="0"/>
        <w:autoSpaceDN w:val="0"/>
        <w:adjustRightInd w:val="0"/>
        <w:spacing w:line="276" w:lineRule="auto"/>
        <w:jc w:val="both"/>
        <w:rPr>
          <w:rFonts w:cs="Cambria"/>
        </w:rPr>
      </w:pPr>
      <w:r w:rsidRPr="008010FA">
        <w:rPr>
          <w:rFonts w:cs="Cambria"/>
          <w:b/>
        </w:rPr>
        <w:t>8</w:t>
      </w:r>
      <w:r w:rsidR="00BE3D5C" w:rsidRPr="008010FA">
        <w:rPr>
          <w:rFonts w:cs="Cambria"/>
          <w:b/>
        </w:rPr>
        <w:t>.</w:t>
      </w:r>
      <w:r w:rsidR="003F2F92" w:rsidRPr="0012201A">
        <w:rPr>
          <w:rFonts w:cs="Cambria"/>
          <w:b/>
        </w:rPr>
        <w:t>Troškovi materijala</w:t>
      </w:r>
      <w:r w:rsidR="003F2F92">
        <w:rPr>
          <w:rFonts w:cs="Cambria"/>
        </w:rPr>
        <w:t xml:space="preserve"> ovdje predstavljaju zanemarljivu i trivijalnu stavku. Troškovi materijala za izradu su ovdje, sasvim prirodno, ravni nuli. Polazeći od standard koje srećemo kod drugih mHE kao i od iskustva ove mHE iz prethodnih godina, vidimo da troškovi režijskog materijala čine oko 0.448%, dok troškovi goriva čine tek 0.162% od ukupnog prihoda. Ukupno troškovi materijala, dakle, čine tek oko </w:t>
      </w:r>
      <w:r w:rsidR="00BE3D5C">
        <w:rPr>
          <w:rFonts w:cs="Cambria"/>
        </w:rPr>
        <w:t xml:space="preserve">0,611% ukupnog prihoda, odnosno, mjereno u apsolutnim jedinicama, oni u tipičnoj godini čine tek nešto manje od </w:t>
      </w:r>
    </w:p>
    <w:p w:rsidR="00E06438" w:rsidRPr="00BE3D5C" w:rsidRDefault="00BE3D5C" w:rsidP="00BE3D5C">
      <w:pPr>
        <w:autoSpaceDE w:val="0"/>
        <w:autoSpaceDN w:val="0"/>
        <w:adjustRightInd w:val="0"/>
        <w:spacing w:line="276" w:lineRule="auto"/>
        <w:jc w:val="center"/>
        <w:rPr>
          <w:rFonts w:cs="Cambria"/>
        </w:rPr>
      </w:pPr>
      <w:r>
        <w:rPr>
          <w:rFonts w:cs="Cambria"/>
          <w:b/>
        </w:rPr>
        <w:t xml:space="preserve">15,000 </w:t>
      </w:r>
      <w:r>
        <w:rPr>
          <w:rFonts w:cs="Cambria"/>
        </w:rPr>
        <w:t xml:space="preserve">eura. </w:t>
      </w:r>
    </w:p>
    <w:p w:rsidR="00014A00" w:rsidRDefault="00014A00" w:rsidP="00BE3D5C">
      <w:pPr>
        <w:autoSpaceDE w:val="0"/>
        <w:autoSpaceDN w:val="0"/>
        <w:adjustRightInd w:val="0"/>
        <w:spacing w:line="276" w:lineRule="auto"/>
        <w:jc w:val="both"/>
        <w:rPr>
          <w:rFonts w:cs="Cambria"/>
        </w:rPr>
      </w:pPr>
      <w:r>
        <w:rPr>
          <w:rFonts w:cs="Cambria"/>
        </w:rPr>
        <w:t xml:space="preserve">Nivo ovih troškova zavisi samo od nivoa aktivnosti i sasvim prirodno nije osjetljiv na ukupan prihod kada on zavisi od cjenovnog aranžmana. </w:t>
      </w:r>
    </w:p>
    <w:p w:rsidR="003F2F92" w:rsidRDefault="00460818" w:rsidP="00BE3D5C">
      <w:pPr>
        <w:autoSpaceDE w:val="0"/>
        <w:autoSpaceDN w:val="0"/>
        <w:adjustRightInd w:val="0"/>
        <w:spacing w:line="276" w:lineRule="auto"/>
        <w:jc w:val="both"/>
        <w:rPr>
          <w:rFonts w:cs="Cambria"/>
        </w:rPr>
      </w:pPr>
      <w:r w:rsidRPr="008010FA">
        <w:rPr>
          <w:rFonts w:cs="Cambria"/>
          <w:b/>
        </w:rPr>
        <w:t>9</w:t>
      </w:r>
      <w:r w:rsidR="00BE3D5C" w:rsidRPr="008010FA">
        <w:rPr>
          <w:rFonts w:cs="Cambria"/>
          <w:b/>
        </w:rPr>
        <w:t>.</w:t>
      </w:r>
      <w:r w:rsidR="005C5439" w:rsidRPr="0012201A">
        <w:rPr>
          <w:rFonts w:cs="Cambria"/>
          <w:b/>
        </w:rPr>
        <w:t>Ostali poslovni izdaci</w:t>
      </w:r>
      <w:r w:rsidR="005C5439">
        <w:rPr>
          <w:rFonts w:cs="Cambria"/>
        </w:rPr>
        <w:t>, koji jedva da čine nešto preko 5% vrijednosti ukupnog prihoda, su uvrš</w:t>
      </w:r>
      <w:r w:rsidR="00B441D5">
        <w:rPr>
          <w:rFonts w:cs="Cambria"/>
        </w:rPr>
        <w:t>t</w:t>
      </w:r>
      <w:r w:rsidR="005C5439">
        <w:rPr>
          <w:rFonts w:cs="Cambria"/>
        </w:rPr>
        <w:t>eni polazeći od normativa, tj</w:t>
      </w:r>
      <w:r w:rsidR="00B441D5">
        <w:rPr>
          <w:rFonts w:cs="Cambria"/>
        </w:rPr>
        <w:t>.</w:t>
      </w:r>
      <w:r w:rsidR="005C5439">
        <w:rPr>
          <w:rFonts w:cs="Cambria"/>
        </w:rPr>
        <w:t>od učešća posmatranih troškova u prihodima kod drugih mHE, prezentirani su u</w:t>
      </w:r>
      <w:r w:rsidR="005C5439" w:rsidRPr="007D4D49">
        <w:rPr>
          <w:rFonts w:cs="Cambria"/>
        </w:rPr>
        <w:t xml:space="preserve"> narednoj tabeli.</w:t>
      </w:r>
    </w:p>
    <w:p w:rsidR="005C5439" w:rsidRPr="004E7B15" w:rsidRDefault="004E7B15" w:rsidP="004E7B15">
      <w:pPr>
        <w:autoSpaceDE w:val="0"/>
        <w:autoSpaceDN w:val="0"/>
        <w:adjustRightInd w:val="0"/>
        <w:spacing w:line="276" w:lineRule="auto"/>
        <w:jc w:val="center"/>
        <w:rPr>
          <w:rFonts w:cs="Cambria"/>
        </w:rPr>
      </w:pPr>
      <w:r w:rsidRPr="004E7B15">
        <w:rPr>
          <w:noProof/>
        </w:rPr>
        <w:drawing>
          <wp:inline distT="0" distB="0" distL="0" distR="0">
            <wp:extent cx="3656599" cy="177437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8722" cy="1785106"/>
                    </a:xfrm>
                    <a:prstGeom prst="rect">
                      <a:avLst/>
                    </a:prstGeom>
                    <a:noFill/>
                    <a:ln>
                      <a:noFill/>
                    </a:ln>
                  </pic:spPr>
                </pic:pic>
              </a:graphicData>
            </a:graphic>
          </wp:inline>
        </w:drawing>
      </w:r>
    </w:p>
    <w:p w:rsidR="005C5439" w:rsidRDefault="005C5439" w:rsidP="00BE3D5C">
      <w:pPr>
        <w:autoSpaceDE w:val="0"/>
        <w:autoSpaceDN w:val="0"/>
        <w:adjustRightInd w:val="0"/>
        <w:spacing w:line="276" w:lineRule="auto"/>
        <w:jc w:val="both"/>
      </w:pPr>
      <w:r>
        <w:lastRenderedPageBreak/>
        <w:t>Kao što vidimo, riječ je o većem broju stavki od malog značaja, tako da sve skupa čine tek 5,11% uku</w:t>
      </w:r>
      <w:r w:rsidR="00B441D5">
        <w:t>pno</w:t>
      </w:r>
      <w:r>
        <w:t xml:space="preserve">g prihoda investitora. </w:t>
      </w:r>
      <w:r w:rsidR="003A2FFB">
        <w:t xml:space="preserve">Od svih specificiranih stavki jedine od značaja su one koje se odnose na troškove tekućeg održavanja i one koje se odnose na razne oblike osiguranja. </w:t>
      </w:r>
      <w:r w:rsidR="00F21310">
        <w:t xml:space="preserve">Iako su računate polazeći od prihoda baziranog na cijenama u prvih 12 godina, ovi troškovi i nakon toga ostaju na istom nivou bez obzira na promjenu cijena do koje dolazi. Jedino što na njihov nivo može uticati je nivo aktivnosti u datoj godini. </w:t>
      </w:r>
    </w:p>
    <w:p w:rsidR="00BE3D5C" w:rsidRPr="00950252" w:rsidRDefault="00460818" w:rsidP="001D19FC">
      <w:pPr>
        <w:autoSpaceDE w:val="0"/>
        <w:autoSpaceDN w:val="0"/>
        <w:adjustRightInd w:val="0"/>
        <w:spacing w:line="276" w:lineRule="auto"/>
        <w:jc w:val="both"/>
        <w:rPr>
          <w:rFonts w:cs="Cambria"/>
        </w:rPr>
      </w:pPr>
      <w:r w:rsidRPr="008010FA">
        <w:rPr>
          <w:rFonts w:cs="Cambria"/>
          <w:b/>
        </w:rPr>
        <w:t>10</w:t>
      </w:r>
      <w:r w:rsidR="00FC7002" w:rsidRPr="008010FA">
        <w:rPr>
          <w:rFonts w:cs="Cambria"/>
          <w:b/>
        </w:rPr>
        <w:t>.</w:t>
      </w:r>
      <w:r w:rsidR="00FC7002" w:rsidRPr="0012201A">
        <w:rPr>
          <w:rFonts w:cs="Cambria"/>
          <w:b/>
        </w:rPr>
        <w:t xml:space="preserve">Investicije </w:t>
      </w:r>
      <w:r w:rsidR="00FC7002">
        <w:rPr>
          <w:rFonts w:cs="Cambria"/>
        </w:rPr>
        <w:t>su, kao što smo videli iz planskih dokumenata, trebale biti oko 8,500,000 eura za fiksne fondove plus oko 26,000 eura za obrtna sredstva, što ukupno čini 8,526,000 eura. Kad je riječ o fiksnim fondovima, investicije u mHE Jara su bile procijenjene na 5,000,000 eura d</w:t>
      </w:r>
      <w:r w:rsidR="00653CAC">
        <w:rPr>
          <w:rFonts w:cs="Cambria"/>
        </w:rPr>
        <w:t>ok su investicije u mHE Babino P</w:t>
      </w:r>
      <w:r w:rsidR="00FC7002">
        <w:rPr>
          <w:rFonts w:cs="Cambria"/>
        </w:rPr>
        <w:t xml:space="preserve">olje bile procijenjene </w:t>
      </w:r>
      <w:r w:rsidR="00653CAC">
        <w:rPr>
          <w:rFonts w:cs="Cambria"/>
        </w:rPr>
        <w:t xml:space="preserve">da će biti oko 3,500,000 eura. Na osnovu podataka iz Bilansa uspjeha i Bilansa stanja </w:t>
      </w:r>
      <w:r w:rsidR="00907704">
        <w:rPr>
          <w:rFonts w:cs="Cambria"/>
        </w:rPr>
        <w:t xml:space="preserve">ne </w:t>
      </w:r>
      <w:r w:rsidR="00653CAC">
        <w:rPr>
          <w:rFonts w:cs="Cambria"/>
        </w:rPr>
        <w:t>vidimo, međutim, da</w:t>
      </w:r>
      <w:r w:rsidR="00907704">
        <w:rPr>
          <w:rFonts w:cs="Cambria"/>
        </w:rPr>
        <w:t>li</w:t>
      </w:r>
      <w:r w:rsidR="00653CAC">
        <w:rPr>
          <w:rFonts w:cs="Cambria"/>
        </w:rPr>
        <w:t xml:space="preserve"> su investicije </w:t>
      </w:r>
      <w:r w:rsidR="00907704">
        <w:rPr>
          <w:rFonts w:cs="Cambria"/>
        </w:rPr>
        <w:t xml:space="preserve">bile baš na tom nivou kako je prvobitno planramo. Na osnovu bilansa bi se moglo zaključiti da jesu. </w:t>
      </w:r>
    </w:p>
    <w:p w:rsidR="00684D5D" w:rsidRDefault="00B307F5" w:rsidP="001D19FC">
      <w:pPr>
        <w:autoSpaceDE w:val="0"/>
        <w:autoSpaceDN w:val="0"/>
        <w:adjustRightInd w:val="0"/>
        <w:spacing w:line="276" w:lineRule="auto"/>
        <w:jc w:val="both"/>
      </w:pPr>
      <w:r w:rsidRPr="00907704">
        <w:t>U realizaciji projekta se</w:t>
      </w:r>
      <w:r w:rsidR="00371DA3">
        <w:t>, međutim,</w:t>
      </w:r>
      <w:r w:rsidRPr="00907704">
        <w:t xml:space="preserve"> odustalo </w:t>
      </w:r>
      <w:r w:rsidR="00371DA3">
        <w:t xml:space="preserve">od prvobitno zamišljene </w:t>
      </w:r>
      <w:r w:rsidR="00371DA3" w:rsidRPr="0012201A">
        <w:rPr>
          <w:b/>
        </w:rPr>
        <w:t>konstrukcije finasiranja</w:t>
      </w:r>
      <w:r w:rsidR="00371DA3">
        <w:t xml:space="preserve"> prema kojoj je, podsjećamo, 4,700,000</w:t>
      </w:r>
      <w:r w:rsidR="00665320">
        <w:t xml:space="preserve"> (oko 55%)</w:t>
      </w:r>
      <w:r w:rsidR="00371DA3">
        <w:t xml:space="preserve"> eura vrijednosti investicija trebalo finansirati iz kredita (3,200,000 </w:t>
      </w:r>
      <w:r w:rsidR="00665320">
        <w:t xml:space="preserve">eura za </w:t>
      </w:r>
      <w:r w:rsidR="00371DA3">
        <w:t>mHE Jara + 1,500,000</w:t>
      </w:r>
      <w:r w:rsidR="00665320">
        <w:t xml:space="preserve"> eura za</w:t>
      </w:r>
      <w:r w:rsidR="00371DA3">
        <w:t xml:space="preserve"> mHE Babino Polje) a ostatak od 3,826.000</w:t>
      </w:r>
      <w:r w:rsidR="00665320">
        <w:t xml:space="preserve"> (skoro 45%)</w:t>
      </w:r>
      <w:r w:rsidR="00371DA3">
        <w:t xml:space="preserve"> eura iz sopstvenih sredstava. </w:t>
      </w:r>
      <w:r w:rsidR="00665320">
        <w:t>Slutimo da je, suočen sa povoljnim kamatama na dugoročne kredite od 4,5% (Fond za razvoj</w:t>
      </w:r>
      <w:r w:rsidR="00FF6B92">
        <w:t xml:space="preserve"> daje jo[ ni\e kamatne stope</w:t>
      </w:r>
      <w:r w:rsidR="00665320">
        <w:t>), investitor optirao da čitavih 7,050,000 eura finansira iz dugoročnih kredita a da dodatnih 1,000,000 eura i</w:t>
      </w:r>
      <w:r w:rsidR="00684D5D">
        <w:t xml:space="preserve">nvesticija investira iz </w:t>
      </w:r>
      <w:r w:rsidR="00665320">
        <w:t xml:space="preserve">kredita </w:t>
      </w:r>
      <w:r w:rsidR="00684D5D">
        <w:t xml:space="preserve">komercijalnih banaka </w:t>
      </w:r>
      <w:r w:rsidR="00FF6B92">
        <w:t>po po nešto većoj</w:t>
      </w:r>
      <w:r w:rsidR="00665320">
        <w:t xml:space="preserve"> stopi od 6%. </w:t>
      </w:r>
      <w:r w:rsidR="00684D5D">
        <w:t>Takva kalkulacija se, naime, uklapa u ono na šta nam ukazuje iznas kamata iz 2018</w:t>
      </w:r>
      <w:r w:rsidR="00B441D5">
        <w:t>.</w:t>
      </w:r>
      <w:r w:rsidR="00684D5D">
        <w:t xml:space="preserve">godine. Tako ispada da se iz kredita finansiralo čitavih 8,050,000 eura, odnosno 94% vrijednosti investicije, dok se </w:t>
      </w:r>
      <w:r w:rsidR="00B441D5">
        <w:t xml:space="preserve">ostatak </w:t>
      </w:r>
      <w:r w:rsidR="00684D5D">
        <w:t xml:space="preserve">od </w:t>
      </w:r>
      <w:r w:rsidR="0064658E">
        <w:t>jedva nekih</w:t>
      </w:r>
      <w:r w:rsidR="00684D5D">
        <w:t xml:space="preserve"> 6% (426,000 eura) finansirao iz vlastitih sredstava. </w:t>
      </w:r>
      <w:r w:rsidR="0064658E">
        <w:t>Ništa čudno nema u ovome. Da je mogao, investitor bi kompletan projekat finasirao iz kredita. O</w:t>
      </w:r>
      <w:r w:rsidR="00B441D5">
        <w:t>v</w:t>
      </w:r>
      <w:r w:rsidR="0064658E">
        <w:t>aj biznis je, naime, toliko zaštičen ne samo cijenama, već i obaveznim i prioritetnim otkupom struje da je ovdje r</w:t>
      </w:r>
      <w:r w:rsidR="00B441D5">
        <w:t>i</w:t>
      </w:r>
      <w:r w:rsidR="0064658E">
        <w:t xml:space="preserve">zik manji i od rizika same države. Evaluaciju ovakvog biznisa bi zato bilo najumjesnije uraditi polazeći od diskontne stope koja bi bila jednaka stopi povrata na </w:t>
      </w:r>
      <w:r w:rsidR="00881F88">
        <w:t xml:space="preserve">dugoročne </w:t>
      </w:r>
      <w:r w:rsidR="0064658E">
        <w:t xml:space="preserve">državne </w:t>
      </w:r>
      <w:r w:rsidR="00881F88">
        <w:t>hartije od vrijednosti. N</w:t>
      </w:r>
      <w:r w:rsidR="0064658E">
        <w:t>aj</w:t>
      </w:r>
      <w:r w:rsidR="00B441D5">
        <w:t>i</w:t>
      </w:r>
      <w:r w:rsidR="0064658E">
        <w:t xml:space="preserve">splativiji </w:t>
      </w:r>
      <w:r w:rsidR="00881F88">
        <w:t xml:space="preserve">laverage bi u ovim uslovima bio 100%. U sledećoj tabeli dajemo najvjerovatnije tokove otplate kredita kojima je pokrivena </w:t>
      </w:r>
      <w:bookmarkStart w:id="0" w:name="_GoBack"/>
      <w:bookmarkEnd w:id="0"/>
      <w:r w:rsidR="00881F88">
        <w:t xml:space="preserve">konstrukcija finansiranja projekta. </w:t>
      </w:r>
    </w:p>
    <w:p w:rsidR="00B04E08" w:rsidRPr="00003160" w:rsidRDefault="00621FFF" w:rsidP="00B777DF">
      <w:pPr>
        <w:autoSpaceDE w:val="0"/>
        <w:autoSpaceDN w:val="0"/>
        <w:adjustRightInd w:val="0"/>
        <w:spacing w:line="276" w:lineRule="auto"/>
        <w:jc w:val="center"/>
      </w:pPr>
      <w:r w:rsidRPr="00621FFF">
        <w:rPr>
          <w:noProof/>
        </w:rPr>
        <w:drawing>
          <wp:inline distT="0" distB="0" distL="0" distR="0">
            <wp:extent cx="5039139" cy="233498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4319" cy="2411525"/>
                    </a:xfrm>
                    <a:prstGeom prst="rect">
                      <a:avLst/>
                    </a:prstGeom>
                    <a:noFill/>
                    <a:ln>
                      <a:noFill/>
                    </a:ln>
                  </pic:spPr>
                </pic:pic>
              </a:graphicData>
            </a:graphic>
          </wp:inline>
        </w:drawing>
      </w:r>
      <w:r w:rsidR="00B04E08">
        <w:rPr>
          <w:rFonts w:cs="Cambria"/>
          <w:color w:val="000000"/>
        </w:rPr>
        <w:br w:type="page"/>
      </w:r>
    </w:p>
    <w:p w:rsidR="00B04E08" w:rsidRDefault="00B04E08" w:rsidP="001D19FC">
      <w:pPr>
        <w:autoSpaceDE w:val="0"/>
        <w:autoSpaceDN w:val="0"/>
        <w:adjustRightInd w:val="0"/>
        <w:spacing w:line="276" w:lineRule="auto"/>
        <w:jc w:val="both"/>
        <w:rPr>
          <w:rFonts w:cs="Cambria"/>
          <w:color w:val="000000"/>
        </w:rPr>
      </w:pPr>
    </w:p>
    <w:p w:rsidR="00B04E08" w:rsidRDefault="00B04E08" w:rsidP="001D19FC">
      <w:pPr>
        <w:autoSpaceDE w:val="0"/>
        <w:autoSpaceDN w:val="0"/>
        <w:adjustRightInd w:val="0"/>
        <w:spacing w:line="276" w:lineRule="auto"/>
        <w:jc w:val="both"/>
        <w:rPr>
          <w:rFonts w:cs="Cambria"/>
          <w:color w:val="000000"/>
        </w:rPr>
      </w:pPr>
    </w:p>
    <w:p w:rsidR="00B04E08" w:rsidRPr="00B04E08" w:rsidRDefault="00D5582C" w:rsidP="001D19FC">
      <w:pPr>
        <w:autoSpaceDE w:val="0"/>
        <w:autoSpaceDN w:val="0"/>
        <w:adjustRightInd w:val="0"/>
        <w:spacing w:line="276" w:lineRule="auto"/>
        <w:jc w:val="both"/>
        <w:rPr>
          <w:rFonts w:cs="Cambria"/>
          <w:b/>
          <w:color w:val="000000"/>
          <w:sz w:val="28"/>
          <w:szCs w:val="28"/>
        </w:rPr>
      </w:pPr>
      <w:r>
        <w:rPr>
          <w:rFonts w:cs="Cambria"/>
          <w:b/>
          <w:color w:val="000000"/>
          <w:sz w:val="28"/>
          <w:szCs w:val="28"/>
        </w:rPr>
        <w:t xml:space="preserve">2.3. </w:t>
      </w:r>
      <w:r w:rsidR="00B04E08" w:rsidRPr="00B04E08">
        <w:rPr>
          <w:rFonts w:cs="Cambria"/>
          <w:b/>
          <w:color w:val="000000"/>
          <w:sz w:val="28"/>
          <w:szCs w:val="28"/>
        </w:rPr>
        <w:t xml:space="preserve">Ocjena privatne rentabilnosti projekta </w:t>
      </w:r>
    </w:p>
    <w:p w:rsidR="00B04E08" w:rsidRPr="00B04E08" w:rsidRDefault="00B04E08" w:rsidP="001D19FC">
      <w:pPr>
        <w:autoSpaceDE w:val="0"/>
        <w:autoSpaceDN w:val="0"/>
        <w:adjustRightInd w:val="0"/>
        <w:spacing w:line="276" w:lineRule="auto"/>
        <w:jc w:val="both"/>
        <w:rPr>
          <w:rFonts w:cs="Cambria"/>
          <w:color w:val="000000"/>
        </w:rPr>
      </w:pPr>
      <w:r>
        <w:rPr>
          <w:rFonts w:cs="Cambria"/>
          <w:color w:val="000000"/>
        </w:rPr>
        <w:t>U narednim redovima dajemo analizu isplativosti projekta iz perspe</w:t>
      </w:r>
      <w:r w:rsidR="00B441D5">
        <w:rPr>
          <w:rFonts w:cs="Cambria"/>
          <w:color w:val="000000"/>
        </w:rPr>
        <w:t>k</w:t>
      </w:r>
      <w:r>
        <w:rPr>
          <w:rFonts w:cs="Cambria"/>
          <w:color w:val="000000"/>
        </w:rPr>
        <w:t xml:space="preserve">tive </w:t>
      </w:r>
      <w:r w:rsidR="00D1167B">
        <w:rPr>
          <w:rFonts w:cs="Cambria"/>
          <w:color w:val="000000"/>
        </w:rPr>
        <w:t>privatnih investitora involviranih u projekat, tj</w:t>
      </w:r>
      <w:r w:rsidR="00B441D5">
        <w:rPr>
          <w:rFonts w:cs="Cambria"/>
          <w:color w:val="000000"/>
        </w:rPr>
        <w:t>.</w:t>
      </w:r>
      <w:r w:rsidR="00D1167B">
        <w:rPr>
          <w:rFonts w:cs="Cambria"/>
          <w:color w:val="000000"/>
        </w:rPr>
        <w:t>iz perspektive direktnog investitora i iz perspe</w:t>
      </w:r>
      <w:r w:rsidR="00B441D5">
        <w:rPr>
          <w:rFonts w:cs="Cambria"/>
          <w:color w:val="000000"/>
        </w:rPr>
        <w:t>k</w:t>
      </w:r>
      <w:r w:rsidR="00D1167B">
        <w:rPr>
          <w:rFonts w:cs="Cambria"/>
          <w:color w:val="000000"/>
        </w:rPr>
        <w:t>tive banke kao indirektnog investitora. Prvo ćemo dati iscrpnu i detaljnu analizu baziranu na pretpostavkama opisanim u prethodnim redovima a koji su u saglasju sa podacima iz zvaničnih bilansa firme za 2018</w:t>
      </w:r>
      <w:r w:rsidR="00B441D5">
        <w:rPr>
          <w:rFonts w:cs="Cambria"/>
          <w:color w:val="000000"/>
        </w:rPr>
        <w:t>.</w:t>
      </w:r>
      <w:r w:rsidR="00D1167B">
        <w:rPr>
          <w:rFonts w:cs="Cambria"/>
          <w:color w:val="000000"/>
        </w:rPr>
        <w:t xml:space="preserve">godinu. </w:t>
      </w:r>
      <w:r w:rsidR="001649BE">
        <w:rPr>
          <w:rFonts w:cs="Cambria"/>
          <w:color w:val="000000"/>
        </w:rPr>
        <w:t>Ovdje će nam, dakle, kao benchmark poslužiti 2018</w:t>
      </w:r>
      <w:r w:rsidR="00B441D5">
        <w:rPr>
          <w:rFonts w:cs="Cambria"/>
          <w:color w:val="000000"/>
        </w:rPr>
        <w:t>.</w:t>
      </w:r>
      <w:r w:rsidR="001649BE">
        <w:rPr>
          <w:rFonts w:cs="Cambria"/>
          <w:color w:val="000000"/>
        </w:rPr>
        <w:t xml:space="preserve">godina. </w:t>
      </w:r>
      <w:r w:rsidR="00D1167B">
        <w:rPr>
          <w:rFonts w:cs="Cambria"/>
          <w:color w:val="000000"/>
        </w:rPr>
        <w:t>Nakon toga dajemo i kratku analizu zasnovanu na podacima iz planskih dokumenta, koje smo ranije analizirali i dali u odgovarajućoj tabeli, a u kojima je nivo aktivnosti i nivo eksploatacije vodnih resursa manji za oko 25%. Ova alternativna analiza je važna jer se u planskim dokumentima podrazumijeva da o</w:t>
      </w:r>
      <w:r w:rsidR="00CF462B">
        <w:rPr>
          <w:rFonts w:cs="Cambria"/>
          <w:color w:val="000000"/>
        </w:rPr>
        <w:t>vako zamišljen</w:t>
      </w:r>
      <w:r w:rsidR="00D1167B">
        <w:rPr>
          <w:rFonts w:cs="Cambria"/>
          <w:color w:val="000000"/>
        </w:rPr>
        <w:t xml:space="preserve"> niži nivo eksploatacije resursa vode </w:t>
      </w:r>
      <w:r w:rsidR="001649BE">
        <w:rPr>
          <w:rFonts w:cs="Cambria"/>
          <w:color w:val="000000"/>
        </w:rPr>
        <w:t xml:space="preserve">ne proizvodi značajnije ekološke ili društvene konflikte u sistemu. </w:t>
      </w:r>
      <w:r w:rsidR="00CF462B">
        <w:rPr>
          <w:rFonts w:cs="Cambria"/>
          <w:color w:val="000000"/>
        </w:rPr>
        <w:t xml:space="preserve">Dakle, ovdje će nam plan biti benchmark. </w:t>
      </w:r>
    </w:p>
    <w:p w:rsidR="00EE2653" w:rsidRDefault="008206F6" w:rsidP="001D19FC">
      <w:pPr>
        <w:autoSpaceDE w:val="0"/>
        <w:autoSpaceDN w:val="0"/>
        <w:adjustRightInd w:val="0"/>
        <w:spacing w:line="276" w:lineRule="auto"/>
        <w:jc w:val="both"/>
        <w:rPr>
          <w:rFonts w:cs="Cambria"/>
          <w:color w:val="000000"/>
        </w:rPr>
      </w:pPr>
      <w:r w:rsidRPr="008010FA">
        <w:rPr>
          <w:rFonts w:cs="Cambria"/>
          <w:b/>
          <w:color w:val="000000"/>
        </w:rPr>
        <w:t>1</w:t>
      </w:r>
      <w:r w:rsidR="006D41B0" w:rsidRPr="008010FA">
        <w:rPr>
          <w:rFonts w:cs="Cambria"/>
          <w:b/>
          <w:color w:val="000000"/>
        </w:rPr>
        <w:t>.</w:t>
      </w:r>
      <w:r w:rsidR="00CF462B">
        <w:rPr>
          <w:rFonts w:cs="Cambria"/>
          <w:color w:val="000000"/>
        </w:rPr>
        <w:t>Polazeći od prethodno</w:t>
      </w:r>
      <w:r w:rsidR="006F1C01">
        <w:rPr>
          <w:rFonts w:cs="Cambria"/>
          <w:color w:val="000000"/>
        </w:rPr>
        <w:t xml:space="preserve"> datih podataka i pretpostavki </w:t>
      </w:r>
      <w:r w:rsidR="00D27BC4">
        <w:rPr>
          <w:rFonts w:cs="Cambria"/>
          <w:color w:val="000000"/>
        </w:rPr>
        <w:t xml:space="preserve">vrlo je lako dati projekciju </w:t>
      </w:r>
      <w:r w:rsidR="00D27BC4" w:rsidRPr="00D27BC4">
        <w:rPr>
          <w:rFonts w:cs="Cambria"/>
          <w:b/>
          <w:color w:val="000000"/>
        </w:rPr>
        <w:t>B</w:t>
      </w:r>
      <w:r w:rsidR="009353B1" w:rsidRPr="00D27BC4">
        <w:rPr>
          <w:rFonts w:cs="Cambria"/>
          <w:b/>
          <w:color w:val="000000"/>
        </w:rPr>
        <w:t>ilansa uspjeha</w:t>
      </w:r>
      <w:r w:rsidR="009353B1">
        <w:rPr>
          <w:rFonts w:cs="Cambria"/>
          <w:color w:val="000000"/>
        </w:rPr>
        <w:t xml:space="preserve"> i</w:t>
      </w:r>
      <w:r w:rsidR="00D27BC4">
        <w:rPr>
          <w:rFonts w:cs="Cambria"/>
          <w:color w:val="000000"/>
        </w:rPr>
        <w:t xml:space="preserve"> B</w:t>
      </w:r>
      <w:r w:rsidR="009353B1">
        <w:rPr>
          <w:rFonts w:cs="Cambria"/>
          <w:color w:val="000000"/>
        </w:rPr>
        <w:t xml:space="preserve">ilansa stanja za narednih 25 godina koliko traje koncesioni ugovor. </w:t>
      </w:r>
      <w:r w:rsidR="00D27BC4">
        <w:rPr>
          <w:rFonts w:cs="Cambria"/>
          <w:color w:val="000000"/>
        </w:rPr>
        <w:t xml:space="preserve">Bilansa stanja je ovdje samo poslužio kao osnova za neke druge važne kalkulacije pa ga nećemo izlagati ni komentarisati. Bilans uspjeha je, međutim, dosta indikativan pa njegovu projekciju za narednih 25 godina dajemo u dodatku ovog odeljka. </w:t>
      </w:r>
      <w:r w:rsidR="002D02ED">
        <w:rPr>
          <w:rFonts w:cs="Cambria"/>
          <w:color w:val="000000"/>
        </w:rPr>
        <w:t>Ovaj bilans</w:t>
      </w:r>
      <w:r w:rsidR="00D81108">
        <w:rPr>
          <w:rFonts w:cs="Cambria"/>
          <w:color w:val="000000"/>
        </w:rPr>
        <w:t>, pored ostalog,</w:t>
      </w:r>
      <w:r w:rsidR="002D02ED">
        <w:rPr>
          <w:rFonts w:cs="Cambria"/>
          <w:color w:val="000000"/>
        </w:rPr>
        <w:t xml:space="preserve"> slikovito pokazuje kak</w:t>
      </w:r>
      <w:r w:rsidR="00D81108">
        <w:rPr>
          <w:rFonts w:cs="Cambria"/>
          <w:color w:val="000000"/>
        </w:rPr>
        <w:t>o</w:t>
      </w:r>
      <w:r w:rsidR="002D02ED">
        <w:rPr>
          <w:rFonts w:cs="Cambria"/>
          <w:color w:val="000000"/>
        </w:rPr>
        <w:t xml:space="preserve"> se pozicija kompanije značajno mijenja kada se nakon 12 godina ukinu subvencionisane cijene. Vidimo kako ukupan prihod nakon 2019</w:t>
      </w:r>
      <w:r w:rsidR="00052EF8">
        <w:rPr>
          <w:rFonts w:cs="Cambria"/>
          <w:color w:val="000000"/>
        </w:rPr>
        <w:t>.</w:t>
      </w:r>
      <w:r w:rsidR="002D02ED">
        <w:rPr>
          <w:rFonts w:cs="Cambria"/>
          <w:color w:val="000000"/>
        </w:rPr>
        <w:t xml:space="preserve">naglo pada sa oko 2,4 miliona eura na 1,4 milion eura. Kao posledicu u istoj godini imamo i pad neto dobiti sa oko 1,2 miliona eura na oko 460 hiljada eura i pad učešća neto dobiti sa oko 50% vrijednosti ukupnog prihoda na nešto preko 30% učešća uprkos činjenici da je i sam ukupan prihod u međuvremenu pao. </w:t>
      </w:r>
    </w:p>
    <w:p w:rsidR="000C5D77" w:rsidRDefault="00830CA1" w:rsidP="001D19FC">
      <w:pPr>
        <w:autoSpaceDE w:val="0"/>
        <w:autoSpaceDN w:val="0"/>
        <w:adjustRightInd w:val="0"/>
        <w:spacing w:line="276" w:lineRule="auto"/>
        <w:jc w:val="both"/>
        <w:rPr>
          <w:rFonts w:cs="Cambria"/>
          <w:color w:val="000000"/>
        </w:rPr>
      </w:pPr>
      <w:r w:rsidRPr="008010FA">
        <w:rPr>
          <w:rFonts w:cs="Cambria"/>
          <w:b/>
          <w:color w:val="000000"/>
        </w:rPr>
        <w:t>2.</w:t>
      </w:r>
      <w:r w:rsidRPr="00830CA1">
        <w:rPr>
          <w:rFonts w:cs="Cambria"/>
          <w:b/>
          <w:color w:val="000000"/>
        </w:rPr>
        <w:t xml:space="preserve">Projekcija </w:t>
      </w:r>
      <w:r w:rsidR="00723A59">
        <w:rPr>
          <w:rFonts w:cs="Cambria"/>
          <w:b/>
          <w:color w:val="000000"/>
        </w:rPr>
        <w:t>tokova</w:t>
      </w:r>
      <w:r w:rsidRPr="00830CA1">
        <w:rPr>
          <w:rFonts w:cs="Cambria"/>
          <w:b/>
          <w:color w:val="000000"/>
        </w:rPr>
        <w:t xml:space="preserve"> go</w:t>
      </w:r>
      <w:r w:rsidR="008206F6" w:rsidRPr="00830CA1">
        <w:rPr>
          <w:rFonts w:cs="Cambria"/>
          <w:b/>
          <w:color w:val="000000"/>
        </w:rPr>
        <w:t>tovine</w:t>
      </w:r>
      <w:r>
        <w:rPr>
          <w:rFonts w:cs="Cambria"/>
          <w:b/>
          <w:color w:val="000000"/>
        </w:rPr>
        <w:t xml:space="preserve">, </w:t>
      </w:r>
      <w:r w:rsidR="00723A59">
        <w:rPr>
          <w:rFonts w:cs="Cambria"/>
          <w:color w:val="000000"/>
        </w:rPr>
        <w:t>koje su</w:t>
      </w:r>
      <w:r>
        <w:rPr>
          <w:rFonts w:cs="Cambria"/>
          <w:color w:val="000000"/>
        </w:rPr>
        <w:t xml:space="preserve"> osnov za ocjenu privatne efikasnosti projekta,se zasniva na projekcijama ranije datih Bilansa uspjeha, Bilansa stanja, projekcije otplata glavnica i kamata za kredite, procjene iznosa amortizacije, ocjene sredstava potrebnih za povremenu zamjenu opreme i ostalih fiksnih fondova. </w:t>
      </w:r>
      <w:r w:rsidR="00154DBA">
        <w:rPr>
          <w:rFonts w:cs="Cambria"/>
          <w:color w:val="000000"/>
        </w:rPr>
        <w:t xml:space="preserve">Prethodnom stanju gotovine prvo se dodaje neto profit iz poslovanja prethodne godine. Nakon toga dodaje se ukupan iznos obračunate amortizacije za pojedine godine a oduzima se vrijednost sredstava potrebnih za </w:t>
      </w:r>
      <w:r w:rsidR="00CD08D4">
        <w:rPr>
          <w:rFonts w:cs="Cambria"/>
          <w:color w:val="000000"/>
        </w:rPr>
        <w:t xml:space="preserve">zamjenu i remont za koje smo već rekli da se obavljaju svakih osam godina. </w:t>
      </w:r>
      <w:r w:rsidR="00C13E6E">
        <w:rPr>
          <w:rFonts w:cs="Cambria"/>
          <w:color w:val="000000"/>
        </w:rPr>
        <w:t xml:space="preserve">Pored toga kao odbitne stavke se uzimaju i sve ostale investicije tokom projektovanog perioda od 25 godina, bez obzira jesu li to investicije u fiksne fondove ili u obrtna sredstva. U potonjem slučaju to može biti i prirast zaliha, prirast potraživanja iz poslovnog odnosa i slično. U suprotnom slučaju smanjenje ovih stavki ima tretman prirasta toka gotovine. Inicijalne investicije </w:t>
      </w:r>
      <w:r w:rsidR="00415E59">
        <w:rPr>
          <w:rFonts w:cs="Cambria"/>
          <w:color w:val="000000"/>
        </w:rPr>
        <w:t xml:space="preserve">u fiksne fondove se, sasvim prirodno, takođe tretiraju kao odbitna stavka. </w:t>
      </w:r>
    </w:p>
    <w:p w:rsidR="000C5D77" w:rsidRDefault="00C13E6E" w:rsidP="001D19FC">
      <w:pPr>
        <w:autoSpaceDE w:val="0"/>
        <w:autoSpaceDN w:val="0"/>
        <w:adjustRightInd w:val="0"/>
        <w:spacing w:line="276" w:lineRule="auto"/>
        <w:jc w:val="both"/>
        <w:rPr>
          <w:rFonts w:cs="Cambria"/>
          <w:color w:val="000000"/>
        </w:rPr>
      </w:pPr>
      <w:r>
        <w:rPr>
          <w:rFonts w:cs="Cambria"/>
          <w:color w:val="000000"/>
        </w:rPr>
        <w:t>U dijelu projekcije koji se odnosi na finansiranje</w:t>
      </w:r>
      <w:r w:rsidR="00415E59">
        <w:rPr>
          <w:rFonts w:cs="Cambria"/>
          <w:color w:val="000000"/>
        </w:rPr>
        <w:t>,</w:t>
      </w:r>
      <w:r>
        <w:rPr>
          <w:rFonts w:cs="Cambria"/>
          <w:color w:val="000000"/>
        </w:rPr>
        <w:t xml:space="preserve"> pored iznosa </w:t>
      </w:r>
      <w:r w:rsidR="00415E59">
        <w:rPr>
          <w:rFonts w:cs="Cambria"/>
          <w:color w:val="000000"/>
        </w:rPr>
        <w:t xml:space="preserve">dobijenih kredita koji utiču na prirast </w:t>
      </w:r>
      <w:r w:rsidR="000C5D77">
        <w:rPr>
          <w:rFonts w:cs="Cambria"/>
          <w:color w:val="000000"/>
        </w:rPr>
        <w:t xml:space="preserve">toka </w:t>
      </w:r>
      <w:r w:rsidR="00415E59">
        <w:rPr>
          <w:rFonts w:cs="Cambria"/>
          <w:color w:val="000000"/>
        </w:rPr>
        <w:t>gotovine</w:t>
      </w:r>
      <w:r w:rsidR="000C5D77">
        <w:rPr>
          <w:rFonts w:cs="Cambria"/>
          <w:color w:val="000000"/>
        </w:rPr>
        <w:t xml:space="preserve">, </w:t>
      </w:r>
      <w:r w:rsidR="00415E59">
        <w:rPr>
          <w:rFonts w:cs="Cambria"/>
          <w:color w:val="000000"/>
        </w:rPr>
        <w:t xml:space="preserve">kao odbitna stavka </w:t>
      </w:r>
      <w:r w:rsidR="000C5D77">
        <w:rPr>
          <w:rFonts w:cs="Cambria"/>
          <w:color w:val="000000"/>
        </w:rPr>
        <w:t xml:space="preserve">se unose </w:t>
      </w:r>
      <w:r w:rsidR="00415E59">
        <w:rPr>
          <w:rFonts w:cs="Cambria"/>
          <w:color w:val="000000"/>
        </w:rPr>
        <w:t>dijelovi otplate anuiteta koji se odnose na otplatu glavnice. Podsjećamo, kamate su već oduzete prilikom ustanovljavanja neto dobiti u bilansu uspjeha</w:t>
      </w:r>
      <w:r w:rsidR="000C5D77">
        <w:rPr>
          <w:rFonts w:cs="Cambria"/>
          <w:color w:val="000000"/>
        </w:rPr>
        <w:t xml:space="preserve"> a ova stavka, vidjeli smo, je već na startu unijeta u projekciju toka gotovine. S druge strane, </w:t>
      </w:r>
      <w:r w:rsidR="00415E59">
        <w:rPr>
          <w:rFonts w:cs="Cambria"/>
          <w:color w:val="000000"/>
        </w:rPr>
        <w:t xml:space="preserve">otplata glavnice kod bilansa uspjeha </w:t>
      </w:r>
      <w:r w:rsidR="000C5D77">
        <w:rPr>
          <w:rFonts w:cs="Cambria"/>
          <w:color w:val="000000"/>
        </w:rPr>
        <w:t xml:space="preserve">ne postoji već se implicite </w:t>
      </w:r>
      <w:r w:rsidR="00415E59">
        <w:rPr>
          <w:rFonts w:cs="Cambria"/>
          <w:color w:val="000000"/>
        </w:rPr>
        <w:t>tretira kao dio neto dobiti. Kod bilansa stanja</w:t>
      </w:r>
      <w:r w:rsidR="000C5D77">
        <w:rPr>
          <w:rFonts w:cs="Cambria"/>
          <w:color w:val="000000"/>
        </w:rPr>
        <w:t>, s druge strane,</w:t>
      </w:r>
      <w:r w:rsidR="00415E59">
        <w:rPr>
          <w:rFonts w:cs="Cambria"/>
          <w:color w:val="000000"/>
        </w:rPr>
        <w:t xml:space="preserve"> otplata glavnice se ispoljava kao smanjenje dugovnih izvora i povećanje equity-a. </w:t>
      </w:r>
    </w:p>
    <w:p w:rsidR="00CD08D4" w:rsidRDefault="000C5D77" w:rsidP="001D19FC">
      <w:pPr>
        <w:autoSpaceDE w:val="0"/>
        <w:autoSpaceDN w:val="0"/>
        <w:adjustRightInd w:val="0"/>
        <w:spacing w:line="276" w:lineRule="auto"/>
        <w:jc w:val="both"/>
        <w:rPr>
          <w:rFonts w:cs="Cambria"/>
          <w:color w:val="000000"/>
        </w:rPr>
      </w:pPr>
      <w:r>
        <w:rPr>
          <w:rFonts w:cs="Cambria"/>
          <w:color w:val="000000"/>
        </w:rPr>
        <w:lastRenderedPageBreak/>
        <w:t xml:space="preserve">U projekciji toka gotovine koju smo priložoli u dodatku ovog odeljka pošli smo od dvije pojednostavljajuće pretpostavke koje ne mogu skoro ni malo uticati na rezultate naše evaluacije ali nam znatno pomažu u pravljenju same projekcije. </w:t>
      </w:r>
      <w:r w:rsidR="000D5C7E">
        <w:rPr>
          <w:rFonts w:cs="Cambria"/>
          <w:color w:val="000000"/>
        </w:rPr>
        <w:t xml:space="preserve">Prvo, pretpostavili smo da se sama aktivnost izgradnje </w:t>
      </w:r>
      <w:r w:rsidR="00052EF8">
        <w:rPr>
          <w:rFonts w:cs="Cambria"/>
          <w:color w:val="000000"/>
        </w:rPr>
        <w:t>m</w:t>
      </w:r>
      <w:r w:rsidR="000D5C7E">
        <w:rPr>
          <w:rFonts w:cs="Cambria"/>
          <w:color w:val="000000"/>
        </w:rPr>
        <w:t>HE obavlja u prve dvije godine koje prethode 2018</w:t>
      </w:r>
      <w:r w:rsidR="00052EF8">
        <w:rPr>
          <w:rFonts w:cs="Cambria"/>
          <w:color w:val="000000"/>
        </w:rPr>
        <w:t>.</w:t>
      </w:r>
      <w:r w:rsidR="000D5C7E">
        <w:rPr>
          <w:rFonts w:cs="Cambria"/>
          <w:color w:val="000000"/>
        </w:rPr>
        <w:t>godini. Drugo, pošli smo od pretpostavke da obe mHE otpočinju sa radom 2018</w:t>
      </w:r>
      <w:r w:rsidR="00052EF8">
        <w:rPr>
          <w:rFonts w:cs="Cambria"/>
          <w:color w:val="000000"/>
        </w:rPr>
        <w:t>.</w:t>
      </w:r>
      <w:r w:rsidR="000D5C7E">
        <w:rPr>
          <w:rFonts w:cs="Cambria"/>
          <w:color w:val="000000"/>
        </w:rPr>
        <w:t xml:space="preserve">godine i da cijelo vrijeme rade istim kapacitetom. Ova druga pretpostavka može imati određenog uticaja ali ćemo i nju provjeriti kroz analizu osjetljivosti projekta koju ćemo dati kasnije. </w:t>
      </w:r>
    </w:p>
    <w:p w:rsidR="00EE2653" w:rsidRDefault="00F40A83" w:rsidP="001D19FC">
      <w:pPr>
        <w:autoSpaceDE w:val="0"/>
        <w:autoSpaceDN w:val="0"/>
        <w:adjustRightInd w:val="0"/>
        <w:spacing w:line="276" w:lineRule="auto"/>
        <w:jc w:val="both"/>
        <w:rPr>
          <w:rFonts w:cs="Cambria"/>
          <w:color w:val="000000"/>
        </w:rPr>
      </w:pPr>
      <w:r>
        <w:rPr>
          <w:rFonts w:cs="Cambria"/>
          <w:color w:val="000000"/>
        </w:rPr>
        <w:t>Posebno je važno istaći da smo u poslednjoj godini projekcije</w:t>
      </w:r>
      <w:r w:rsidR="00CD08D4">
        <w:rPr>
          <w:rFonts w:cs="Cambria"/>
          <w:color w:val="000000"/>
        </w:rPr>
        <w:t>, zbog prirode DBOT aranžmana, odnosno ugovora koji je na njemu zasnovan</w:t>
      </w:r>
      <w:r>
        <w:rPr>
          <w:rFonts w:cs="Cambria"/>
          <w:color w:val="000000"/>
        </w:rPr>
        <w:t>,</w:t>
      </w:r>
      <w:r w:rsidR="00CD08D4">
        <w:rPr>
          <w:rFonts w:cs="Cambria"/>
          <w:color w:val="000000"/>
        </w:rPr>
        <w:t xml:space="preserve"> predvidjeli ulaganja od 90% vrijednosti prvobitne investicije. Ova sred</w:t>
      </w:r>
      <w:r w:rsidR="00052EF8">
        <w:rPr>
          <w:rFonts w:cs="Cambria"/>
          <w:color w:val="000000"/>
        </w:rPr>
        <w:t>s</w:t>
      </w:r>
      <w:r w:rsidR="00CD08D4">
        <w:rPr>
          <w:rFonts w:cs="Cambria"/>
          <w:color w:val="000000"/>
        </w:rPr>
        <w:t>tva su, naime, više nego dovoljna da se nakon 25 godina obe mHE vrate državi u stanju u kakvom su bile kada su podignute, tj</w:t>
      </w:r>
      <w:r w:rsidR="00052EF8">
        <w:rPr>
          <w:rFonts w:cs="Cambria"/>
          <w:color w:val="000000"/>
        </w:rPr>
        <w:t>.</w:t>
      </w:r>
      <w:r w:rsidR="00CD08D4">
        <w:rPr>
          <w:rFonts w:cs="Cambria"/>
          <w:color w:val="000000"/>
        </w:rPr>
        <w:t xml:space="preserve">kada su bile nove. S jedne strane, tehnološki progress će nakon 25 godina samu opremu učiniti jeftinijom a, s druge strane, niz građevinskih objekata vezanih za infrastrukturu će biti i dalje funkcionalan kao da je nov, tako da smatramo da se ovim iznosom može u potpunosti </w:t>
      </w:r>
      <w:r w:rsidR="002B3110" w:rsidRPr="002B3110">
        <w:rPr>
          <w:rFonts w:cs="Cambria"/>
          <w:color w:val="000000"/>
        </w:rPr>
        <w:t>ispuniti</w:t>
      </w:r>
      <w:r w:rsidR="004B11D3" w:rsidRPr="002B3110">
        <w:rPr>
          <w:rFonts w:cs="Cambria"/>
          <w:color w:val="000000"/>
        </w:rPr>
        <w:t xml:space="preserve"> pomenuta stavka</w:t>
      </w:r>
      <w:r w:rsidR="00CD08D4">
        <w:rPr>
          <w:rFonts w:cs="Cambria"/>
          <w:color w:val="000000"/>
        </w:rPr>
        <w:t xml:space="preserve"> ugovora. </w:t>
      </w:r>
      <w:r w:rsidR="00825340">
        <w:rPr>
          <w:rFonts w:cs="Cambria"/>
          <w:color w:val="000000"/>
        </w:rPr>
        <w:t>Tih 90% investicija mjereni</w:t>
      </w:r>
      <w:r w:rsidR="00CD08D4">
        <w:rPr>
          <w:rFonts w:cs="Cambria"/>
          <w:color w:val="000000"/>
        </w:rPr>
        <w:t xml:space="preserve"> u apsolutnim jedinicama mj</w:t>
      </w:r>
      <w:r w:rsidR="00AD0CC8">
        <w:rPr>
          <w:rFonts w:cs="Cambria"/>
          <w:color w:val="000000"/>
        </w:rPr>
        <w:t xml:space="preserve">ere iznose </w:t>
      </w:r>
      <w:r w:rsidR="00250AE1">
        <w:rPr>
          <w:rFonts w:cs="Cambria"/>
          <w:color w:val="000000"/>
        </w:rPr>
        <w:t>7,673,400</w:t>
      </w:r>
      <w:r w:rsidR="00825340">
        <w:rPr>
          <w:rFonts w:cs="Cambria"/>
          <w:color w:val="000000"/>
        </w:rPr>
        <w:t xml:space="preserve"> eura. Na prvi pogled izgleda kao da se radi o značajnom izdatku </w:t>
      </w:r>
      <w:r>
        <w:rPr>
          <w:rFonts w:cs="Cambria"/>
          <w:color w:val="000000"/>
        </w:rPr>
        <w:t xml:space="preserve">za </w:t>
      </w:r>
      <w:r w:rsidR="00825340">
        <w:rPr>
          <w:rFonts w:cs="Cambria"/>
          <w:color w:val="000000"/>
        </w:rPr>
        <w:t xml:space="preserve">investitora, pa time i </w:t>
      </w:r>
      <w:r>
        <w:rPr>
          <w:rFonts w:cs="Cambria"/>
          <w:color w:val="000000"/>
        </w:rPr>
        <w:t xml:space="preserve">o </w:t>
      </w:r>
      <w:r w:rsidR="00825340">
        <w:rPr>
          <w:rFonts w:cs="Cambria"/>
          <w:color w:val="000000"/>
        </w:rPr>
        <w:t xml:space="preserve">značajnom prihodu </w:t>
      </w:r>
      <w:r>
        <w:rPr>
          <w:rFonts w:cs="Cambria"/>
          <w:color w:val="000000"/>
        </w:rPr>
        <w:t>za državu</w:t>
      </w:r>
      <w:r w:rsidR="00825340">
        <w:rPr>
          <w:rFonts w:cs="Cambria"/>
          <w:color w:val="000000"/>
        </w:rPr>
        <w:t xml:space="preserve"> kao predstavnika društva</w:t>
      </w:r>
      <w:r w:rsidR="00AD0CC8">
        <w:rPr>
          <w:rFonts w:cs="Cambria"/>
          <w:color w:val="000000"/>
        </w:rPr>
        <w:t>. Obratimo pažnju, međ</w:t>
      </w:r>
      <w:r w:rsidR="00250AE1">
        <w:rPr>
          <w:rFonts w:cs="Cambria"/>
          <w:color w:val="000000"/>
        </w:rPr>
        <w:t>utim, na činjenicu da</w:t>
      </w:r>
      <w:r w:rsidR="00AD0CC8">
        <w:rPr>
          <w:rFonts w:cs="Cambria"/>
          <w:color w:val="000000"/>
        </w:rPr>
        <w:t xml:space="preserve"> sadašnja vrijednost</w:t>
      </w:r>
      <w:r w:rsidR="00250AE1">
        <w:rPr>
          <w:rFonts w:cs="Cambria"/>
          <w:color w:val="000000"/>
        </w:rPr>
        <w:t xml:space="preserve"> ovog iznosa</w:t>
      </w:r>
      <w:r w:rsidR="00AD0CC8">
        <w:rPr>
          <w:rFonts w:cs="Cambria"/>
          <w:color w:val="000000"/>
        </w:rPr>
        <w:t>, pri diskontnoj stopi od 9%</w:t>
      </w:r>
      <w:r w:rsidR="00250AE1">
        <w:rPr>
          <w:rFonts w:cs="Cambria"/>
          <w:color w:val="000000"/>
        </w:rPr>
        <w:t xml:space="preserve"> koja se u nas primjenjuje za energetski sektor</w:t>
      </w:r>
      <w:r w:rsidR="00AD0CC8">
        <w:rPr>
          <w:rFonts w:cs="Cambria"/>
          <w:color w:val="000000"/>
        </w:rPr>
        <w:t xml:space="preserve">, iznosi samo </w:t>
      </w:r>
      <w:r w:rsidR="00C13E6E">
        <w:rPr>
          <w:rFonts w:cs="Cambria"/>
          <w:color w:val="000000"/>
        </w:rPr>
        <w:t>nepunih 890,000</w:t>
      </w:r>
      <w:r w:rsidR="00690E4D">
        <w:rPr>
          <w:rFonts w:cs="Cambria"/>
          <w:color w:val="000000"/>
        </w:rPr>
        <w:t xml:space="preserve"> eura</w:t>
      </w:r>
      <w:r>
        <w:rPr>
          <w:rFonts w:cs="Cambria"/>
          <w:color w:val="000000"/>
        </w:rPr>
        <w:t>. O</w:t>
      </w:r>
      <w:r w:rsidR="00AD0CC8">
        <w:rPr>
          <w:rFonts w:cs="Cambria"/>
          <w:color w:val="000000"/>
        </w:rPr>
        <w:t>va vrijednost</w:t>
      </w:r>
      <w:r>
        <w:rPr>
          <w:rFonts w:cs="Cambria"/>
          <w:color w:val="000000"/>
        </w:rPr>
        <w:t>, očito,</w:t>
      </w:r>
      <w:r w:rsidR="00AD0CC8">
        <w:rPr>
          <w:rFonts w:cs="Cambria"/>
          <w:color w:val="000000"/>
        </w:rPr>
        <w:t xml:space="preserve"> ne predstavlja ni tešku obavezu za investitora ni veliki dobitak za društvo. </w:t>
      </w:r>
    </w:p>
    <w:p w:rsidR="00CD08D4" w:rsidRDefault="00F40A83" w:rsidP="001D19FC">
      <w:pPr>
        <w:autoSpaceDE w:val="0"/>
        <w:autoSpaceDN w:val="0"/>
        <w:adjustRightInd w:val="0"/>
        <w:spacing w:line="276" w:lineRule="auto"/>
        <w:jc w:val="both"/>
        <w:rPr>
          <w:rFonts w:cs="Cambria"/>
          <w:color w:val="000000"/>
        </w:rPr>
      </w:pPr>
      <w:r w:rsidRPr="008010FA">
        <w:rPr>
          <w:rFonts w:cs="Cambria"/>
          <w:b/>
          <w:color w:val="000000"/>
        </w:rPr>
        <w:t>3.</w:t>
      </w:r>
      <w:r>
        <w:rPr>
          <w:rFonts w:cs="Cambria"/>
          <w:color w:val="000000"/>
        </w:rPr>
        <w:t xml:space="preserve"> U projekciji toka gotovine koju prilažemo u dodatku ovog odeljka dodata su na kraju još dva reda koja su od klj</w:t>
      </w:r>
      <w:r w:rsidR="007101AE">
        <w:rPr>
          <w:rFonts w:cs="Cambria"/>
          <w:color w:val="000000"/>
        </w:rPr>
        <w:t>učnog značaja za evaluaciju priv</w:t>
      </w:r>
      <w:r>
        <w:rPr>
          <w:rFonts w:cs="Cambria"/>
          <w:color w:val="000000"/>
        </w:rPr>
        <w:t>atne efikasnosti, odnosno privatne isplativosti projekta. U prvom od njih, red (7), koji smo označili kao neto gotovinski tok</w:t>
      </w:r>
      <w:r w:rsidR="0097572B">
        <w:rPr>
          <w:rFonts w:cs="Cambria"/>
          <w:color w:val="000000"/>
        </w:rPr>
        <w:t>, je</w:t>
      </w:r>
      <w:r>
        <w:rPr>
          <w:rFonts w:cs="Cambria"/>
          <w:color w:val="000000"/>
        </w:rPr>
        <w:t xml:space="preserve"> data </w:t>
      </w:r>
      <w:r w:rsidR="0097572B">
        <w:rPr>
          <w:rFonts w:cs="Cambria"/>
          <w:color w:val="000000"/>
        </w:rPr>
        <w:t>osnova za</w:t>
      </w:r>
      <w:r w:rsidR="0097572B" w:rsidRPr="00D03E42">
        <w:rPr>
          <w:rFonts w:cs="Cambria"/>
          <w:color w:val="000000"/>
        </w:rPr>
        <w:t xml:space="preserve"> ocjenu</w:t>
      </w:r>
      <w:r w:rsidR="00D03E42">
        <w:rPr>
          <w:rFonts w:cs="Cambria"/>
          <w:b/>
          <w:color w:val="000000"/>
        </w:rPr>
        <w:t xml:space="preserve">privatne </w:t>
      </w:r>
      <w:r w:rsidR="0097572B" w:rsidRPr="0097572B">
        <w:rPr>
          <w:rFonts w:cs="Cambria"/>
          <w:b/>
          <w:color w:val="000000"/>
        </w:rPr>
        <w:t>isplativosti projekta iz perspektive</w:t>
      </w:r>
      <w:r w:rsidRPr="0097572B">
        <w:rPr>
          <w:rFonts w:cs="Cambria"/>
          <w:b/>
          <w:color w:val="000000"/>
        </w:rPr>
        <w:t xml:space="preserve"> samog inve</w:t>
      </w:r>
      <w:r w:rsidR="0097572B" w:rsidRPr="0097572B">
        <w:rPr>
          <w:rFonts w:cs="Cambria"/>
          <w:b/>
          <w:color w:val="000000"/>
        </w:rPr>
        <w:t xml:space="preserve">stitora </w:t>
      </w:r>
      <w:r w:rsidR="0097572B">
        <w:rPr>
          <w:rFonts w:cs="Cambria"/>
          <w:color w:val="000000"/>
        </w:rPr>
        <w:t>u</w:t>
      </w:r>
      <w:r w:rsidR="00D03E42">
        <w:rPr>
          <w:rFonts w:cs="Cambria"/>
          <w:color w:val="000000"/>
        </w:rPr>
        <w:t xml:space="preserve"> dvije</w:t>
      </w:r>
      <w:r w:rsidR="0097572B">
        <w:rPr>
          <w:rFonts w:cs="Cambria"/>
          <w:color w:val="000000"/>
        </w:rPr>
        <w:t xml:space="preserve"> mHE</w:t>
      </w:r>
      <w:r w:rsidR="007101AE">
        <w:rPr>
          <w:rFonts w:cs="Cambria"/>
          <w:color w:val="000000"/>
        </w:rPr>
        <w:t>, tj</w:t>
      </w:r>
      <w:r w:rsidR="00690E4D">
        <w:rPr>
          <w:rFonts w:cs="Cambria"/>
          <w:color w:val="000000"/>
        </w:rPr>
        <w:t>.</w:t>
      </w:r>
      <w:r w:rsidR="007101AE">
        <w:rPr>
          <w:rFonts w:cs="Cambria"/>
          <w:color w:val="000000"/>
        </w:rPr>
        <w:t>iz perspe</w:t>
      </w:r>
      <w:r w:rsidR="00690E4D">
        <w:rPr>
          <w:rFonts w:cs="Cambria"/>
          <w:color w:val="000000"/>
        </w:rPr>
        <w:t>k</w:t>
      </w:r>
      <w:r w:rsidR="007101AE">
        <w:rPr>
          <w:rFonts w:cs="Cambria"/>
          <w:color w:val="000000"/>
        </w:rPr>
        <w:t>tive d</w:t>
      </w:r>
      <w:r>
        <w:rPr>
          <w:rFonts w:cs="Cambria"/>
          <w:color w:val="000000"/>
        </w:rPr>
        <w:t>.</w:t>
      </w:r>
      <w:r w:rsidR="007101AE">
        <w:rPr>
          <w:rFonts w:cs="Cambria"/>
          <w:color w:val="000000"/>
        </w:rPr>
        <w:t>o.o. Kronora.</w:t>
      </w:r>
      <w:r w:rsidR="0097572B">
        <w:rPr>
          <w:rFonts w:cs="Cambria"/>
          <w:color w:val="000000"/>
        </w:rPr>
        <w:t xml:space="preserve">To je sasvom normalno kada imamo u vidu da se ovdje samo vlastita ulaganja investitora (vrijednosti date crvenim slovima u prve dvije godine) sučeljavaju samo sa rezidualnim primicima investitora (vrijednosti date crnim slovima u svim ostalim godinama koje slijede). </w:t>
      </w:r>
    </w:p>
    <w:p w:rsidR="0097572B" w:rsidRPr="00D03E42" w:rsidRDefault="005F5A55" w:rsidP="001D19FC">
      <w:pPr>
        <w:autoSpaceDE w:val="0"/>
        <w:autoSpaceDN w:val="0"/>
        <w:adjustRightInd w:val="0"/>
        <w:spacing w:line="276" w:lineRule="auto"/>
        <w:jc w:val="both"/>
        <w:rPr>
          <w:rFonts w:cs="Cambria"/>
          <w:color w:val="000000"/>
          <w:lang w:val="hr-HR"/>
        </w:rPr>
      </w:pPr>
      <w:r>
        <w:rPr>
          <w:rFonts w:cs="Cambria"/>
          <w:color w:val="000000"/>
        </w:rPr>
        <w:t>U poslednjem</w:t>
      </w:r>
      <w:r w:rsidR="0097572B">
        <w:rPr>
          <w:rFonts w:cs="Cambria"/>
          <w:color w:val="000000"/>
        </w:rPr>
        <w:t xml:space="preserve"> redu </w:t>
      </w:r>
      <w:r>
        <w:rPr>
          <w:rFonts w:cs="Cambria"/>
          <w:color w:val="000000"/>
        </w:rPr>
        <w:t xml:space="preserve">koji smo dodali, red (8), a koji smo označili kao ekonomski tok, </w:t>
      </w:r>
      <w:r w:rsidR="00D03E42">
        <w:rPr>
          <w:rFonts w:cs="Cambria"/>
          <w:color w:val="000000"/>
        </w:rPr>
        <w:t xml:space="preserve">je data osnova za ocjenu </w:t>
      </w:r>
      <w:r w:rsidR="00D03E42">
        <w:rPr>
          <w:rFonts w:cs="Cambria"/>
          <w:b/>
          <w:color w:val="000000"/>
        </w:rPr>
        <w:t>isplativosti projekta iz pers</w:t>
      </w:r>
      <w:r w:rsidR="007101AE">
        <w:rPr>
          <w:rFonts w:cs="Cambria"/>
          <w:b/>
          <w:color w:val="000000"/>
        </w:rPr>
        <w:t>pektive svih privatnih subjekata</w:t>
      </w:r>
      <w:r w:rsidR="00D03E42">
        <w:rPr>
          <w:rFonts w:cs="Cambria"/>
          <w:b/>
          <w:color w:val="000000"/>
        </w:rPr>
        <w:t xml:space="preserve"> involviranih u investiciju </w:t>
      </w:r>
      <w:r w:rsidR="00D03E42">
        <w:rPr>
          <w:rFonts w:cs="Cambria"/>
          <w:color w:val="000000"/>
        </w:rPr>
        <w:t>u ove dvije mHE. Ovdje su to investitor i banka koja je obezbijedila kredit. To je sasvom očekivano kada imamo u vidu da se ovdje kompletna ulaganja, i vlastita sredstva investitora i sredstva banke (vrijednosti date crvenim slovima u prve dvije godine) sučeljavaju sa</w:t>
      </w:r>
      <w:r w:rsidR="00642F77">
        <w:rPr>
          <w:rFonts w:cs="Cambria"/>
          <w:color w:val="000000"/>
        </w:rPr>
        <w:t>sumom rezidualnihprimitaka</w:t>
      </w:r>
      <w:r w:rsidR="00D03E42">
        <w:rPr>
          <w:rFonts w:cs="Cambria"/>
          <w:color w:val="000000"/>
        </w:rPr>
        <w:t xml:space="preserve"> investitora</w:t>
      </w:r>
      <w:r w:rsidR="00642F77">
        <w:rPr>
          <w:rFonts w:cs="Cambria"/>
          <w:color w:val="000000"/>
        </w:rPr>
        <w:t xml:space="preserve"> i priliva banke po osnovu kamata i po osnovu otplate glavnice</w:t>
      </w:r>
      <w:r w:rsidR="00D03E42">
        <w:rPr>
          <w:rFonts w:cs="Cambria"/>
          <w:color w:val="000000"/>
        </w:rPr>
        <w:t xml:space="preserve"> (vrijednosti date crnim slovima u svim ostalim godinama koje slijede).</w:t>
      </w:r>
    </w:p>
    <w:p w:rsidR="002526DD" w:rsidRDefault="00642F77" w:rsidP="00603FF4">
      <w:pPr>
        <w:autoSpaceDE w:val="0"/>
        <w:autoSpaceDN w:val="0"/>
        <w:adjustRightInd w:val="0"/>
        <w:spacing w:line="276" w:lineRule="auto"/>
        <w:jc w:val="both"/>
        <w:rPr>
          <w:rFonts w:cs="Cambria"/>
          <w:color w:val="000000"/>
        </w:rPr>
      </w:pPr>
      <w:r>
        <w:rPr>
          <w:rFonts w:cs="Cambria"/>
          <w:color w:val="000000"/>
        </w:rPr>
        <w:t>Analizu obe vrste priv</w:t>
      </w:r>
      <w:r w:rsidR="00311D45">
        <w:rPr>
          <w:rFonts w:cs="Cambria"/>
          <w:color w:val="000000"/>
        </w:rPr>
        <w:t>atne isplativosti zasnivamo na n</w:t>
      </w:r>
      <w:r>
        <w:rPr>
          <w:rFonts w:cs="Cambria"/>
          <w:color w:val="000000"/>
        </w:rPr>
        <w:t xml:space="preserve">eto sadašnjoj vrijednosti (NPV, </w:t>
      </w:r>
      <w:r w:rsidR="004B11D3" w:rsidRPr="00261048">
        <w:rPr>
          <w:rFonts w:cs="Cambria"/>
          <w:i/>
          <w:color w:val="000000"/>
        </w:rPr>
        <w:t>Net Present Value</w:t>
      </w:r>
      <w:r>
        <w:rPr>
          <w:rFonts w:cs="Cambria"/>
          <w:color w:val="000000"/>
        </w:rPr>
        <w:t>) pomenutih tokova</w:t>
      </w:r>
      <w:r w:rsidR="00281592">
        <w:rPr>
          <w:rFonts w:cs="Cambria"/>
          <w:color w:val="000000"/>
        </w:rPr>
        <w:t>,</w:t>
      </w:r>
      <w:r>
        <w:rPr>
          <w:rFonts w:cs="Cambria"/>
          <w:color w:val="000000"/>
        </w:rPr>
        <w:t xml:space="preserve"> na odgovarajućoj vrijednosti Interne stope rentabiliteta (IRR, </w:t>
      </w:r>
      <w:r w:rsidR="004B11D3" w:rsidRPr="00261048">
        <w:rPr>
          <w:rFonts w:cs="Cambria"/>
          <w:i/>
          <w:color w:val="000000"/>
        </w:rPr>
        <w:t>Internal Rate of Return</w:t>
      </w:r>
      <w:r>
        <w:rPr>
          <w:rFonts w:cs="Cambria"/>
          <w:color w:val="000000"/>
        </w:rPr>
        <w:t>)</w:t>
      </w:r>
      <w:r w:rsidR="00281592">
        <w:rPr>
          <w:rFonts w:cs="Cambria"/>
          <w:color w:val="000000"/>
        </w:rPr>
        <w:t xml:space="preserve"> i na roku povrate investicije</w:t>
      </w:r>
      <w:r>
        <w:rPr>
          <w:rFonts w:cs="Cambria"/>
          <w:color w:val="000000"/>
        </w:rPr>
        <w:t xml:space="preserve">. Kod utvrđivanja NPV smo pošli od tri alternativne diskontne stope. Prva je ona koja se u nas koristi kao diskontna stopa </w:t>
      </w:r>
      <w:r w:rsidR="00B21473">
        <w:rPr>
          <w:rFonts w:cs="Cambria"/>
          <w:color w:val="000000"/>
        </w:rPr>
        <w:t xml:space="preserve">energetskog sektora (vidi </w:t>
      </w:r>
      <w:r w:rsidR="00ED3AD8" w:rsidRPr="00ED3AD8">
        <w:rPr>
          <w:rFonts w:cs="Cambria"/>
          <w:color w:val="000000"/>
        </w:rPr>
        <w:t>Deloitte, 2018</w:t>
      </w:r>
      <w:r w:rsidR="00B21473">
        <w:rPr>
          <w:rFonts w:cs="Cambria"/>
          <w:color w:val="000000"/>
        </w:rPr>
        <w:t xml:space="preserve">) a koja iznosi 9%. Druga je ona </w:t>
      </w:r>
      <w:r w:rsidR="009C0816">
        <w:rPr>
          <w:rFonts w:cs="Cambria"/>
          <w:color w:val="000000"/>
        </w:rPr>
        <w:t xml:space="preserve">od 8% </w:t>
      </w:r>
      <w:r w:rsidR="00B21473">
        <w:rPr>
          <w:rFonts w:cs="Cambria"/>
          <w:color w:val="000000"/>
        </w:rPr>
        <w:t xml:space="preserve">koja se koristi </w:t>
      </w:r>
      <w:r w:rsidR="009C0816">
        <w:rPr>
          <w:rFonts w:cs="Cambria"/>
          <w:color w:val="000000"/>
        </w:rPr>
        <w:t xml:space="preserve">u EPCG </w:t>
      </w:r>
      <w:r w:rsidR="00B21473">
        <w:rPr>
          <w:rFonts w:cs="Cambria"/>
          <w:color w:val="000000"/>
        </w:rPr>
        <w:t>i na kojoj se insist</w:t>
      </w:r>
      <w:r w:rsidR="009C0816">
        <w:rPr>
          <w:rFonts w:cs="Cambria"/>
          <w:color w:val="000000"/>
        </w:rPr>
        <w:t>ira u zvaničnim materijalima</w:t>
      </w:r>
      <w:r w:rsidR="00ED3AD8">
        <w:rPr>
          <w:rFonts w:cs="Cambria"/>
          <w:color w:val="000000"/>
        </w:rPr>
        <w:t xml:space="preserve"> raznih vladinih tijela</w:t>
      </w:r>
      <w:r w:rsidR="00B21473">
        <w:rPr>
          <w:rFonts w:cs="Cambria"/>
          <w:color w:val="000000"/>
        </w:rPr>
        <w:t>, a koja je daleko bliža elektro energetskom sektoru. Konačno, treća je stopa od 5%, koja</w:t>
      </w:r>
      <w:r w:rsidR="009C0816">
        <w:rPr>
          <w:rFonts w:cs="Cambria"/>
          <w:color w:val="000000"/>
        </w:rPr>
        <w:t xml:space="preserve"> predstavlja aproksimaciju </w:t>
      </w:r>
      <w:r w:rsidR="00690E4D">
        <w:rPr>
          <w:rFonts w:cs="Cambria"/>
          <w:color w:val="000000"/>
        </w:rPr>
        <w:t>rizika</w:t>
      </w:r>
      <w:r w:rsidR="009C0816">
        <w:rPr>
          <w:rFonts w:cs="Cambria"/>
          <w:color w:val="000000"/>
        </w:rPr>
        <w:t xml:space="preserve"> Crne Gore</w:t>
      </w:r>
      <w:r w:rsidR="00690E4D">
        <w:rPr>
          <w:rFonts w:cs="Cambria"/>
          <w:color w:val="000000"/>
        </w:rPr>
        <w:t>,</w:t>
      </w:r>
      <w:r w:rsidR="009C0816">
        <w:rPr>
          <w:rFonts w:cs="Cambria"/>
          <w:color w:val="000000"/>
        </w:rPr>
        <w:t xml:space="preserve"> a koja je uz to bliska stopama po kojima se naša država zaduživala u </w:t>
      </w:r>
      <w:r w:rsidR="009C0816">
        <w:rPr>
          <w:rFonts w:cs="Cambria"/>
          <w:color w:val="000000"/>
        </w:rPr>
        <w:lastRenderedPageBreak/>
        <w:t>minulim godinama pri emitovanju euro obveznica. Smatramo da je, imajući u vidu sve regulatorne privilegije koje imaju mHE o k</w:t>
      </w:r>
      <w:r w:rsidR="00281592">
        <w:rPr>
          <w:rFonts w:cs="Cambria"/>
          <w:color w:val="000000"/>
        </w:rPr>
        <w:t>ojima smo ranije govorili, mnogo umjesnije</w:t>
      </w:r>
      <w:r w:rsidR="009C0816">
        <w:rPr>
          <w:rFonts w:cs="Cambria"/>
          <w:color w:val="000000"/>
        </w:rPr>
        <w:t xml:space="preserve"> koristiti</w:t>
      </w:r>
      <w:r w:rsidR="00ED3AD8">
        <w:rPr>
          <w:rFonts w:cs="Cambria"/>
          <w:color w:val="000000"/>
        </w:rPr>
        <w:t xml:space="preserve"> i</w:t>
      </w:r>
      <w:r w:rsidR="009C0816">
        <w:rPr>
          <w:rFonts w:cs="Cambria"/>
          <w:color w:val="000000"/>
        </w:rPr>
        <w:t xml:space="preserve"> ovu stopu disko</w:t>
      </w:r>
      <w:r w:rsidR="00281592">
        <w:rPr>
          <w:rFonts w:cs="Cambria"/>
          <w:color w:val="000000"/>
        </w:rPr>
        <w:t>nta nego</w:t>
      </w:r>
      <w:r w:rsidR="00ED3AD8">
        <w:rPr>
          <w:rFonts w:cs="Cambria"/>
          <w:color w:val="000000"/>
        </w:rPr>
        <w:t xml:space="preserve"> napred pomenute</w:t>
      </w:r>
      <w:r w:rsidR="009C0816">
        <w:rPr>
          <w:rFonts w:cs="Cambria"/>
          <w:color w:val="000000"/>
        </w:rPr>
        <w:t>dvije. U sektoru mHE imamo, drugim riječima</w:t>
      </w:r>
      <w:r w:rsidR="00ED3AD8">
        <w:rPr>
          <w:rFonts w:cs="Cambria"/>
          <w:color w:val="000000"/>
        </w:rPr>
        <w:t>, nivo rizika koji je skoro isto</w:t>
      </w:r>
      <w:r w:rsidR="009C0816">
        <w:rPr>
          <w:rFonts w:cs="Cambria"/>
          <w:color w:val="000000"/>
        </w:rPr>
        <w:t xml:space="preserve">vjetan riziku državnih obveznica. </w:t>
      </w:r>
      <w:r w:rsidR="00ED3AD8">
        <w:rPr>
          <w:rFonts w:cs="Cambria"/>
          <w:color w:val="000000"/>
        </w:rPr>
        <w:t xml:space="preserve">Nakon utvrđivanja NPV i IRR izračunaćemo i njihove relativne vrijednosti. Kod NPV to je odnos dobijene vrijednosti sa relevantnom vrijednošću </w:t>
      </w:r>
      <w:r w:rsidR="00281592">
        <w:rPr>
          <w:rFonts w:cs="Cambria"/>
          <w:color w:val="000000"/>
        </w:rPr>
        <w:t>investicija a kod IRR to je o</w:t>
      </w:r>
      <w:r w:rsidR="00487818">
        <w:rPr>
          <w:rFonts w:cs="Cambria"/>
          <w:color w:val="000000"/>
        </w:rPr>
        <w:t>dnos dobijene IRR sa upotrebljenim</w:t>
      </w:r>
      <w:r w:rsidR="00281592">
        <w:rPr>
          <w:rFonts w:cs="Cambria"/>
          <w:color w:val="000000"/>
        </w:rPr>
        <w:t xml:space="preserve"> diskont</w:t>
      </w:r>
      <w:r w:rsidR="00AF3E5D">
        <w:rPr>
          <w:rFonts w:cs="Cambria"/>
          <w:color w:val="000000"/>
        </w:rPr>
        <w:t>in</w:t>
      </w:r>
      <w:r w:rsidR="00487818">
        <w:rPr>
          <w:rFonts w:cs="Cambria"/>
          <w:color w:val="000000"/>
        </w:rPr>
        <w:t>im stopama</w:t>
      </w:r>
      <w:r w:rsidR="00281592">
        <w:rPr>
          <w:rFonts w:cs="Cambria"/>
          <w:color w:val="000000"/>
        </w:rPr>
        <w:t xml:space="preserve">. </w:t>
      </w:r>
    </w:p>
    <w:p w:rsidR="00D03E42" w:rsidRDefault="008010FA" w:rsidP="001D19FC">
      <w:pPr>
        <w:autoSpaceDE w:val="0"/>
        <w:autoSpaceDN w:val="0"/>
        <w:adjustRightInd w:val="0"/>
        <w:spacing w:line="276" w:lineRule="auto"/>
        <w:jc w:val="both"/>
        <w:rPr>
          <w:rFonts w:cs="Cambria"/>
          <w:color w:val="000000"/>
        </w:rPr>
      </w:pPr>
      <w:r w:rsidRPr="008010FA">
        <w:rPr>
          <w:rFonts w:cs="Cambria"/>
          <w:b/>
          <w:color w:val="000000"/>
        </w:rPr>
        <w:t>4.</w:t>
      </w:r>
      <w:r w:rsidR="00281592">
        <w:rPr>
          <w:rFonts w:cs="Cambria"/>
          <w:color w:val="000000"/>
        </w:rPr>
        <w:t xml:space="preserve">Rezultate dobijene za </w:t>
      </w:r>
      <w:r w:rsidR="00281592" w:rsidRPr="00603FF4">
        <w:rPr>
          <w:rFonts w:cs="Cambria"/>
          <w:b/>
          <w:color w:val="000000"/>
        </w:rPr>
        <w:t>privatnu efikasnost iz perspective investitora</w:t>
      </w:r>
      <w:r w:rsidR="00281592">
        <w:rPr>
          <w:rFonts w:cs="Cambria"/>
          <w:color w:val="000000"/>
        </w:rPr>
        <w:t xml:space="preserve"> dajemo u narednom prikazu: </w:t>
      </w:r>
    </w:p>
    <w:p w:rsidR="00D03E42" w:rsidRDefault="00281592" w:rsidP="00603FF4">
      <w:pPr>
        <w:autoSpaceDE w:val="0"/>
        <w:autoSpaceDN w:val="0"/>
        <w:adjustRightInd w:val="0"/>
        <w:spacing w:line="276" w:lineRule="auto"/>
        <w:jc w:val="center"/>
        <w:rPr>
          <w:rFonts w:cs="Cambria"/>
          <w:color w:val="000000"/>
        </w:rPr>
      </w:pPr>
      <w:r w:rsidRPr="00281592">
        <w:rPr>
          <w:noProof/>
        </w:rPr>
        <w:drawing>
          <wp:inline distT="0" distB="0" distL="0" distR="0">
            <wp:extent cx="5274128" cy="124806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8709" cy="1277549"/>
                    </a:xfrm>
                    <a:prstGeom prst="rect">
                      <a:avLst/>
                    </a:prstGeom>
                    <a:noFill/>
                    <a:ln>
                      <a:noFill/>
                    </a:ln>
                  </pic:spPr>
                </pic:pic>
              </a:graphicData>
            </a:graphic>
          </wp:inline>
        </w:drawing>
      </w:r>
    </w:p>
    <w:p w:rsidR="00487818" w:rsidRDefault="00AF3E5D" w:rsidP="001D19FC">
      <w:pPr>
        <w:autoSpaceDE w:val="0"/>
        <w:autoSpaceDN w:val="0"/>
        <w:adjustRightInd w:val="0"/>
        <w:spacing w:line="276" w:lineRule="auto"/>
        <w:jc w:val="both"/>
        <w:rPr>
          <w:rFonts w:cs="Cambria"/>
          <w:color w:val="000000"/>
        </w:rPr>
      </w:pPr>
      <w:r>
        <w:rPr>
          <w:rFonts w:cs="Cambria"/>
          <w:color w:val="000000"/>
        </w:rPr>
        <w:t xml:space="preserve">Kao što vidimo rok povrata je samo nešto malo veći od godinu dana što je rezultat činjenice da su vlastiti izvori investitora </w:t>
      </w:r>
      <w:r w:rsidR="00487818">
        <w:rPr>
          <w:rFonts w:cs="Cambria"/>
          <w:color w:val="000000"/>
        </w:rPr>
        <w:t>vrlo mali, manji od 6%, što je posledica, za naše prilike, povoljnih kamatnih stopa po kojima su dobijeni krediti, s jedne strane, i visoke privatne isplativosti projekta ko</w:t>
      </w:r>
      <w:r w:rsidR="00A01DFD">
        <w:rPr>
          <w:rFonts w:cs="Cambria"/>
          <w:color w:val="000000"/>
        </w:rPr>
        <w:t>ji je tako snažno subvencionisan</w:t>
      </w:r>
      <w:r w:rsidR="00487818">
        <w:rPr>
          <w:rFonts w:cs="Cambria"/>
          <w:color w:val="000000"/>
        </w:rPr>
        <w:t xml:space="preserve">. </w:t>
      </w:r>
    </w:p>
    <w:p w:rsidR="007735AB" w:rsidRDefault="00487818" w:rsidP="001D19FC">
      <w:pPr>
        <w:autoSpaceDE w:val="0"/>
        <w:autoSpaceDN w:val="0"/>
        <w:adjustRightInd w:val="0"/>
        <w:spacing w:line="276" w:lineRule="auto"/>
        <w:jc w:val="both"/>
        <w:rPr>
          <w:rFonts w:cs="Cambria"/>
          <w:color w:val="000000"/>
        </w:rPr>
      </w:pPr>
      <w:r>
        <w:rPr>
          <w:rFonts w:cs="Cambria"/>
          <w:color w:val="000000"/>
        </w:rPr>
        <w:t>Drugo, NPV ima jako visoku vrijednost koja se kreće od oko 3,2</w:t>
      </w:r>
      <w:r w:rsidR="00DB6B90">
        <w:rPr>
          <w:rFonts w:cs="Cambria"/>
          <w:color w:val="000000"/>
        </w:rPr>
        <w:t xml:space="preserve">(pri diskontnoj stopi od 9%) </w:t>
      </w:r>
      <w:r>
        <w:rPr>
          <w:rFonts w:cs="Cambria"/>
          <w:color w:val="000000"/>
        </w:rPr>
        <w:t>do oko 4,6 miliona eura</w:t>
      </w:r>
      <w:r w:rsidR="00DB6B90">
        <w:rPr>
          <w:rFonts w:cs="Cambria"/>
          <w:color w:val="000000"/>
        </w:rPr>
        <w:t xml:space="preserve"> (pri diskontnoj stopi od 5%)</w:t>
      </w:r>
      <w:r>
        <w:rPr>
          <w:rFonts w:cs="Cambria"/>
          <w:color w:val="000000"/>
        </w:rPr>
        <w:t xml:space="preserve">. Kada imamo u vidu da je </w:t>
      </w:r>
      <w:r w:rsidR="00DB6B90">
        <w:rPr>
          <w:rFonts w:cs="Cambria"/>
          <w:color w:val="000000"/>
        </w:rPr>
        <w:t>minimalna</w:t>
      </w:r>
      <w:r>
        <w:rPr>
          <w:rFonts w:cs="Cambria"/>
          <w:color w:val="000000"/>
        </w:rPr>
        <w:t xml:space="preserve"> vrijednost</w:t>
      </w:r>
      <w:r w:rsidR="00DB6B90">
        <w:rPr>
          <w:rFonts w:cs="Cambria"/>
          <w:color w:val="000000"/>
        </w:rPr>
        <w:t xml:space="preserve"> NPVza koju</w:t>
      </w:r>
      <w:r>
        <w:rPr>
          <w:rFonts w:cs="Cambria"/>
          <w:color w:val="000000"/>
        </w:rPr>
        <w:t xml:space="preserve"> se investicija smatrala prihvatljivom jednaka nuli tek onda shvatamo o kako isplativom projektu se radi sa stanovišta investitra. Takođe, vidimo da se relativna </w:t>
      </w:r>
      <w:r w:rsidR="00DB6B90">
        <w:rPr>
          <w:rFonts w:cs="Cambria"/>
          <w:color w:val="000000"/>
        </w:rPr>
        <w:t xml:space="preserve">vrijednost NPV kreće od 37% (pri diskontnoj stopi od 9%) do 54% (pri diskontnoj stopi od 5%). </w:t>
      </w:r>
      <w:r w:rsidR="00B2595D">
        <w:rPr>
          <w:rFonts w:cs="Cambria"/>
          <w:color w:val="000000"/>
        </w:rPr>
        <w:t xml:space="preserve">To znači da je projekat u stanju da generira sadašnju vrijednost veću za 37% do 54% veću od one koja je potrebna da bi projekat bio isplativ. </w:t>
      </w:r>
    </w:p>
    <w:p w:rsidR="00603FF4" w:rsidRDefault="00603FF4" w:rsidP="001D19FC">
      <w:pPr>
        <w:autoSpaceDE w:val="0"/>
        <w:autoSpaceDN w:val="0"/>
        <w:adjustRightInd w:val="0"/>
        <w:spacing w:line="276" w:lineRule="auto"/>
        <w:jc w:val="both"/>
        <w:rPr>
          <w:rFonts w:cs="Cambria"/>
          <w:color w:val="000000"/>
        </w:rPr>
      </w:pPr>
      <w:r>
        <w:rPr>
          <w:rFonts w:cs="Cambria"/>
          <w:color w:val="000000"/>
        </w:rPr>
        <w:t xml:space="preserve">Konačno, IRR pokazuje još veću privatnu efikasnost projekta. </w:t>
      </w:r>
      <w:r w:rsidR="00482A6D">
        <w:rPr>
          <w:rFonts w:cs="Cambria"/>
          <w:color w:val="000000"/>
        </w:rPr>
        <w:t xml:space="preserve">Interna stopa rentabiliteta je na nivou od gotovo spektakularnih 68%. Drugim riječima tek kada bi zahtijevana stopa prinosa bila na nivou od 68%, NPV bi bio jednak nuli a projekat bi bio na granici isplativosti. Kao rezultat ovoga </w:t>
      </w:r>
      <w:r w:rsidR="00A040AD">
        <w:rPr>
          <w:rFonts w:cs="Cambria"/>
          <w:color w:val="000000"/>
        </w:rPr>
        <w:t>irelativne</w:t>
      </w:r>
      <w:r w:rsidR="00482A6D">
        <w:rPr>
          <w:rFonts w:cs="Cambria"/>
          <w:color w:val="000000"/>
        </w:rPr>
        <w:t xml:space="preserve"> vrijednost</w:t>
      </w:r>
      <w:r w:rsidR="00A040AD">
        <w:rPr>
          <w:rFonts w:cs="Cambria"/>
          <w:color w:val="000000"/>
        </w:rPr>
        <w:t>i</w:t>
      </w:r>
      <w:r w:rsidR="00482A6D">
        <w:rPr>
          <w:rFonts w:cs="Cambria"/>
          <w:color w:val="000000"/>
        </w:rPr>
        <w:t xml:space="preserve"> IRR </w:t>
      </w:r>
      <w:r w:rsidR="00A040AD">
        <w:rPr>
          <w:rFonts w:cs="Cambria"/>
          <w:color w:val="000000"/>
        </w:rPr>
        <w:t>su izuzetno visoke. Kao što vidimo, IRR je 8 do 14 puta veća od diskontnih stopa upotrebljenih za računanje odgovarajućih NPV što je takođe</w:t>
      </w:r>
      <w:r w:rsidR="00564F58">
        <w:rPr>
          <w:rFonts w:cs="Cambria"/>
          <w:color w:val="000000"/>
        </w:rPr>
        <w:t xml:space="preserve"> indi</w:t>
      </w:r>
      <w:r w:rsidR="005A2FD2">
        <w:rPr>
          <w:rFonts w:cs="Cambria"/>
          <w:color w:val="000000"/>
        </w:rPr>
        <w:t>k</w:t>
      </w:r>
      <w:r w:rsidR="00564F58">
        <w:rPr>
          <w:rFonts w:cs="Cambria"/>
          <w:color w:val="000000"/>
        </w:rPr>
        <w:t>ator o spektakular</w:t>
      </w:r>
      <w:r w:rsidR="00A040AD">
        <w:rPr>
          <w:rFonts w:cs="Cambria"/>
          <w:color w:val="000000"/>
        </w:rPr>
        <w:t>n</w:t>
      </w:r>
      <w:r w:rsidR="00564F58">
        <w:rPr>
          <w:rFonts w:cs="Cambria"/>
          <w:color w:val="000000"/>
        </w:rPr>
        <w:t xml:space="preserve">oj </w:t>
      </w:r>
      <w:r w:rsidR="00A040AD">
        <w:rPr>
          <w:rFonts w:cs="Cambria"/>
          <w:color w:val="000000"/>
        </w:rPr>
        <w:t>privatnoj isplativosti projekta</w:t>
      </w:r>
      <w:r w:rsidR="00564F58">
        <w:rPr>
          <w:rFonts w:cs="Cambria"/>
          <w:color w:val="000000"/>
        </w:rPr>
        <w:t xml:space="preserve"> za investitora</w:t>
      </w:r>
      <w:r w:rsidR="00A040AD">
        <w:rPr>
          <w:rFonts w:cs="Cambria"/>
          <w:color w:val="000000"/>
        </w:rPr>
        <w:t xml:space="preserve">. </w:t>
      </w:r>
    </w:p>
    <w:p w:rsidR="00603FF4" w:rsidRDefault="008010FA" w:rsidP="001A334F">
      <w:pPr>
        <w:autoSpaceDE w:val="0"/>
        <w:autoSpaceDN w:val="0"/>
        <w:adjustRightInd w:val="0"/>
        <w:spacing w:line="276" w:lineRule="auto"/>
        <w:jc w:val="both"/>
        <w:rPr>
          <w:rFonts w:cs="Cambria"/>
          <w:color w:val="000000"/>
        </w:rPr>
      </w:pPr>
      <w:r w:rsidRPr="008010FA">
        <w:rPr>
          <w:rFonts w:cs="Cambria"/>
          <w:b/>
          <w:color w:val="000000"/>
        </w:rPr>
        <w:t>5.</w:t>
      </w:r>
      <w:r w:rsidR="00603FF4">
        <w:rPr>
          <w:rFonts w:cs="Cambria"/>
          <w:color w:val="000000"/>
        </w:rPr>
        <w:t xml:space="preserve">Rezultate dobijene za </w:t>
      </w:r>
      <w:r w:rsidR="00603FF4" w:rsidRPr="00603FF4">
        <w:rPr>
          <w:rFonts w:cs="Cambria"/>
          <w:b/>
          <w:color w:val="000000"/>
        </w:rPr>
        <w:t>privatnu efikasnost iz perspective</w:t>
      </w:r>
      <w:r w:rsidR="00603FF4">
        <w:rPr>
          <w:rFonts w:cs="Cambria"/>
          <w:b/>
          <w:color w:val="000000"/>
        </w:rPr>
        <w:t xml:space="preserve"> oba</w:t>
      </w:r>
      <w:r w:rsidR="00603FF4" w:rsidRPr="00603FF4">
        <w:rPr>
          <w:rFonts w:cs="Cambria"/>
          <w:b/>
          <w:color w:val="000000"/>
        </w:rPr>
        <w:t xml:space="preserve"> investitora</w:t>
      </w:r>
      <w:r>
        <w:rPr>
          <w:rFonts w:cs="Cambria"/>
          <w:color w:val="000000"/>
        </w:rPr>
        <w:t>- banke i direktnog</w:t>
      </w:r>
      <w:r w:rsidR="00603FF4" w:rsidRPr="00603FF4">
        <w:rPr>
          <w:rFonts w:cs="Cambria"/>
          <w:color w:val="000000"/>
        </w:rPr>
        <w:t xml:space="preserve"> investitor</w:t>
      </w:r>
      <w:r>
        <w:rPr>
          <w:rFonts w:cs="Cambria"/>
          <w:color w:val="000000"/>
        </w:rPr>
        <w:t>a</w:t>
      </w:r>
      <w:r w:rsidR="00603FF4" w:rsidRPr="00603FF4">
        <w:rPr>
          <w:rFonts w:cs="Cambria"/>
          <w:color w:val="000000"/>
        </w:rPr>
        <w:t>,</w:t>
      </w:r>
      <w:r w:rsidR="00603FF4">
        <w:rPr>
          <w:rFonts w:cs="Cambria"/>
          <w:color w:val="000000"/>
        </w:rPr>
        <w:t xml:space="preserve"> dajemo u narednom prikazu:</w:t>
      </w:r>
    </w:p>
    <w:p w:rsidR="00DF7545" w:rsidRDefault="00603FF4" w:rsidP="007F1C81">
      <w:pPr>
        <w:autoSpaceDE w:val="0"/>
        <w:autoSpaceDN w:val="0"/>
        <w:adjustRightInd w:val="0"/>
        <w:spacing w:line="276" w:lineRule="auto"/>
        <w:jc w:val="center"/>
        <w:rPr>
          <w:rFonts w:cs="Cambria"/>
          <w:color w:val="000000"/>
        </w:rPr>
      </w:pPr>
      <w:r w:rsidRPr="00603FF4">
        <w:rPr>
          <w:noProof/>
        </w:rPr>
        <w:drawing>
          <wp:inline distT="0" distB="0" distL="0" distR="0">
            <wp:extent cx="5072742" cy="120408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4445" cy="1228223"/>
                    </a:xfrm>
                    <a:prstGeom prst="rect">
                      <a:avLst/>
                    </a:prstGeom>
                    <a:noFill/>
                    <a:ln>
                      <a:noFill/>
                    </a:ln>
                  </pic:spPr>
                </pic:pic>
              </a:graphicData>
            </a:graphic>
          </wp:inline>
        </w:drawing>
      </w:r>
    </w:p>
    <w:p w:rsidR="001E2782" w:rsidRDefault="008010FA" w:rsidP="001D19FC">
      <w:pPr>
        <w:autoSpaceDE w:val="0"/>
        <w:autoSpaceDN w:val="0"/>
        <w:adjustRightInd w:val="0"/>
        <w:spacing w:line="276" w:lineRule="auto"/>
        <w:jc w:val="both"/>
        <w:rPr>
          <w:rFonts w:cs="Cambria"/>
          <w:color w:val="000000"/>
        </w:rPr>
      </w:pPr>
      <w:r>
        <w:rPr>
          <w:rFonts w:cs="Cambria"/>
          <w:color w:val="000000"/>
        </w:rPr>
        <w:lastRenderedPageBreak/>
        <w:t xml:space="preserve">Prvo, mada ne </w:t>
      </w:r>
      <w:r w:rsidR="00A01DFD">
        <w:rPr>
          <w:rFonts w:cs="Cambria"/>
          <w:color w:val="000000"/>
        </w:rPr>
        <w:t>i</w:t>
      </w:r>
      <w:r>
        <w:rPr>
          <w:rFonts w:cs="Cambria"/>
          <w:color w:val="000000"/>
        </w:rPr>
        <w:t xml:space="preserve"> najvažnije je da je sada rok povrata nešto preko 5 godina što je mnogo više nego u prehodnom slučaju</w:t>
      </w:r>
      <w:r w:rsidR="00A01DFD">
        <w:rPr>
          <w:rFonts w:cs="Cambria"/>
          <w:color w:val="000000"/>
        </w:rPr>
        <w:t>. T</w:t>
      </w:r>
      <w:r>
        <w:rPr>
          <w:rFonts w:cs="Cambria"/>
          <w:color w:val="000000"/>
        </w:rPr>
        <w:t xml:space="preserve">o je posledica </w:t>
      </w:r>
      <w:r w:rsidR="005A2FD2">
        <w:rPr>
          <w:rFonts w:cs="Cambria"/>
          <w:color w:val="000000"/>
        </w:rPr>
        <w:t>č</w:t>
      </w:r>
      <w:r>
        <w:rPr>
          <w:rFonts w:cs="Cambria"/>
          <w:color w:val="000000"/>
        </w:rPr>
        <w:t xml:space="preserve">injenice da </w:t>
      </w:r>
      <w:r w:rsidR="00A01DFD">
        <w:rPr>
          <w:rFonts w:cs="Cambria"/>
          <w:color w:val="000000"/>
        </w:rPr>
        <w:t xml:space="preserve">su kod ekonomskog toka u našem slučaju ukupne investicije u mnogo većem stepenu narasle u odnosu na vlastita ulaganja nego što su neto prilivi narasli u odnosu na prethodni slučaj. </w:t>
      </w:r>
      <w:r w:rsidR="00B844E6">
        <w:rPr>
          <w:rFonts w:cs="Cambria"/>
          <w:color w:val="000000"/>
        </w:rPr>
        <w:t>Očito velika razlika u roku povrata u prethodnom i ovom slučaju je posledica u</w:t>
      </w:r>
      <w:r w:rsidR="00A01DFD">
        <w:rPr>
          <w:rFonts w:cs="Cambria"/>
          <w:color w:val="000000"/>
        </w:rPr>
        <w:t>ticaj</w:t>
      </w:r>
      <w:r w:rsidR="00B844E6">
        <w:rPr>
          <w:rFonts w:cs="Cambria"/>
          <w:color w:val="000000"/>
        </w:rPr>
        <w:t>a</w:t>
      </w:r>
      <w:r w:rsidR="00A01DFD">
        <w:rPr>
          <w:rFonts w:cs="Cambria"/>
          <w:color w:val="000000"/>
        </w:rPr>
        <w:t xml:space="preserve"> laverage </w:t>
      </w:r>
      <w:r w:rsidR="00B844E6">
        <w:rPr>
          <w:rFonts w:cs="Cambria"/>
          <w:color w:val="000000"/>
        </w:rPr>
        <w:t>efekta</w:t>
      </w:r>
      <w:r w:rsidR="00A01DFD">
        <w:rPr>
          <w:rFonts w:cs="Cambria"/>
          <w:color w:val="000000"/>
        </w:rPr>
        <w:t xml:space="preserve">. </w:t>
      </w:r>
    </w:p>
    <w:p w:rsidR="00A01DFD" w:rsidRDefault="00A01DFD" w:rsidP="001D19FC">
      <w:pPr>
        <w:autoSpaceDE w:val="0"/>
        <w:autoSpaceDN w:val="0"/>
        <w:adjustRightInd w:val="0"/>
        <w:spacing w:line="276" w:lineRule="auto"/>
        <w:jc w:val="both"/>
        <w:rPr>
          <w:rFonts w:cs="Cambria"/>
          <w:color w:val="000000"/>
        </w:rPr>
      </w:pPr>
      <w:r>
        <w:rPr>
          <w:rFonts w:cs="Cambria"/>
          <w:color w:val="000000"/>
        </w:rPr>
        <w:t>Drugo, NPV kao najvažniji indikator i ovdje pokazuje vrlo visok nivo. U apsolutnim jedinicama mjere, on se kreće od oko 1,9</w:t>
      </w:r>
      <w:r w:rsidR="00B844E6">
        <w:rPr>
          <w:rFonts w:cs="Cambria"/>
          <w:color w:val="000000"/>
        </w:rPr>
        <w:t xml:space="preserve">miliona </w:t>
      </w:r>
      <w:r>
        <w:rPr>
          <w:rFonts w:cs="Cambria"/>
          <w:color w:val="000000"/>
        </w:rPr>
        <w:t xml:space="preserve">(pri diskontnoj stopi od 9%) do </w:t>
      </w:r>
      <w:r w:rsidR="00B844E6">
        <w:rPr>
          <w:rFonts w:cs="Cambria"/>
          <w:color w:val="000000"/>
        </w:rPr>
        <w:t xml:space="preserve">oko 4,6 </w:t>
      </w:r>
      <w:r>
        <w:rPr>
          <w:rFonts w:cs="Cambria"/>
          <w:color w:val="000000"/>
        </w:rPr>
        <w:t>miliona eura</w:t>
      </w:r>
      <w:r w:rsidR="00B844E6">
        <w:rPr>
          <w:rFonts w:cs="Cambria"/>
          <w:color w:val="000000"/>
        </w:rPr>
        <w:t xml:space="preserve"> (pri diskontnoj stopi od 5%). Njegova relativna vrijednost je takođe velika </w:t>
      </w:r>
      <w:r w:rsidR="005A2FD2">
        <w:rPr>
          <w:rFonts w:cs="Cambria"/>
          <w:color w:val="000000"/>
        </w:rPr>
        <w:t xml:space="preserve">i </w:t>
      </w:r>
      <w:r w:rsidR="00B844E6">
        <w:rPr>
          <w:rFonts w:cs="Cambria"/>
          <w:color w:val="000000"/>
        </w:rPr>
        <w:t xml:space="preserve">kreće se od oko 23% do oko 54%. Riječ je o impresivnim vrijednostima. Možda ne spektakularnim ali svakako impresivnim. </w:t>
      </w:r>
    </w:p>
    <w:p w:rsidR="008010FA" w:rsidRDefault="00B844E6" w:rsidP="001D19FC">
      <w:pPr>
        <w:autoSpaceDE w:val="0"/>
        <w:autoSpaceDN w:val="0"/>
        <w:adjustRightInd w:val="0"/>
        <w:spacing w:line="276" w:lineRule="auto"/>
        <w:jc w:val="both"/>
        <w:rPr>
          <w:rFonts w:cs="Cambria"/>
          <w:color w:val="000000"/>
        </w:rPr>
      </w:pPr>
      <w:r>
        <w:rPr>
          <w:rFonts w:cs="Cambria"/>
          <w:color w:val="000000"/>
        </w:rPr>
        <w:t xml:space="preserve">Konačno, IRR takođe nije spektakularna kao u prethodnom slučaju ali je sa vrijednošču od 13% svakako na nivou koji pokazuje visok nivo sveukupne privatne isplativosti projekta. Relativna vrijednost IRR to posebno potvrđuje: 166% pri diskontnoj stopi od 8%, </w:t>
      </w:r>
      <w:r w:rsidR="00893044">
        <w:rPr>
          <w:rFonts w:cs="Cambria"/>
          <w:color w:val="000000"/>
        </w:rPr>
        <w:t xml:space="preserve">oko </w:t>
      </w:r>
      <w:r>
        <w:rPr>
          <w:rFonts w:cs="Cambria"/>
          <w:color w:val="000000"/>
        </w:rPr>
        <w:t>14</w:t>
      </w:r>
      <w:r w:rsidR="00893044">
        <w:rPr>
          <w:rFonts w:cs="Cambria"/>
          <w:color w:val="000000"/>
        </w:rPr>
        <w:t xml:space="preserve">8% pri stopi diskonta od 9%, i konačno 266% pri stopi diskonta od 5%. </w:t>
      </w:r>
    </w:p>
    <w:p w:rsidR="00281592" w:rsidRDefault="008E630D" w:rsidP="001D19FC">
      <w:pPr>
        <w:autoSpaceDE w:val="0"/>
        <w:autoSpaceDN w:val="0"/>
        <w:adjustRightInd w:val="0"/>
        <w:spacing w:line="276" w:lineRule="auto"/>
        <w:jc w:val="both"/>
        <w:rPr>
          <w:rFonts w:cs="Cambria"/>
          <w:color w:val="000000"/>
        </w:rPr>
      </w:pPr>
      <w:r w:rsidRPr="00ED6F93">
        <w:rPr>
          <w:rFonts w:cs="Cambria"/>
          <w:b/>
          <w:color w:val="000000"/>
        </w:rPr>
        <w:t>6.</w:t>
      </w:r>
      <w:r w:rsidR="00D578FE">
        <w:rPr>
          <w:rFonts w:cs="Cambria"/>
          <w:color w:val="000000"/>
        </w:rPr>
        <w:t xml:space="preserve">Na kraju dajemo i rezultate analize za situaciju kada je </w:t>
      </w:r>
      <w:r w:rsidR="00D578FE" w:rsidRPr="00DE4008">
        <w:rPr>
          <w:rFonts w:cs="Cambria"/>
          <w:color w:val="000000"/>
        </w:rPr>
        <w:t>benchmar</w:t>
      </w:r>
      <w:r w:rsidR="005A2FD2">
        <w:rPr>
          <w:rFonts w:cs="Cambria"/>
          <w:color w:val="000000"/>
        </w:rPr>
        <w:t>k</w:t>
      </w:r>
      <w:r w:rsidR="00D578FE" w:rsidRPr="00DE4008">
        <w:rPr>
          <w:rFonts w:cs="Cambria"/>
          <w:color w:val="000000"/>
        </w:rPr>
        <w:t xml:space="preserve"> stanje dato u</w:t>
      </w:r>
      <w:r w:rsidR="00D1444E" w:rsidRPr="00BD5FFC">
        <w:rPr>
          <w:rFonts w:cs="Cambria"/>
          <w:b/>
          <w:color w:val="000000"/>
        </w:rPr>
        <w:t>planskim dokumentima</w:t>
      </w:r>
      <w:r w:rsidR="00D1444E">
        <w:rPr>
          <w:rFonts w:cs="Cambria"/>
          <w:color w:val="000000"/>
        </w:rPr>
        <w:t>. U dodatku</w:t>
      </w:r>
      <w:r w:rsidR="00D578FE">
        <w:rPr>
          <w:rFonts w:cs="Cambria"/>
          <w:color w:val="000000"/>
        </w:rPr>
        <w:t xml:space="preserve"> ovom odeljku prvo je data odgovarajuća projekcija Bilansa stanja a potom i projekcija tokova gotovina. </w:t>
      </w:r>
      <w:r w:rsidR="00ED6F93">
        <w:rPr>
          <w:rFonts w:cs="Cambria"/>
          <w:color w:val="000000"/>
        </w:rPr>
        <w:t xml:space="preserve">Na osnovu ovih projekcija napravljena je analiza privatne isplativosti projekta. Rezultate dobijene za </w:t>
      </w:r>
      <w:r w:rsidR="00ED6F93" w:rsidRPr="00603FF4">
        <w:rPr>
          <w:rFonts w:cs="Cambria"/>
          <w:b/>
          <w:color w:val="000000"/>
        </w:rPr>
        <w:t xml:space="preserve">privatnu efikasnost iz perspective </w:t>
      </w:r>
      <w:r w:rsidR="005672F9">
        <w:rPr>
          <w:rFonts w:cs="Cambria"/>
          <w:b/>
          <w:color w:val="000000"/>
        </w:rPr>
        <w:t xml:space="preserve">direktnog </w:t>
      </w:r>
      <w:r w:rsidR="00ED6F93" w:rsidRPr="00603FF4">
        <w:rPr>
          <w:rFonts w:cs="Cambria"/>
          <w:b/>
          <w:color w:val="000000"/>
        </w:rPr>
        <w:t>investitora</w:t>
      </w:r>
      <w:r w:rsidR="00ED6F93">
        <w:rPr>
          <w:rFonts w:cs="Cambria"/>
          <w:color w:val="000000"/>
        </w:rPr>
        <w:t xml:space="preserve"> dajemo u narednom prikazu:</w:t>
      </w:r>
    </w:p>
    <w:p w:rsidR="00D578FE" w:rsidRDefault="005672F9" w:rsidP="005672F9">
      <w:pPr>
        <w:autoSpaceDE w:val="0"/>
        <w:autoSpaceDN w:val="0"/>
        <w:adjustRightInd w:val="0"/>
        <w:spacing w:line="276" w:lineRule="auto"/>
        <w:jc w:val="center"/>
        <w:rPr>
          <w:rFonts w:cs="Cambria"/>
          <w:color w:val="000000"/>
        </w:rPr>
      </w:pPr>
      <w:r w:rsidRPr="005672F9">
        <w:rPr>
          <w:noProof/>
        </w:rPr>
        <w:drawing>
          <wp:inline distT="0" distB="0" distL="0" distR="0">
            <wp:extent cx="5067300" cy="11991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8962" cy="1235011"/>
                    </a:xfrm>
                    <a:prstGeom prst="rect">
                      <a:avLst/>
                    </a:prstGeom>
                    <a:noFill/>
                    <a:ln>
                      <a:noFill/>
                    </a:ln>
                  </pic:spPr>
                </pic:pic>
              </a:graphicData>
            </a:graphic>
          </wp:inline>
        </w:drawing>
      </w:r>
    </w:p>
    <w:p w:rsidR="005672F9" w:rsidRDefault="005672F9" w:rsidP="001D19FC">
      <w:pPr>
        <w:autoSpaceDE w:val="0"/>
        <w:autoSpaceDN w:val="0"/>
        <w:adjustRightInd w:val="0"/>
        <w:spacing w:line="276" w:lineRule="auto"/>
        <w:jc w:val="both"/>
        <w:rPr>
          <w:rFonts w:cs="Cambria"/>
          <w:color w:val="000000"/>
        </w:rPr>
      </w:pPr>
      <w:r>
        <w:rPr>
          <w:rFonts w:cs="Cambria"/>
          <w:color w:val="000000"/>
        </w:rPr>
        <w:t xml:space="preserve">Kao što vidimo NPV je za sve primijenjene diskontne stope pozitivan i veći </w:t>
      </w:r>
      <w:r w:rsidR="00DB33F8">
        <w:rPr>
          <w:rFonts w:cs="Cambria"/>
          <w:color w:val="000000"/>
        </w:rPr>
        <w:t>od inicijalnih investicija za</w:t>
      </w:r>
      <w:r>
        <w:rPr>
          <w:rFonts w:cs="Cambria"/>
          <w:color w:val="000000"/>
        </w:rPr>
        <w:t xml:space="preserve"> 4,28% do 5,5%. Ovo je znatno gori rezultat od onog koji smo dobili kada smo kao benchmark </w:t>
      </w:r>
      <w:r w:rsidR="00DC4DE2">
        <w:rPr>
          <w:rFonts w:cs="Cambria"/>
          <w:color w:val="000000"/>
        </w:rPr>
        <w:t xml:space="preserve">koristili stvarne rezultate iz </w:t>
      </w:r>
      <w:r>
        <w:rPr>
          <w:rFonts w:cs="Cambria"/>
          <w:color w:val="000000"/>
        </w:rPr>
        <w:t>2018</w:t>
      </w:r>
      <w:r w:rsidR="005A2FD2">
        <w:rPr>
          <w:rFonts w:cs="Cambria"/>
          <w:color w:val="000000"/>
        </w:rPr>
        <w:t>.</w:t>
      </w:r>
      <w:r>
        <w:rPr>
          <w:rFonts w:cs="Cambria"/>
          <w:color w:val="000000"/>
        </w:rPr>
        <w:t xml:space="preserve">godina. Ipak, on ukazuje na isplativost projekta gledano iz </w:t>
      </w:r>
      <w:r w:rsidR="005A2FD2">
        <w:rPr>
          <w:rFonts w:cs="Cambria"/>
          <w:color w:val="000000"/>
        </w:rPr>
        <w:t xml:space="preserve">perspektive </w:t>
      </w:r>
      <w:r>
        <w:rPr>
          <w:rFonts w:cs="Cambria"/>
          <w:color w:val="000000"/>
        </w:rPr>
        <w:t xml:space="preserve">equity investitora. </w:t>
      </w:r>
    </w:p>
    <w:p w:rsidR="005672F9" w:rsidRDefault="00585FE2" w:rsidP="001D19FC">
      <w:pPr>
        <w:autoSpaceDE w:val="0"/>
        <w:autoSpaceDN w:val="0"/>
        <w:adjustRightInd w:val="0"/>
        <w:spacing w:line="276" w:lineRule="auto"/>
        <w:jc w:val="both"/>
        <w:rPr>
          <w:rFonts w:cs="Cambria"/>
          <w:color w:val="000000"/>
        </w:rPr>
      </w:pPr>
      <w:r>
        <w:rPr>
          <w:rFonts w:cs="Cambria"/>
          <w:color w:val="000000"/>
        </w:rPr>
        <w:t>Sličan je i nalaz koji dobijamo kada pogledamo dobijenu vrijednost za IRR. Ona je ovdje 17%, što znači da je daleko od spektakularne koju smo dobili kada smo koristili kao benchmark 2018</w:t>
      </w:r>
      <w:r w:rsidR="005A2FD2">
        <w:rPr>
          <w:rFonts w:cs="Cambria"/>
          <w:color w:val="000000"/>
        </w:rPr>
        <w:t>.</w:t>
      </w:r>
      <w:r>
        <w:rPr>
          <w:rFonts w:cs="Cambria"/>
          <w:color w:val="000000"/>
        </w:rPr>
        <w:t xml:space="preserve">godinu ali je, takođe, veća od svih diskontnih stopa koje smo primjenjivali u ovoj analizi. </w:t>
      </w:r>
    </w:p>
    <w:p w:rsidR="005672F9" w:rsidRDefault="005672F9" w:rsidP="001D19FC">
      <w:pPr>
        <w:autoSpaceDE w:val="0"/>
        <w:autoSpaceDN w:val="0"/>
        <w:adjustRightInd w:val="0"/>
        <w:spacing w:line="276" w:lineRule="auto"/>
        <w:jc w:val="both"/>
        <w:rPr>
          <w:rFonts w:cs="Cambria"/>
          <w:color w:val="000000"/>
        </w:rPr>
      </w:pPr>
      <w:r w:rsidRPr="005672F9">
        <w:rPr>
          <w:rFonts w:cs="Cambria"/>
          <w:b/>
          <w:color w:val="000000"/>
        </w:rPr>
        <w:t>7.</w:t>
      </w:r>
      <w:r w:rsidRPr="005672F9">
        <w:rPr>
          <w:rFonts w:cs="Cambria"/>
          <w:color w:val="000000"/>
        </w:rPr>
        <w:t xml:space="preserve"> Rezultate analiz</w:t>
      </w:r>
      <w:r>
        <w:rPr>
          <w:rFonts w:cs="Cambria"/>
          <w:color w:val="000000"/>
        </w:rPr>
        <w:t>e dobijene za</w:t>
      </w:r>
      <w:r>
        <w:rPr>
          <w:rFonts w:cs="Cambria"/>
          <w:b/>
          <w:color w:val="000000"/>
        </w:rPr>
        <w:t xml:space="preserve"> privatnu efikasnost oba investitora </w:t>
      </w:r>
      <w:r>
        <w:rPr>
          <w:rFonts w:cs="Cambria"/>
          <w:color w:val="000000"/>
        </w:rPr>
        <w:t xml:space="preserve">dajemo u narednoj tabeli: </w:t>
      </w:r>
    </w:p>
    <w:p w:rsidR="00DF7545" w:rsidRDefault="00585FE2" w:rsidP="00DF7545">
      <w:pPr>
        <w:autoSpaceDE w:val="0"/>
        <w:autoSpaceDN w:val="0"/>
        <w:adjustRightInd w:val="0"/>
        <w:spacing w:line="276" w:lineRule="auto"/>
        <w:jc w:val="center"/>
        <w:rPr>
          <w:rFonts w:cs="Cambria"/>
          <w:color w:val="000000"/>
        </w:rPr>
      </w:pPr>
      <w:r w:rsidRPr="00585FE2">
        <w:rPr>
          <w:noProof/>
        </w:rPr>
        <w:lastRenderedPageBreak/>
        <w:drawing>
          <wp:inline distT="0" distB="0" distL="0" distR="0">
            <wp:extent cx="5704764" cy="118415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1251" cy="1197960"/>
                    </a:xfrm>
                    <a:prstGeom prst="rect">
                      <a:avLst/>
                    </a:prstGeom>
                    <a:noFill/>
                    <a:ln>
                      <a:noFill/>
                    </a:ln>
                  </pic:spPr>
                </pic:pic>
              </a:graphicData>
            </a:graphic>
          </wp:inline>
        </w:drawing>
      </w:r>
    </w:p>
    <w:p w:rsidR="00ED3DD6" w:rsidRDefault="00585FE2" w:rsidP="001D19FC">
      <w:pPr>
        <w:autoSpaceDE w:val="0"/>
        <w:autoSpaceDN w:val="0"/>
        <w:adjustRightInd w:val="0"/>
        <w:spacing w:line="276" w:lineRule="auto"/>
        <w:jc w:val="both"/>
        <w:rPr>
          <w:rFonts w:cs="Cambria"/>
          <w:color w:val="000000"/>
        </w:rPr>
      </w:pPr>
      <w:r>
        <w:rPr>
          <w:rFonts w:cs="Cambria"/>
          <w:color w:val="000000"/>
        </w:rPr>
        <w:t xml:space="preserve">Ovdje su već dobijeni rezultati znatno drugačiji i ukazuju na nerentabilnost i neodrživost projekta. Ovo uprkos subvencionisanoj cijeni električne energije i svim ostalim privilegijama datim ovim proizvođačima. </w:t>
      </w:r>
      <w:r w:rsidR="00ED3DD6">
        <w:rPr>
          <w:rFonts w:cs="Cambria"/>
          <w:color w:val="000000"/>
        </w:rPr>
        <w:t xml:space="preserve">Ovo je posebno važno kada imamo u vidu da bi, bar prema planovima, ovaj planski nivo aktivnosti trebao biti u saglasju sa eko sistemom te sa interesima stakeholdera drugih djelatnosti. </w:t>
      </w:r>
    </w:p>
    <w:p w:rsidR="005672F9" w:rsidRDefault="00D1444E" w:rsidP="001D19FC">
      <w:pPr>
        <w:autoSpaceDE w:val="0"/>
        <w:autoSpaceDN w:val="0"/>
        <w:adjustRightInd w:val="0"/>
        <w:spacing w:line="276" w:lineRule="auto"/>
        <w:jc w:val="both"/>
        <w:rPr>
          <w:rFonts w:cs="Cambria"/>
          <w:color w:val="000000"/>
        </w:rPr>
      </w:pPr>
      <w:r>
        <w:rPr>
          <w:rFonts w:cs="Cambria"/>
          <w:color w:val="000000"/>
        </w:rPr>
        <w:t>Kao što vidimo NPV ekonomskog toka je negativan za relevantne diskontne stope od 8%</w:t>
      </w:r>
      <w:r w:rsidR="00DC4DE2">
        <w:rPr>
          <w:rFonts w:cs="Cambria"/>
          <w:color w:val="000000"/>
        </w:rPr>
        <w:t xml:space="preserve"> i 9%. Takođe, IRR od 6% je manja</w:t>
      </w:r>
      <w:r>
        <w:rPr>
          <w:rFonts w:cs="Cambria"/>
          <w:color w:val="000000"/>
        </w:rPr>
        <w:t xml:space="preserve"> od obe </w:t>
      </w:r>
      <w:r w:rsidR="00DC4DE2">
        <w:rPr>
          <w:rFonts w:cs="Cambria"/>
          <w:color w:val="000000"/>
        </w:rPr>
        <w:t xml:space="preserve">relevantne </w:t>
      </w:r>
      <w:r>
        <w:rPr>
          <w:rFonts w:cs="Cambria"/>
          <w:color w:val="000000"/>
        </w:rPr>
        <w:t xml:space="preserve">diskontne stope koje smo ovdje primijenili. </w:t>
      </w:r>
      <w:r w:rsidR="00ED3DD6">
        <w:rPr>
          <w:rFonts w:cs="Cambria"/>
          <w:color w:val="000000"/>
        </w:rPr>
        <w:t>Međutim, kada se primijenjuje diskontna stopa od 5%, za koju smo rekli da je vrlo prikladna za opis ekstremno malog rizika kojem su ovi investitori, zahvaljujući privilegijama, izloženi, vidimo da i u ovoj sitaciji ovaj biznis može biti isplativ. NPV je za stopu od 5% pozitivan</w:t>
      </w:r>
      <w:r w:rsidR="0073000B">
        <w:rPr>
          <w:rFonts w:cs="Cambria"/>
          <w:color w:val="000000"/>
        </w:rPr>
        <w:t>,</w:t>
      </w:r>
      <w:r w:rsidR="00ED3DD6">
        <w:rPr>
          <w:rFonts w:cs="Cambria"/>
          <w:color w:val="000000"/>
        </w:rPr>
        <w:t xml:space="preserve"> a IRR od 6% je veća od diskontne stope od 5%. </w:t>
      </w:r>
    </w:p>
    <w:p w:rsidR="00E81B37" w:rsidRDefault="00E81B37" w:rsidP="004D1F30">
      <w:pPr>
        <w:spacing w:line="276" w:lineRule="auto"/>
      </w:pPr>
    </w:p>
    <w:p w:rsidR="00D1444E" w:rsidRDefault="00D1444E" w:rsidP="004D1F30">
      <w:pPr>
        <w:spacing w:line="276" w:lineRule="auto"/>
      </w:pPr>
    </w:p>
    <w:p w:rsidR="00D1444E" w:rsidRDefault="00D1444E" w:rsidP="004D1F30">
      <w:pPr>
        <w:spacing w:line="276" w:lineRule="auto"/>
        <w:sectPr w:rsidR="00D1444E" w:rsidSect="00654406">
          <w:footerReference w:type="first" r:id="rId24"/>
          <w:pgSz w:w="12240" w:h="15840"/>
          <w:pgMar w:top="1440" w:right="1440" w:bottom="1440" w:left="1440" w:header="720" w:footer="720" w:gutter="0"/>
          <w:pgNumType w:start="1"/>
          <w:cols w:space="720"/>
          <w:titlePg/>
          <w:docGrid w:linePitch="360"/>
        </w:sectPr>
      </w:pPr>
    </w:p>
    <w:p w:rsidR="00E81B37" w:rsidRDefault="0024578F" w:rsidP="004D1F30">
      <w:pPr>
        <w:spacing w:line="276" w:lineRule="auto"/>
      </w:pPr>
      <w:r w:rsidRPr="0024578F">
        <w:rPr>
          <w:noProof/>
        </w:rPr>
        <w:lastRenderedPageBreak/>
        <w:drawing>
          <wp:inline distT="0" distB="0" distL="0" distR="0">
            <wp:extent cx="7815779" cy="59307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5779" cy="5930721"/>
                    </a:xfrm>
                    <a:prstGeom prst="rect">
                      <a:avLst/>
                    </a:prstGeom>
                    <a:noFill/>
                    <a:ln>
                      <a:noFill/>
                    </a:ln>
                  </pic:spPr>
                </pic:pic>
              </a:graphicData>
            </a:graphic>
          </wp:inline>
        </w:drawing>
      </w:r>
    </w:p>
    <w:p w:rsidR="00E81B37" w:rsidRDefault="0024578F" w:rsidP="004D1F30">
      <w:pPr>
        <w:spacing w:line="276" w:lineRule="auto"/>
      </w:pPr>
      <w:r w:rsidRPr="0024578F">
        <w:rPr>
          <w:noProof/>
        </w:rPr>
        <w:lastRenderedPageBreak/>
        <w:drawing>
          <wp:inline distT="0" distB="0" distL="0" distR="0">
            <wp:extent cx="7868352" cy="63324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94238" cy="6353303"/>
                    </a:xfrm>
                    <a:prstGeom prst="rect">
                      <a:avLst/>
                    </a:prstGeom>
                    <a:noFill/>
                    <a:ln>
                      <a:noFill/>
                    </a:ln>
                  </pic:spPr>
                </pic:pic>
              </a:graphicData>
            </a:graphic>
          </wp:inline>
        </w:drawing>
      </w:r>
    </w:p>
    <w:p w:rsidR="0024578F" w:rsidRDefault="0024578F" w:rsidP="004D1F30">
      <w:pPr>
        <w:spacing w:line="276" w:lineRule="auto"/>
      </w:pPr>
    </w:p>
    <w:p w:rsidR="008E0F27" w:rsidRDefault="008E0F27" w:rsidP="004D1F30">
      <w:pPr>
        <w:spacing w:line="276" w:lineRule="auto"/>
      </w:pPr>
    </w:p>
    <w:p w:rsidR="008E0F27" w:rsidRDefault="008E0F27" w:rsidP="004D1F30">
      <w:pPr>
        <w:spacing w:line="276" w:lineRule="auto"/>
      </w:pPr>
    </w:p>
    <w:p w:rsidR="0024578F" w:rsidRDefault="008E0F27" w:rsidP="004D1F30">
      <w:pPr>
        <w:spacing w:line="276" w:lineRule="auto"/>
      </w:pPr>
      <w:r w:rsidRPr="008E0F27">
        <w:rPr>
          <w:noProof/>
        </w:rPr>
        <w:drawing>
          <wp:inline distT="0" distB="0" distL="0" distR="0">
            <wp:extent cx="8225067" cy="3812146"/>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73017" cy="3834370"/>
                    </a:xfrm>
                    <a:prstGeom prst="rect">
                      <a:avLst/>
                    </a:prstGeom>
                    <a:noFill/>
                    <a:ln>
                      <a:noFill/>
                    </a:ln>
                  </pic:spPr>
                </pic:pic>
              </a:graphicData>
            </a:graphic>
          </wp:inline>
        </w:drawing>
      </w:r>
    </w:p>
    <w:p w:rsidR="00E81B37" w:rsidRDefault="00E81B37" w:rsidP="004D1F30">
      <w:pPr>
        <w:spacing w:line="276" w:lineRule="auto"/>
      </w:pPr>
    </w:p>
    <w:p w:rsidR="00E81B37" w:rsidRDefault="00E81B37" w:rsidP="004D1F30">
      <w:pPr>
        <w:spacing w:line="276" w:lineRule="auto"/>
      </w:pPr>
    </w:p>
    <w:p w:rsidR="00E81B37" w:rsidRDefault="00E81B37" w:rsidP="004D1F30">
      <w:pPr>
        <w:spacing w:line="276" w:lineRule="auto"/>
      </w:pPr>
    </w:p>
    <w:p w:rsidR="00E81B37" w:rsidRDefault="00E81B37" w:rsidP="004D1F30">
      <w:pPr>
        <w:spacing w:line="276" w:lineRule="auto"/>
      </w:pPr>
    </w:p>
    <w:p w:rsidR="00E81B37" w:rsidRDefault="00E81B37" w:rsidP="004D1F30">
      <w:pPr>
        <w:spacing w:line="276" w:lineRule="auto"/>
      </w:pPr>
    </w:p>
    <w:p w:rsidR="007735AB" w:rsidRDefault="007735AB" w:rsidP="004D1F30">
      <w:pPr>
        <w:spacing w:line="276" w:lineRule="auto"/>
      </w:pPr>
    </w:p>
    <w:p w:rsidR="007735AB" w:rsidRDefault="007735AB" w:rsidP="004D1F30">
      <w:pPr>
        <w:spacing w:line="276" w:lineRule="auto"/>
      </w:pPr>
    </w:p>
    <w:p w:rsidR="007735AB" w:rsidRDefault="007735AB" w:rsidP="004D1F30">
      <w:pPr>
        <w:spacing w:line="276" w:lineRule="auto"/>
      </w:pPr>
    </w:p>
    <w:p w:rsidR="00055319" w:rsidRDefault="007735AB" w:rsidP="004D1F30">
      <w:pPr>
        <w:spacing w:line="276" w:lineRule="auto"/>
      </w:pPr>
      <w:r w:rsidRPr="007735AB">
        <w:rPr>
          <w:noProof/>
        </w:rPr>
        <w:drawing>
          <wp:inline distT="0" distB="0" distL="0" distR="0">
            <wp:extent cx="8725437" cy="33030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78852" cy="3323308"/>
                    </a:xfrm>
                    <a:prstGeom prst="rect">
                      <a:avLst/>
                    </a:prstGeom>
                    <a:noFill/>
                    <a:ln>
                      <a:noFill/>
                    </a:ln>
                  </pic:spPr>
                </pic:pic>
              </a:graphicData>
            </a:graphic>
          </wp:inline>
        </w:drawing>
      </w:r>
    </w:p>
    <w:p w:rsidR="00055319" w:rsidRDefault="00055319" w:rsidP="004D1F30">
      <w:pPr>
        <w:spacing w:line="276" w:lineRule="auto"/>
      </w:pPr>
    </w:p>
    <w:p w:rsidR="00D578FE" w:rsidRDefault="00D578FE" w:rsidP="004D1F30">
      <w:pPr>
        <w:spacing w:line="276" w:lineRule="auto"/>
      </w:pPr>
    </w:p>
    <w:p w:rsidR="00D578FE" w:rsidRDefault="00D578FE" w:rsidP="004D1F30">
      <w:pPr>
        <w:spacing w:line="276" w:lineRule="auto"/>
      </w:pPr>
    </w:p>
    <w:p w:rsidR="00D578FE" w:rsidRDefault="00D578FE" w:rsidP="004D1F30">
      <w:pPr>
        <w:spacing w:line="276" w:lineRule="auto"/>
      </w:pPr>
    </w:p>
    <w:p w:rsidR="00D578FE" w:rsidRDefault="00D578FE" w:rsidP="004D1F30">
      <w:pPr>
        <w:spacing w:line="276" w:lineRule="auto"/>
      </w:pPr>
    </w:p>
    <w:p w:rsidR="00D578FE" w:rsidRDefault="00D578FE" w:rsidP="004D1F30">
      <w:pPr>
        <w:spacing w:line="276" w:lineRule="auto"/>
      </w:pPr>
    </w:p>
    <w:p w:rsidR="00D578FE" w:rsidRDefault="00D578FE" w:rsidP="004D1F30">
      <w:pPr>
        <w:spacing w:line="276" w:lineRule="auto"/>
      </w:pPr>
      <w:r w:rsidRPr="00D578FE">
        <w:rPr>
          <w:noProof/>
        </w:rPr>
        <w:drawing>
          <wp:inline distT="0" distB="0" distL="0" distR="0">
            <wp:extent cx="8769985" cy="3940935"/>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33757" cy="3969592"/>
                    </a:xfrm>
                    <a:prstGeom prst="rect">
                      <a:avLst/>
                    </a:prstGeom>
                    <a:noFill/>
                    <a:ln>
                      <a:noFill/>
                    </a:ln>
                  </pic:spPr>
                </pic:pic>
              </a:graphicData>
            </a:graphic>
          </wp:inline>
        </w:drawing>
      </w:r>
    </w:p>
    <w:p w:rsidR="00D578FE" w:rsidRDefault="00D578FE" w:rsidP="00D578FE">
      <w:pPr>
        <w:spacing w:line="276" w:lineRule="auto"/>
        <w:jc w:val="center"/>
      </w:pPr>
    </w:p>
    <w:p w:rsidR="00D578FE" w:rsidRDefault="00D578FE" w:rsidP="004D1F30">
      <w:pPr>
        <w:spacing w:line="276" w:lineRule="auto"/>
      </w:pPr>
    </w:p>
    <w:p w:rsidR="00D578FE" w:rsidRDefault="00D578FE" w:rsidP="004D1F30">
      <w:pPr>
        <w:spacing w:line="276" w:lineRule="auto"/>
      </w:pPr>
    </w:p>
    <w:p w:rsidR="00D578FE" w:rsidRDefault="00D578FE" w:rsidP="004D1F30">
      <w:pPr>
        <w:spacing w:line="276" w:lineRule="auto"/>
      </w:pPr>
    </w:p>
    <w:p w:rsidR="00D578FE" w:rsidRDefault="00D578FE" w:rsidP="004D1F30">
      <w:pPr>
        <w:spacing w:line="276" w:lineRule="auto"/>
      </w:pPr>
    </w:p>
    <w:p w:rsidR="00D578FE" w:rsidRDefault="00D578FE" w:rsidP="004D1F30">
      <w:pPr>
        <w:spacing w:line="276" w:lineRule="auto"/>
      </w:pPr>
    </w:p>
    <w:p w:rsidR="00D578FE" w:rsidRDefault="00D578FE" w:rsidP="004D1F30">
      <w:pPr>
        <w:spacing w:line="276" w:lineRule="auto"/>
      </w:pPr>
    </w:p>
    <w:p w:rsidR="00D901BB" w:rsidRDefault="00D901BB" w:rsidP="004D1F30">
      <w:pPr>
        <w:spacing w:line="276" w:lineRule="auto"/>
      </w:pPr>
    </w:p>
    <w:p w:rsidR="00D578FE" w:rsidRDefault="00D901BB" w:rsidP="004D1F30">
      <w:pPr>
        <w:spacing w:line="276" w:lineRule="auto"/>
      </w:pPr>
      <w:r w:rsidRPr="00D901BB">
        <w:rPr>
          <w:noProof/>
        </w:rPr>
        <w:drawing>
          <wp:inline distT="0" distB="0" distL="0" distR="0">
            <wp:extent cx="8815070" cy="3045853"/>
            <wp:effectExtent l="0" t="0" r="508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08895" cy="3078272"/>
                    </a:xfrm>
                    <a:prstGeom prst="rect">
                      <a:avLst/>
                    </a:prstGeom>
                    <a:noFill/>
                    <a:ln>
                      <a:noFill/>
                    </a:ln>
                  </pic:spPr>
                </pic:pic>
              </a:graphicData>
            </a:graphic>
          </wp:inline>
        </w:drawing>
      </w:r>
    </w:p>
    <w:p w:rsidR="00D901BB" w:rsidRDefault="00D901BB" w:rsidP="004D1F30">
      <w:pPr>
        <w:spacing w:line="276" w:lineRule="auto"/>
      </w:pPr>
    </w:p>
    <w:p w:rsidR="007735AB" w:rsidRDefault="007735AB" w:rsidP="004D1F30">
      <w:pPr>
        <w:spacing w:line="276" w:lineRule="auto"/>
      </w:pPr>
    </w:p>
    <w:p w:rsidR="00E81B37" w:rsidRDefault="00E81B37" w:rsidP="004D1F30">
      <w:pPr>
        <w:spacing w:line="276" w:lineRule="auto"/>
        <w:sectPr w:rsidR="00E81B37" w:rsidSect="00E81B37">
          <w:pgSz w:w="15840" w:h="12240" w:orient="landscape"/>
          <w:pgMar w:top="1440" w:right="1440" w:bottom="1440" w:left="1440" w:header="720" w:footer="720" w:gutter="0"/>
          <w:cols w:space="720"/>
          <w:docGrid w:linePitch="360"/>
        </w:sectPr>
      </w:pPr>
    </w:p>
    <w:p w:rsidR="00893044" w:rsidRDefault="00893044"/>
    <w:p w:rsidR="00893044" w:rsidRDefault="00893044"/>
    <w:p w:rsidR="00893044" w:rsidRPr="00893044" w:rsidRDefault="00D5582C" w:rsidP="00893044">
      <w:pPr>
        <w:spacing w:line="276" w:lineRule="auto"/>
        <w:rPr>
          <w:b/>
          <w:sz w:val="28"/>
          <w:szCs w:val="28"/>
        </w:rPr>
      </w:pPr>
      <w:r>
        <w:rPr>
          <w:b/>
          <w:sz w:val="28"/>
          <w:szCs w:val="28"/>
        </w:rPr>
        <w:t xml:space="preserve">2.4. </w:t>
      </w:r>
      <w:r w:rsidR="00684A8A">
        <w:rPr>
          <w:b/>
          <w:sz w:val="28"/>
          <w:szCs w:val="28"/>
        </w:rPr>
        <w:t>Analiza o</w:t>
      </w:r>
      <w:r w:rsidR="00893044">
        <w:rPr>
          <w:b/>
          <w:sz w:val="28"/>
          <w:szCs w:val="28"/>
        </w:rPr>
        <w:t>sjetljivost</w:t>
      </w:r>
      <w:r w:rsidR="00684A8A">
        <w:rPr>
          <w:b/>
          <w:sz w:val="28"/>
          <w:szCs w:val="28"/>
        </w:rPr>
        <w:t>i</w:t>
      </w:r>
      <w:r w:rsidR="00893044">
        <w:rPr>
          <w:b/>
          <w:sz w:val="28"/>
          <w:szCs w:val="28"/>
        </w:rPr>
        <w:t xml:space="preserve"> projekta </w:t>
      </w:r>
    </w:p>
    <w:p w:rsidR="00785E73" w:rsidRDefault="002972A1" w:rsidP="002972A1">
      <w:pPr>
        <w:spacing w:line="276" w:lineRule="auto"/>
        <w:jc w:val="both"/>
      </w:pPr>
      <w:r>
        <w:t>Prethodno data analiza zasniva se na</w:t>
      </w:r>
      <w:r w:rsidR="00BD5FFC">
        <w:t>pretpostavkama o</w:t>
      </w:r>
      <w:r>
        <w:t xml:space="preserve"> kretanju pojedinih varijabli</w:t>
      </w:r>
      <w:r w:rsidR="00BD5FFC">
        <w:t xml:space="preserve"> u dva slučaja: kada polazimo od podataka o stvarnom ponašanju firme (podaci za 2018</w:t>
      </w:r>
      <w:r w:rsidR="0073000B">
        <w:t>.</w:t>
      </w:r>
      <w:r w:rsidR="00BD5FFC">
        <w:t xml:space="preserve"> godinu) i kada polazimo od podataka iz planskih dokumenata</w:t>
      </w:r>
      <w:r>
        <w:t xml:space="preserve">. </w:t>
      </w:r>
      <w:r w:rsidR="00BD5FFC">
        <w:t>U oba slučaja je riječ</w:t>
      </w:r>
      <w:r>
        <w:t xml:space="preserve"> o nekom prosječnom ili očekivanom stanju stvari. Kod analize osjetljivosti se polazi od pretpostavke da se pojedine varijable mijenjaju u odnosu na očekivane vrijednosti za određeni stepen nakon čega se ponovo ispituje isplativost projekta. Ovakvo variranje pretpostavki se radi za sve važnije varijable kod kojih može zaista doći do promjena. </w:t>
      </w:r>
      <w:r w:rsidR="000A64C2">
        <w:t>U kon</w:t>
      </w:r>
      <w:r w:rsidR="0073000B">
        <w:t>k</w:t>
      </w:r>
      <w:r w:rsidR="000A64C2">
        <w:t>retnom slučaju posebno su recimo važne promjene vezane</w:t>
      </w:r>
      <w:r w:rsidR="003A239B">
        <w:t xml:space="preserve"> za</w:t>
      </w:r>
      <w:r w:rsidR="000A64C2">
        <w:t xml:space="preserve"> nivo proizvodnjedo kojih dolazi usled promjena hidrološke situacije</w:t>
      </w:r>
      <w:r w:rsidR="003A239B">
        <w:t xml:space="preserve"> u pojedinim godinama</w:t>
      </w:r>
      <w:r w:rsidR="000A64C2">
        <w:t>ili usled drugih razloga koji se mogu javiti</w:t>
      </w:r>
      <w:r w:rsidR="003A239B">
        <w:t xml:space="preserve">. </w:t>
      </w:r>
      <w:r>
        <w:t xml:space="preserve">Ako u svim tim varijantama projekat i dalje pokazuje isplativost onda kažemo dasu nalazi do kojih smo došli </w:t>
      </w:r>
      <w:r w:rsidR="00853D5F">
        <w:t xml:space="preserve">pouzdani </w:t>
      </w:r>
      <w:r w:rsidR="003A239B">
        <w:t>i</w:t>
      </w:r>
      <w:r w:rsidR="00853D5F">
        <w:t xml:space="preserve"> robustni. Uz to, ova nam analiza otkriva od kojih varijabli uspješnost poslovanja najviše zavisi</w:t>
      </w:r>
      <w:r w:rsidR="00BD5FFC">
        <w:t>,</w:t>
      </w:r>
      <w:r w:rsidR="00853D5F">
        <w:t xml:space="preserve"> tj</w:t>
      </w:r>
      <w:r w:rsidR="0073000B">
        <w:t>.</w:t>
      </w:r>
      <w:r w:rsidR="00853D5F">
        <w:t>u odnosu na koju varijablu management mora biti najviše alertan i spreman d</w:t>
      </w:r>
      <w:r w:rsidR="003A239B">
        <w:t>a reaguje kada oseti da je njihovo</w:t>
      </w:r>
      <w:r w:rsidR="00853D5F">
        <w:t xml:space="preserve"> kretanje pošlo u </w:t>
      </w:r>
      <w:r w:rsidR="003A239B">
        <w:t>n</w:t>
      </w:r>
      <w:r w:rsidR="00853D5F">
        <w:t xml:space="preserve">eželjenom pravcu. </w:t>
      </w:r>
    </w:p>
    <w:p w:rsidR="00893044" w:rsidRDefault="00853D5F" w:rsidP="00853D5F">
      <w:pPr>
        <w:spacing w:line="276" w:lineRule="auto"/>
        <w:jc w:val="both"/>
      </w:pPr>
      <w:r>
        <w:t>Pored napred navedenih razloga ova analiza se primje</w:t>
      </w:r>
      <w:r w:rsidR="000A64C2">
        <w:t xml:space="preserve">njuje i u onim situacijama </w:t>
      </w:r>
      <w:r>
        <w:t xml:space="preserve">kada ne postoji izvesnost vezana </w:t>
      </w:r>
      <w:r w:rsidR="000A64C2">
        <w:t xml:space="preserve">za </w:t>
      </w:r>
      <w:r w:rsidR="000C3BEB">
        <w:t>podatke od kojih polazimo i za projekcije</w:t>
      </w:r>
      <w:r>
        <w:t xml:space="preserve"> kretanja pojedinih varijabli</w:t>
      </w:r>
      <w:r w:rsidR="000C3BEB">
        <w:t xml:space="preserve"> zasnovane na njima</w:t>
      </w:r>
      <w:r>
        <w:t xml:space="preserve">. Imajući u vidu problem </w:t>
      </w:r>
      <w:r w:rsidR="009B529B">
        <w:t>koje smo mi imali oko prikupljanja podataka</w:t>
      </w:r>
      <w:r>
        <w:t xml:space="preserve"> ova analiza postaje posebno važna u našem slučaju. </w:t>
      </w:r>
      <w:r w:rsidR="009B529B">
        <w:t xml:space="preserve">Analiza osjetljivosti, u tom smislu, treba da nam pokaže koliko su napred izneti zaključci pouzdani. </w:t>
      </w:r>
      <w:r>
        <w:t>Ovdje je najbitnija</w:t>
      </w:r>
      <w:r w:rsidR="0073000B">
        <w:t>,</w:t>
      </w:r>
      <w:r>
        <w:t xml:space="preserve"> a i najproblematičnija </w:t>
      </w:r>
      <w:r w:rsidR="009B529B">
        <w:t xml:space="preserve">varijabla ona koja se odnosi na hidrološke uslove i na kapacitet proizvodnje na koji objektivno možemo računati. </w:t>
      </w:r>
      <w:r w:rsidR="00711701">
        <w:t>U ovoj konkretnoj analizi ćemo varirati samo scenarij u kojem se koriste podaci iz 2018</w:t>
      </w:r>
      <w:r w:rsidR="0073000B">
        <w:t>.</w:t>
      </w:r>
      <w:r w:rsidR="00711701">
        <w:t>kao benchmark. M</w:t>
      </w:r>
      <w:r w:rsidR="009B529B">
        <w:t>oglo bi se</w:t>
      </w:r>
      <w:r w:rsidR="00711701">
        <w:t xml:space="preserve">, </w:t>
      </w:r>
      <w:r w:rsidR="0072781F">
        <w:t xml:space="preserve">na primjer, </w:t>
      </w:r>
      <w:r w:rsidR="00711701">
        <w:t>pored ostalog,</w:t>
      </w:r>
      <w:r w:rsidR="009B529B">
        <w:t xml:space="preserve"> pribaciti da je ta godina bi</w:t>
      </w:r>
      <w:r w:rsidR="00711701">
        <w:t>la hidrološki izuzetni pogodna i</w:t>
      </w:r>
      <w:r w:rsidR="009B529B">
        <w:t xml:space="preserve"> zato nerealna. U narednoj analizi, zato, dajemo </w:t>
      </w:r>
      <w:r w:rsidR="00A95945">
        <w:t>tri dodatne analize isplativosti ko</w:t>
      </w:r>
      <w:r w:rsidR="00711701">
        <w:t>j</w:t>
      </w:r>
      <w:r w:rsidR="00A95945">
        <w:t xml:space="preserve">e polaze od pretpostavke da je, zbog hidroloških razloga, obim proizvodnje manji od onog u </w:t>
      </w:r>
      <w:r w:rsidR="00711701">
        <w:t>ovako definisanom benchmark scenariju</w:t>
      </w:r>
      <w:r w:rsidR="00A95945">
        <w:t xml:space="preserve"> za 10, 20 i 25 procentnih poena. </w:t>
      </w:r>
      <w:r w:rsidR="00711701">
        <w:t>Iste vrste varijacija smo mogli napraviti i za scenarij koji se bazira na plan</w:t>
      </w:r>
      <w:r w:rsidR="0072781F">
        <w:t>skim podacima</w:t>
      </w:r>
      <w:r w:rsidR="00711701">
        <w:t xml:space="preserve">. </w:t>
      </w:r>
      <w:r w:rsidR="0072781F">
        <w:t>Odustali</w:t>
      </w:r>
      <w:r w:rsidR="00253C22">
        <w:t xml:space="preserve"> smo od toga jer se varijacije b</w:t>
      </w:r>
      <w:r w:rsidR="0072781F">
        <w:t xml:space="preserve">enchmark </w:t>
      </w:r>
      <w:r w:rsidR="00253C22">
        <w:t>“</w:t>
      </w:r>
      <w:r w:rsidR="0072781F">
        <w:t>scenarija 2018</w:t>
      </w:r>
      <w:r w:rsidR="0073000B">
        <w:t>.</w:t>
      </w:r>
      <w:r w:rsidR="00253C22">
        <w:t>”</w:t>
      </w:r>
      <w:r w:rsidR="0072781F">
        <w:t xml:space="preserve"> nalaze u rasponu koji se upravo spušta na nivo koji je dat u planskom scenariju. </w:t>
      </w:r>
    </w:p>
    <w:p w:rsidR="00DA6912" w:rsidRDefault="0072781F" w:rsidP="0072781F">
      <w:pPr>
        <w:spacing w:line="276" w:lineRule="auto"/>
        <w:jc w:val="both"/>
      </w:pPr>
      <w:r w:rsidRPr="0072781F">
        <w:rPr>
          <w:b/>
        </w:rPr>
        <w:t>1.</w:t>
      </w:r>
      <w:r w:rsidR="00A95945">
        <w:t>Analiza privatne isplativosti</w:t>
      </w:r>
      <w:r w:rsidR="00DA6912">
        <w:t xml:space="preserve"> za </w:t>
      </w:r>
      <w:r w:rsidR="00A95945" w:rsidRPr="0072781F">
        <w:rPr>
          <w:b/>
        </w:rPr>
        <w:t xml:space="preserve">slučaj </w:t>
      </w:r>
      <w:r w:rsidR="00DA6912" w:rsidRPr="0072781F">
        <w:rPr>
          <w:b/>
        </w:rPr>
        <w:t>pad</w:t>
      </w:r>
      <w:r w:rsidR="00A95945" w:rsidRPr="0072781F">
        <w:rPr>
          <w:b/>
        </w:rPr>
        <w:t>a proizvodnje</w:t>
      </w:r>
      <w:r w:rsidR="00DA6912" w:rsidRPr="0072781F">
        <w:rPr>
          <w:b/>
        </w:rPr>
        <w:t>od 10 procentnih poena</w:t>
      </w:r>
      <w:r w:rsidR="0030361E">
        <w:t xml:space="preserve">je </w:t>
      </w:r>
      <w:r w:rsidR="00A95945">
        <w:t xml:space="preserve">data u narednoj tabeli. Cash-Flow projekcija na kojoj su ove ocjene bazirane slijedi u dodatku ovog odeljka. </w:t>
      </w:r>
    </w:p>
    <w:p w:rsidR="0072781F" w:rsidRDefault="0072781F" w:rsidP="0072781F">
      <w:pPr>
        <w:spacing w:line="276" w:lineRule="auto"/>
        <w:jc w:val="both"/>
      </w:pPr>
      <w:r>
        <w:t>Kao što vidimo i pored drastičnog pogoršanja stanja situacija je i dalje vrlo povoljna kad je riječ o privatnoj isplativosti projekta. Rok povrata je, u oba slučaja, samo nešto malo veći nego ranije. NPV je i dalje pozitivna i vrlo visoka za svaki nivo primijenjene diskontne stope. Gledano iz perspe</w:t>
      </w:r>
      <w:r w:rsidR="0073000B">
        <w:t>k</w:t>
      </w:r>
      <w:r>
        <w:t>tive oba investitora, tj</w:t>
      </w:r>
      <w:r w:rsidR="0073000B">
        <w:t>.</w:t>
      </w:r>
      <w:r>
        <w:t xml:space="preserve">polazeći od ekonomskog toka, vidimo da se NPV kreće od oko 800 hiljada do skoro 2,9 miliona eura. Njegova relativna vrijednost se kreće od oko 9,3% (u slučaju diskontne stope od 9%) do skoro 34% (pri diskontnoj stopi od 5%). </w:t>
      </w:r>
    </w:p>
    <w:p w:rsidR="0072781F" w:rsidRDefault="0072781F" w:rsidP="0072781F">
      <w:r>
        <w:t>IRR je gledano iz perspective ekonomskog toka takođe vrlo povoljna. Kao što vidimo iznosi 11% i veća je od svih ovdje primijenjenih diskontnih stopa: Od diskontne stope koja se primijenjje za energetski se</w:t>
      </w:r>
      <w:r w:rsidR="0073000B">
        <w:t>k</w:t>
      </w:r>
      <w:r>
        <w:t xml:space="preserve">tor </w:t>
      </w:r>
      <w:r>
        <w:lastRenderedPageBreak/>
        <w:t xml:space="preserve">(9%) IRR je veća za oko 22%; Od diskontne stope koja se kod nas koristi za elektroprivredu (8%) dobijena IRR je veća za oko 37%; Konačno, od diskontne stope primjenljive za ovako izvestan i nerizičan posao (5%) naša IRR je veća za čitavih 120%. </w:t>
      </w:r>
    </w:p>
    <w:p w:rsidR="00A95945" w:rsidRDefault="00E454B4" w:rsidP="0072781F">
      <w:pPr>
        <w:spacing w:line="276" w:lineRule="auto"/>
        <w:jc w:val="center"/>
      </w:pPr>
      <w:r w:rsidRPr="00E454B4">
        <w:rPr>
          <w:noProof/>
        </w:rPr>
        <w:drawing>
          <wp:inline distT="0" distB="0" distL="0" distR="0">
            <wp:extent cx="5572491" cy="2449773"/>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7249" cy="2473846"/>
                    </a:xfrm>
                    <a:prstGeom prst="rect">
                      <a:avLst/>
                    </a:prstGeom>
                    <a:noFill/>
                    <a:ln>
                      <a:noFill/>
                    </a:ln>
                  </pic:spPr>
                </pic:pic>
              </a:graphicData>
            </a:graphic>
          </wp:inline>
        </w:drawing>
      </w:r>
    </w:p>
    <w:p w:rsidR="0065093D" w:rsidRDefault="00574A0D" w:rsidP="00B20182">
      <w:pPr>
        <w:spacing w:line="276" w:lineRule="auto"/>
        <w:jc w:val="both"/>
      </w:pPr>
      <w:r>
        <w:t xml:space="preserve">Privatna isplativost je još veća kada se posmatra iz </w:t>
      </w:r>
      <w:r w:rsidR="0072781F">
        <w:t>p</w:t>
      </w:r>
      <w:r>
        <w:t xml:space="preserve">erspektive direktnog invesitora. Vidimo da je ovdje NPV još veća nego u prethodnom slučaju. Ona se ovdje kreće od 2,2 miliona (za diskontnu stopu od 9%) do 2,9 miliona eura (za diskontnu stopu od 5%). </w:t>
      </w:r>
      <w:r w:rsidR="00B20182">
        <w:t>Vidimo, takođe, da je</w:t>
      </w:r>
      <w:r w:rsidR="00D70CC0">
        <w:t>,</w:t>
      </w:r>
      <w:r w:rsidR="00B20182">
        <w:t xml:space="preserve"> gledano iz perspective </w:t>
      </w:r>
      <w:r w:rsidR="0072781F">
        <w:t xml:space="preserve">equity </w:t>
      </w:r>
      <w:r w:rsidR="00B20182">
        <w:t>investitora</w:t>
      </w:r>
      <w:r w:rsidR="00D70CC0">
        <w:t>,relativna vrijednost NPV na nivou od</w:t>
      </w:r>
      <w:r w:rsidR="0065093D">
        <w:t xml:space="preserve"> oko 24% </w:t>
      </w:r>
      <w:r w:rsidR="00D70CC0">
        <w:t xml:space="preserve">pri stopi diskonta od 9%, </w:t>
      </w:r>
      <w:r w:rsidR="0072781F">
        <w:t>oko 26</w:t>
      </w:r>
      <w:r w:rsidR="0065093D">
        <w:t>% pri diskontnoj stopi od 8%</w:t>
      </w:r>
      <w:r w:rsidR="00D70CC0">
        <w:t xml:space="preserve">, te </w:t>
      </w:r>
      <w:r w:rsidR="0065093D">
        <w:t xml:space="preserve">oko 34,2% pri diskontnoj stopi od 5%. </w:t>
      </w:r>
    </w:p>
    <w:p w:rsidR="00277E15" w:rsidRDefault="00B105F5" w:rsidP="00B20182">
      <w:pPr>
        <w:spacing w:line="276" w:lineRule="auto"/>
        <w:jc w:val="both"/>
      </w:pPr>
      <w:r>
        <w:t>Konačno, vidimo</w:t>
      </w:r>
      <w:r w:rsidR="0065093D">
        <w:t xml:space="preserve"> da je gledano iz perspective </w:t>
      </w:r>
      <w:r>
        <w:t>investitora</w:t>
      </w:r>
      <w:r w:rsidR="00277E15">
        <w:t>,</w:t>
      </w:r>
      <w:r>
        <w:t xml:space="preserve"> IRR </w:t>
      </w:r>
      <w:r w:rsidR="00277E15">
        <w:t>iovdje</w:t>
      </w:r>
      <w:r>
        <w:t xml:space="preserve"> na spektakularno visokom nivou od nevjerovatnih </w:t>
      </w:r>
      <w:r w:rsidR="00D0714D">
        <w:t>52,89</w:t>
      </w:r>
      <w:r>
        <w:t>%</w:t>
      </w:r>
      <w:r w:rsidR="00277E15">
        <w:t xml:space="preserve">. Ona je, kao što vdimo, </w:t>
      </w:r>
      <w:r w:rsidR="0065093D">
        <w:t xml:space="preserve">za oko 5,9 puta </w:t>
      </w:r>
      <w:r w:rsidR="00277E15">
        <w:t>veća od stope</w:t>
      </w:r>
      <w:r w:rsidR="0065093D">
        <w:t xml:space="preserve"> diskonta od 9%, za oko 6,6 puta </w:t>
      </w:r>
      <w:r w:rsidR="00277E15">
        <w:t>diskontne stope od 8%</w:t>
      </w:r>
      <w:r w:rsidR="0065093D">
        <w:t xml:space="preserve">, te za oko </w:t>
      </w:r>
      <w:r w:rsidR="00277E15">
        <w:t>10,6 puta od diskontne stope</w:t>
      </w:r>
      <w:r w:rsidR="0065093D">
        <w:t xml:space="preserve"> od 5%.</w:t>
      </w:r>
    </w:p>
    <w:p w:rsidR="00DA6912" w:rsidRDefault="00277E15" w:rsidP="00B20182">
      <w:pPr>
        <w:spacing w:line="276" w:lineRule="auto"/>
        <w:jc w:val="both"/>
      </w:pPr>
      <w:r>
        <w:t>Očito, projekat je kada je riječ o osnovnom nalazu, vrlo neosetljiv na radikalnu promjenu hidroloških uslova i pad obima proizvodnje od čitavih 10 procentnih poena. Napominjemo, ovdje se pretpostavlja da će se rečeni pad proizvodnje od 10 pp desiti u svih 25 godina, što je zaista dras</w:t>
      </w:r>
      <w:r w:rsidR="000F3C58">
        <w:t>tična promjena</w:t>
      </w:r>
      <w:r>
        <w:t xml:space="preserve">. </w:t>
      </w:r>
    </w:p>
    <w:p w:rsidR="00893044" w:rsidRDefault="00DA6912" w:rsidP="000F3C58">
      <w:pPr>
        <w:spacing w:line="276" w:lineRule="auto"/>
        <w:jc w:val="both"/>
      </w:pPr>
      <w:r w:rsidRPr="00DA6912">
        <w:rPr>
          <w:b/>
        </w:rPr>
        <w:t>2.</w:t>
      </w:r>
      <w:r w:rsidR="000F3C58">
        <w:t xml:space="preserve">Analiza rezultata još drastičnijeg </w:t>
      </w:r>
      <w:r w:rsidR="000F3C58" w:rsidRPr="00327C48">
        <w:rPr>
          <w:b/>
        </w:rPr>
        <w:t xml:space="preserve">pada </w:t>
      </w:r>
      <w:r w:rsidRPr="00327C48">
        <w:rPr>
          <w:b/>
        </w:rPr>
        <w:t>od 20 procentnih poena</w:t>
      </w:r>
      <w:r w:rsidR="000F3C58">
        <w:t xml:space="preserve">je data u narednoj tabeli. Cash-Flow projekcija na kojoj se analiza zasniva je data u dodatku ovog odeljka. </w:t>
      </w:r>
    </w:p>
    <w:p w:rsidR="00AF4793" w:rsidRDefault="00AF4793" w:rsidP="00AF4793">
      <w:pPr>
        <w:spacing w:line="276" w:lineRule="auto"/>
        <w:jc w:val="both"/>
      </w:pPr>
      <w:r>
        <w:t xml:space="preserve">Gledano iz perspektive investitora vidimo da je i ovdje NPV pozitivna i vrlo visoka. Kreće se od oko 900 hiljada do 1,2 miliona eura, dok se odgovarajuće relativne vrijednost NPV kreću od 10,66% do 14,04%, zavisno od diskontne stope. </w:t>
      </w:r>
      <w:r w:rsidRPr="00465D86">
        <w:t xml:space="preserve">IRR je i </w:t>
      </w:r>
      <w:r>
        <w:t xml:space="preserve">u ovom slučaju na skoro spektakularnom nivou. Ona, kao što vidimo, za direktnog investitora iznosi čitavih 32,45%. Očito veća je od primijenjenih diskontnih stopa za oko 3,6 do 4,5. </w:t>
      </w:r>
    </w:p>
    <w:p w:rsidR="0072781F" w:rsidRDefault="00AF4793" w:rsidP="00AF4793">
      <w:pPr>
        <w:spacing w:line="276" w:lineRule="auto"/>
        <w:jc w:val="both"/>
      </w:pPr>
      <w:r>
        <w:t>Situacija je povoljna, mada u znatno manjoj mjeri, i kada se posmatra perspektiva kompletnog privatnog sektora involviranog u projekat</w:t>
      </w:r>
      <w:r w:rsidR="0073000B">
        <w:t>,</w:t>
      </w:r>
      <w:r>
        <w:t xml:space="preserve"> a to su u ovom slučaju investitor i kreditor. Iako je vrijednost NPV za diskontnu stopu od 9% negativna, vidimo da je ona blago pozitivna za diskontnu stopu od 8% koja je relevantna za elektroprivredu</w:t>
      </w:r>
      <w:r w:rsidR="0073000B">
        <w:t>,</w:t>
      </w:r>
      <w:r>
        <w:t xml:space="preserve"> a da je vrlo visoka za diskontnu stopu od 5% koja najbolje opisuje ovako </w:t>
      </w:r>
      <w:r>
        <w:lastRenderedPageBreak/>
        <w:t xml:space="preserve">nerizičan biznis. IRR je kao što vidimo 8%, jednaka je diskontnoj stopi za elektroprivredu a znatno je veća od stope od 5% koja je, po nama, ponavljamo, ovdje jedina relevantna. </w:t>
      </w:r>
    </w:p>
    <w:p w:rsidR="00DA6912" w:rsidRDefault="002A531B" w:rsidP="00A95945">
      <w:pPr>
        <w:spacing w:line="276" w:lineRule="auto"/>
        <w:jc w:val="center"/>
      </w:pPr>
      <w:r w:rsidRPr="002A531B">
        <w:rPr>
          <w:noProof/>
        </w:rPr>
        <w:drawing>
          <wp:inline distT="0" distB="0" distL="0" distR="0">
            <wp:extent cx="5629701" cy="2507668"/>
            <wp:effectExtent l="0" t="0" r="952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3482" cy="2522715"/>
                    </a:xfrm>
                    <a:prstGeom prst="rect">
                      <a:avLst/>
                    </a:prstGeom>
                    <a:noFill/>
                    <a:ln>
                      <a:noFill/>
                    </a:ln>
                  </pic:spPr>
                </pic:pic>
              </a:graphicData>
            </a:graphic>
          </wp:inline>
        </w:drawing>
      </w:r>
    </w:p>
    <w:p w:rsidR="00DA6912" w:rsidRDefault="00DA6912" w:rsidP="00FC3148">
      <w:pPr>
        <w:spacing w:line="276" w:lineRule="auto"/>
        <w:jc w:val="both"/>
      </w:pPr>
      <w:r w:rsidRPr="00DA6912">
        <w:rPr>
          <w:b/>
        </w:rPr>
        <w:t>3.</w:t>
      </w:r>
      <w:r w:rsidR="00FC3148">
        <w:t xml:space="preserve"> Pogledajmo konačno šta se dešava u slučaju da obim proizvodnje u svih 25 godina bude </w:t>
      </w:r>
      <w:r w:rsidR="00FC3148" w:rsidRPr="002D3389">
        <w:rPr>
          <w:b/>
        </w:rPr>
        <w:t>manji za 25 procentnih poena</w:t>
      </w:r>
      <w:r w:rsidR="00FC3148">
        <w:t>. Ca</w:t>
      </w:r>
      <w:r w:rsidR="002D3389">
        <w:t xml:space="preserve">sh-Flow projekcija na kojoj je zasnovana analiza ove situacije data je u dodatku na kraju ovog odeljka. Analiza je data u tabeli koja sledi. </w:t>
      </w:r>
    </w:p>
    <w:p w:rsidR="00893044" w:rsidRDefault="00723D05" w:rsidP="00A95945">
      <w:pPr>
        <w:spacing w:line="276" w:lineRule="auto"/>
        <w:jc w:val="center"/>
      </w:pPr>
      <w:r w:rsidRPr="00723D05">
        <w:rPr>
          <w:noProof/>
        </w:rPr>
        <w:drawing>
          <wp:inline distT="0" distB="0" distL="0" distR="0">
            <wp:extent cx="5581934" cy="24006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8395" cy="2420667"/>
                    </a:xfrm>
                    <a:prstGeom prst="rect">
                      <a:avLst/>
                    </a:prstGeom>
                    <a:noFill/>
                    <a:ln>
                      <a:noFill/>
                    </a:ln>
                  </pic:spPr>
                </pic:pic>
              </a:graphicData>
            </a:graphic>
          </wp:inline>
        </w:drawing>
      </w:r>
    </w:p>
    <w:p w:rsidR="006B6DAF" w:rsidRDefault="002D3389" w:rsidP="00472855">
      <w:pPr>
        <w:spacing w:line="276" w:lineRule="auto"/>
        <w:jc w:val="both"/>
      </w:pPr>
      <w:r>
        <w:t>Gledano iz perspe</w:t>
      </w:r>
      <w:r w:rsidR="0073000B">
        <w:t>k</w:t>
      </w:r>
      <w:r>
        <w:t xml:space="preserve">tive direktnog investitora </w:t>
      </w:r>
      <w:r w:rsidR="00472855">
        <w:t xml:space="preserve">vidimo da je projekat izuzetno rentabilan i isplativ. NPV je pozitivna za sve diskontne stope koje smo primijenili. Takođe, IRR je izrazito visoka, 20,41%, i znatno je veća od svih diskontnih stopa primijenjenih ovdje kao mogućih cijena kapitala. </w:t>
      </w:r>
    </w:p>
    <w:p w:rsidR="00E621DA" w:rsidRDefault="00472855" w:rsidP="00472855">
      <w:pPr>
        <w:spacing w:line="276" w:lineRule="auto"/>
        <w:jc w:val="both"/>
      </w:pPr>
      <w:r>
        <w:t>To</w:t>
      </w:r>
      <w:r w:rsidR="003A7F32">
        <w:t>,</w:t>
      </w:r>
      <w:r>
        <w:t xml:space="preserve"> nažalost</w:t>
      </w:r>
      <w:r w:rsidR="003A7F32">
        <w:t>,</w:t>
      </w:r>
      <w:r>
        <w:t xml:space="preserve"> nije slučaj kada analiziramo ekonomski </w:t>
      </w:r>
      <w:r w:rsidR="00E621DA">
        <w:t>tok. Vidimo da je za relevantnu diskontnu stopu od 8% ili 9% NPV ima negativnu vrijednost. Takođe, vidimo da je IRR manja od obe pomenute stope, što znači da bi polazeći od ekonomski relevantnih činjenica ovaj biznis trebao biti neisplativ gledano iz perspe</w:t>
      </w:r>
      <w:r w:rsidR="0073000B">
        <w:t>k</w:t>
      </w:r>
      <w:r w:rsidR="00E621DA">
        <w:t xml:space="preserve">tive privatnih subjekata. </w:t>
      </w:r>
    </w:p>
    <w:p w:rsidR="00E621DA" w:rsidRDefault="00E621DA" w:rsidP="00472855">
      <w:pPr>
        <w:spacing w:line="276" w:lineRule="auto"/>
        <w:jc w:val="both"/>
      </w:pPr>
      <w:r>
        <w:lastRenderedPageBreak/>
        <w:t xml:space="preserve">Imajući, međutim, u vidu da je, po nama, zbog silnih privilegija, ovdje relevantna diskontna stopa od 5% dolazimo do zaključka da NPV ima pozitivnu vrijednost kao i da je dobijena IRR od 6% veća od te diskontne stope, što vodi zaključku da je </w:t>
      </w:r>
      <w:r w:rsidR="008F66BB">
        <w:t>i iz ukupne perspe</w:t>
      </w:r>
      <w:r w:rsidR="0073000B">
        <w:t>k</w:t>
      </w:r>
      <w:r w:rsidR="008F66BB">
        <w:t xml:space="preserve">tive svih investitora ovaj posao isplativ. </w:t>
      </w:r>
    </w:p>
    <w:p w:rsidR="00DA6912" w:rsidRDefault="008F66BB" w:rsidP="00472855">
      <w:pPr>
        <w:spacing w:line="276" w:lineRule="auto"/>
        <w:jc w:val="both"/>
      </w:pPr>
      <w:r>
        <w:t>Primijetimo, konačno, da su projekcije date za ovu varijantu kao i zaključci do kojih smo došli gotovo identični onima koje imamo kod benchmark analize zasnovane na planskim dokumentima. Prema tome kada bi se poštovali prvobitni planovi projekat bi bio isplativ iz perspe</w:t>
      </w:r>
      <w:r w:rsidR="0073000B">
        <w:t>k</w:t>
      </w:r>
      <w:r>
        <w:t>tive direktnog investitora i jedva isplativ iz perspe</w:t>
      </w:r>
      <w:r w:rsidR="0073000B">
        <w:t>k</w:t>
      </w:r>
      <w:r>
        <w:t>tive ekonomskog toka kao mjere dobitka svih investitora</w:t>
      </w:r>
      <w:r w:rsidR="0073000B">
        <w:t>.</w:t>
      </w:r>
    </w:p>
    <w:p w:rsidR="003A7F32" w:rsidRPr="003A7F32" w:rsidRDefault="003A7F32" w:rsidP="003A7F32">
      <w:pPr>
        <w:spacing w:line="276" w:lineRule="auto"/>
        <w:jc w:val="center"/>
        <w:rPr>
          <w:b/>
        </w:rPr>
      </w:pPr>
      <w:r w:rsidRPr="003A7F32">
        <w:rPr>
          <w:b/>
        </w:rPr>
        <w:t xml:space="preserve">* </w:t>
      </w:r>
      <w:r w:rsidRPr="003A7F32">
        <w:rPr>
          <w:b/>
        </w:rPr>
        <w:tab/>
        <w:t xml:space="preserve">* </w:t>
      </w:r>
      <w:r w:rsidRPr="003A7F32">
        <w:rPr>
          <w:b/>
        </w:rPr>
        <w:tab/>
        <w:t>*</w:t>
      </w:r>
    </w:p>
    <w:p w:rsidR="008F66BB" w:rsidRDefault="003A7F32" w:rsidP="003A7F32">
      <w:pPr>
        <w:spacing w:line="276" w:lineRule="auto"/>
        <w:jc w:val="both"/>
      </w:pPr>
      <w:r>
        <w:t>Da zaključimo: Bez obzira na drastične varijacije u nivou aktivnosti od kojih smo pošli u analizi osjetljivosti p</w:t>
      </w:r>
      <w:r w:rsidR="008F66BB">
        <w:t xml:space="preserve">okazalo se da </w:t>
      </w:r>
      <w:r w:rsidR="00CD62B9">
        <w:t xml:space="preserve">je </w:t>
      </w:r>
      <w:r w:rsidR="008F66BB">
        <w:t xml:space="preserve">projekat </w:t>
      </w:r>
      <w:r>
        <w:t>efikasan i isplatljiv sa stanovi</w:t>
      </w:r>
      <w:r w:rsidR="0073000B">
        <w:t>š</w:t>
      </w:r>
      <w:r>
        <w:t xml:space="preserve">ta privatnog investitora, kao i sa stanovišta privatnog sektora u cjelini. </w:t>
      </w:r>
      <w:r w:rsidR="005A3F31">
        <w:t>Ovo je, naravno, u najvećoj mjeri rezultat izdašnih subvencija</w:t>
      </w:r>
      <w:r w:rsidR="00770FD0">
        <w:t xml:space="preserve"> i ostalih privilegija</w:t>
      </w:r>
      <w:r w:rsidR="005A3F31">
        <w:t xml:space="preserve"> koje </w:t>
      </w:r>
      <w:r w:rsidR="00770FD0">
        <w:t xml:space="preserve">mHE imaju u Crnoj Gori. </w:t>
      </w:r>
    </w:p>
    <w:p w:rsidR="006B6DAF" w:rsidRDefault="008F66BB" w:rsidP="003A7F32">
      <w:pPr>
        <w:spacing w:line="276" w:lineRule="auto"/>
        <w:jc w:val="both"/>
      </w:pPr>
      <w:r>
        <w:t xml:space="preserve">Ono što, međutim, već </w:t>
      </w:r>
      <w:r w:rsidR="006F6B7E">
        <w:t>sada,</w:t>
      </w:r>
      <w:r>
        <w:t xml:space="preserve"> i prije analize ostalih društvenih dimenzija projekta</w:t>
      </w:r>
      <w:r w:rsidR="006F6B7E">
        <w:t>, zabrinjava je rezultat do kojeg smo došli</w:t>
      </w:r>
      <w:r w:rsidR="00A552CB">
        <w:t>,</w:t>
      </w:r>
      <w:r w:rsidR="006F6B7E">
        <w:t xml:space="preserve"> a prema kojemje poslovanje na nivou aktivnosti koja, prema planovima, obećava da ne ugrožava ni eko sistem ni interese ostalih stakeholdera na granici ekonoske isplativosti. To je vjerovatno i glavni razlog zbog kojeg je već u prvoj godini poslovana aktivnost bila bar za 25% veća od planirane. </w:t>
      </w:r>
      <w:r w:rsidR="00076FD5">
        <w:t>Ovaj nivo aktivnosti je, međutim, u izrazitom konfliktu sa interesima ostalih stakehol</w:t>
      </w:r>
      <w:r w:rsidR="00770FD0">
        <w:t>der</w:t>
      </w:r>
      <w:r w:rsidR="00B93808">
        <w:t>a</w:t>
      </w:r>
      <w:r w:rsidR="00770FD0">
        <w:t xml:space="preserve">, </w:t>
      </w:r>
      <w:r w:rsidR="00B93808">
        <w:t xml:space="preserve">a </w:t>
      </w:r>
      <w:r w:rsidR="00770FD0">
        <w:t>posebno sa interesima eko s</w:t>
      </w:r>
      <w:r w:rsidR="00076FD5">
        <w:t xml:space="preserve">istema. </w:t>
      </w:r>
      <w:r w:rsidR="006F6B7E">
        <w:t xml:space="preserve">U narednim razmatranjima će ovo pitanje biti detaljnije razmotreno. </w:t>
      </w:r>
    </w:p>
    <w:p w:rsidR="008F66BB" w:rsidRDefault="008F66BB" w:rsidP="003A7F32">
      <w:pPr>
        <w:spacing w:line="276" w:lineRule="auto"/>
        <w:jc w:val="both"/>
      </w:pPr>
    </w:p>
    <w:p w:rsidR="00DA6912" w:rsidRDefault="00DA6912" w:rsidP="00893044">
      <w:pPr>
        <w:spacing w:line="276" w:lineRule="auto"/>
      </w:pPr>
    </w:p>
    <w:p w:rsidR="00DA6912" w:rsidRDefault="00DA6912"/>
    <w:p w:rsidR="006F6B7E" w:rsidRDefault="006F6B7E">
      <w:pPr>
        <w:sectPr w:rsidR="006F6B7E">
          <w:pgSz w:w="12240" w:h="15840"/>
          <w:pgMar w:top="1440" w:right="1440" w:bottom="1440" w:left="1440" w:header="720" w:footer="720" w:gutter="0"/>
          <w:cols w:space="720"/>
          <w:docGrid w:linePitch="360"/>
        </w:sectPr>
      </w:pPr>
    </w:p>
    <w:p w:rsidR="00893044" w:rsidRDefault="00893044"/>
    <w:p w:rsidR="00DA6912" w:rsidRDefault="00DA6912"/>
    <w:p w:rsidR="00DA6912" w:rsidRDefault="00DA6912"/>
    <w:p w:rsidR="00DA6912" w:rsidRDefault="00DA6912"/>
    <w:p w:rsidR="00DA6912" w:rsidRDefault="00DA6912">
      <w:r w:rsidRPr="00DA6912">
        <w:rPr>
          <w:noProof/>
        </w:rPr>
        <w:drawing>
          <wp:inline distT="0" distB="0" distL="0" distR="0">
            <wp:extent cx="8564451" cy="3406140"/>
            <wp:effectExtent l="0" t="0" r="825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49163" cy="3439831"/>
                    </a:xfrm>
                    <a:prstGeom prst="rect">
                      <a:avLst/>
                    </a:prstGeom>
                    <a:noFill/>
                    <a:ln>
                      <a:noFill/>
                    </a:ln>
                  </pic:spPr>
                </pic:pic>
              </a:graphicData>
            </a:graphic>
          </wp:inline>
        </w:drawing>
      </w:r>
    </w:p>
    <w:p w:rsidR="00DA6912" w:rsidRDefault="00DA6912"/>
    <w:p w:rsidR="00DA6912" w:rsidRDefault="00DA6912"/>
    <w:p w:rsidR="00DA6912" w:rsidRDefault="00DA6912"/>
    <w:p w:rsidR="00DA6912" w:rsidRDefault="00DA6912"/>
    <w:p w:rsidR="00893044" w:rsidRDefault="00893044"/>
    <w:p w:rsidR="00893044" w:rsidRDefault="00893044"/>
    <w:p w:rsidR="00E81B37" w:rsidRDefault="00E81B37" w:rsidP="004D1F30">
      <w:pPr>
        <w:spacing w:line="276" w:lineRule="auto"/>
      </w:pPr>
    </w:p>
    <w:p w:rsidR="00DA6912" w:rsidRDefault="00DA6912" w:rsidP="004D1F30">
      <w:pPr>
        <w:spacing w:line="276" w:lineRule="auto"/>
      </w:pPr>
    </w:p>
    <w:p w:rsidR="00DA6912" w:rsidRDefault="00E454B4" w:rsidP="004D1F30">
      <w:pPr>
        <w:spacing w:line="276" w:lineRule="auto"/>
      </w:pPr>
      <w:r w:rsidRPr="00E454B4">
        <w:rPr>
          <w:noProof/>
        </w:rPr>
        <w:drawing>
          <wp:inline distT="0" distB="0" distL="0" distR="0">
            <wp:extent cx="8609527" cy="3341813"/>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27324" cy="3348721"/>
                    </a:xfrm>
                    <a:prstGeom prst="rect">
                      <a:avLst/>
                    </a:prstGeom>
                    <a:noFill/>
                    <a:ln>
                      <a:noFill/>
                    </a:ln>
                  </pic:spPr>
                </pic:pic>
              </a:graphicData>
            </a:graphic>
          </wp:inline>
        </w:drawing>
      </w:r>
    </w:p>
    <w:p w:rsidR="00DA6912" w:rsidRDefault="00DA6912" w:rsidP="004D1F30">
      <w:pPr>
        <w:spacing w:line="276" w:lineRule="auto"/>
      </w:pPr>
    </w:p>
    <w:p w:rsidR="00DA6912" w:rsidRDefault="00DA6912" w:rsidP="004D1F30">
      <w:pPr>
        <w:spacing w:line="276" w:lineRule="auto"/>
      </w:pPr>
    </w:p>
    <w:p w:rsidR="00E454B4" w:rsidRDefault="00E454B4" w:rsidP="004D1F30">
      <w:pPr>
        <w:spacing w:line="276" w:lineRule="auto"/>
      </w:pPr>
    </w:p>
    <w:p w:rsidR="00E454B4" w:rsidRDefault="00E454B4" w:rsidP="004D1F30">
      <w:pPr>
        <w:spacing w:line="276" w:lineRule="auto"/>
      </w:pPr>
    </w:p>
    <w:p w:rsidR="00E454B4" w:rsidRDefault="00E454B4" w:rsidP="004D1F30">
      <w:pPr>
        <w:spacing w:line="276" w:lineRule="auto"/>
      </w:pPr>
    </w:p>
    <w:p w:rsidR="002A531B" w:rsidRDefault="002A531B" w:rsidP="004D1F30">
      <w:pPr>
        <w:spacing w:line="276" w:lineRule="auto"/>
      </w:pPr>
    </w:p>
    <w:p w:rsidR="002A531B" w:rsidRDefault="002A531B" w:rsidP="004D1F30">
      <w:pPr>
        <w:spacing w:line="276" w:lineRule="auto"/>
      </w:pPr>
    </w:p>
    <w:p w:rsidR="002A531B" w:rsidRDefault="002A531B" w:rsidP="004D1F30">
      <w:pPr>
        <w:spacing w:line="276" w:lineRule="auto"/>
      </w:pPr>
    </w:p>
    <w:p w:rsidR="002A531B" w:rsidRDefault="00723D05" w:rsidP="004D1F30">
      <w:pPr>
        <w:spacing w:line="276" w:lineRule="auto"/>
      </w:pPr>
      <w:r w:rsidRPr="00723D05">
        <w:rPr>
          <w:noProof/>
        </w:rPr>
        <w:drawing>
          <wp:inline distT="0" distB="0" distL="0" distR="0">
            <wp:extent cx="8603087" cy="3328670"/>
            <wp:effectExtent l="0" t="0" r="762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96847" cy="3364947"/>
                    </a:xfrm>
                    <a:prstGeom prst="rect">
                      <a:avLst/>
                    </a:prstGeom>
                    <a:noFill/>
                    <a:ln>
                      <a:noFill/>
                    </a:ln>
                  </pic:spPr>
                </pic:pic>
              </a:graphicData>
            </a:graphic>
          </wp:inline>
        </w:drawing>
      </w:r>
    </w:p>
    <w:p w:rsidR="00E454B4" w:rsidRDefault="00E454B4" w:rsidP="004D1F30">
      <w:pPr>
        <w:spacing w:line="276" w:lineRule="auto"/>
      </w:pPr>
    </w:p>
    <w:p w:rsidR="00DA6912" w:rsidRDefault="00DA6912" w:rsidP="004D1F30">
      <w:pPr>
        <w:spacing w:line="276" w:lineRule="auto"/>
      </w:pPr>
    </w:p>
    <w:p w:rsidR="00DA6912" w:rsidRDefault="00DA6912" w:rsidP="004D1F30">
      <w:pPr>
        <w:spacing w:line="276" w:lineRule="auto"/>
        <w:sectPr w:rsidR="00DA6912" w:rsidSect="00DA6912">
          <w:pgSz w:w="15840" w:h="12240" w:orient="landscape"/>
          <w:pgMar w:top="1440" w:right="1440" w:bottom="1440" w:left="1440" w:header="720" w:footer="720" w:gutter="0"/>
          <w:cols w:space="720"/>
          <w:docGrid w:linePitch="360"/>
        </w:sectPr>
      </w:pPr>
    </w:p>
    <w:p w:rsidR="00DA6912" w:rsidRPr="004D1F30" w:rsidRDefault="00DA6912" w:rsidP="004D1F30">
      <w:pPr>
        <w:spacing w:line="276" w:lineRule="auto"/>
      </w:pPr>
    </w:p>
    <w:p w:rsidR="001C3727" w:rsidRPr="004D1F30" w:rsidRDefault="001C3727" w:rsidP="004D1F30">
      <w:pPr>
        <w:spacing w:line="276" w:lineRule="auto"/>
      </w:pPr>
    </w:p>
    <w:p w:rsidR="005D34F7" w:rsidRPr="004D1F30" w:rsidRDefault="00D5582C" w:rsidP="004D1F30">
      <w:pPr>
        <w:spacing w:line="276" w:lineRule="auto"/>
        <w:rPr>
          <w:b/>
          <w:sz w:val="28"/>
          <w:szCs w:val="28"/>
        </w:rPr>
      </w:pPr>
      <w:r>
        <w:rPr>
          <w:b/>
          <w:sz w:val="28"/>
          <w:szCs w:val="28"/>
        </w:rPr>
        <w:t>3.</w:t>
      </w:r>
      <w:r w:rsidR="00E83814">
        <w:rPr>
          <w:b/>
          <w:sz w:val="28"/>
          <w:szCs w:val="28"/>
        </w:rPr>
        <w:t xml:space="preserve"> EFIKASNOST I </w:t>
      </w:r>
      <w:r w:rsidR="00254BBE">
        <w:rPr>
          <w:b/>
          <w:sz w:val="28"/>
          <w:szCs w:val="28"/>
        </w:rPr>
        <w:t>ISPLATIVOST</w:t>
      </w:r>
      <w:r w:rsidR="00845F8F">
        <w:rPr>
          <w:b/>
          <w:sz w:val="28"/>
          <w:szCs w:val="28"/>
        </w:rPr>
        <w:t xml:space="preserve"> PROJEKATA mHE IZ UGLA</w:t>
      </w:r>
      <w:r w:rsidR="00253C22">
        <w:rPr>
          <w:b/>
          <w:sz w:val="28"/>
          <w:szCs w:val="28"/>
        </w:rPr>
        <w:t xml:space="preserve">SVIH </w:t>
      </w:r>
      <w:r w:rsidR="00115905">
        <w:rPr>
          <w:b/>
          <w:sz w:val="28"/>
          <w:szCs w:val="28"/>
        </w:rPr>
        <w:t>STAKEHOLDERA</w:t>
      </w:r>
    </w:p>
    <w:p w:rsidR="007B0D55" w:rsidRPr="007B0D55" w:rsidRDefault="007B0D55" w:rsidP="00254BBE">
      <w:pPr>
        <w:spacing w:line="276" w:lineRule="auto"/>
        <w:jc w:val="both"/>
        <w:rPr>
          <w:b/>
          <w:sz w:val="28"/>
          <w:szCs w:val="28"/>
        </w:rPr>
      </w:pPr>
      <w:r w:rsidRPr="007B0D55">
        <w:rPr>
          <w:b/>
          <w:sz w:val="28"/>
          <w:szCs w:val="28"/>
        </w:rPr>
        <w:t xml:space="preserve">3.1. </w:t>
      </w:r>
      <w:r w:rsidR="00775716">
        <w:rPr>
          <w:b/>
          <w:sz w:val="28"/>
          <w:szCs w:val="28"/>
        </w:rPr>
        <w:t>Uvodne</w:t>
      </w:r>
      <w:r>
        <w:rPr>
          <w:b/>
          <w:sz w:val="28"/>
          <w:szCs w:val="28"/>
        </w:rPr>
        <w:t xml:space="preserve"> napomene </w:t>
      </w:r>
    </w:p>
    <w:p w:rsidR="00642D0C" w:rsidRDefault="00EE0A07" w:rsidP="00254BBE">
      <w:pPr>
        <w:spacing w:line="276" w:lineRule="auto"/>
        <w:jc w:val="both"/>
      </w:pPr>
      <w:r>
        <w:t>Da bi sagledali društv</w:t>
      </w:r>
      <w:r w:rsidR="00254BBE">
        <w:t xml:space="preserve">enu i </w:t>
      </w:r>
      <w:r>
        <w:t xml:space="preserve">ukupnu </w:t>
      </w:r>
      <w:r w:rsidR="00254BBE">
        <w:t>isplativost nekog projekta moramo uzeti u obzir i promjene tokova koristi i troškova, odnosno promjene tokov</w:t>
      </w:r>
      <w:r w:rsidR="00BF202C">
        <w:t>a neto koristi svih privrednih i drugih subjekata</w:t>
      </w:r>
      <w:r w:rsidR="00254BBE">
        <w:t xml:space="preserve"> do kojih dolazi usled iniciranja određenog projekta. U ovom, a i kod većine ostalih, projeka</w:t>
      </w:r>
      <w:r w:rsidR="00BF202C">
        <w:t>ta sve učesnike</w:t>
      </w:r>
      <w:r w:rsidR="00254BBE">
        <w:t xml:space="preserve"> projekta možemo podeliti na dv</w:t>
      </w:r>
      <w:r w:rsidR="00642D0C">
        <w:t>ij</w:t>
      </w:r>
      <w:r w:rsidR="00254BBE">
        <w:t xml:space="preserve">e velike grupe. </w:t>
      </w:r>
    </w:p>
    <w:p w:rsidR="00642D0C" w:rsidRDefault="00254BBE" w:rsidP="00272C10">
      <w:pPr>
        <w:pStyle w:val="ListParagraph"/>
        <w:numPr>
          <w:ilvl w:val="0"/>
          <w:numId w:val="15"/>
        </w:numPr>
        <w:spacing w:line="276" w:lineRule="auto"/>
        <w:jc w:val="both"/>
      </w:pPr>
      <w:r>
        <w:t xml:space="preserve">Prvu </w:t>
      </w:r>
      <w:r w:rsidR="00E54C92">
        <w:t xml:space="preserve">grupu </w:t>
      </w:r>
      <w:r>
        <w:t xml:space="preserve">čine oni koje smo ovde </w:t>
      </w:r>
      <w:r w:rsidR="00B47354">
        <w:t>nazvali</w:t>
      </w:r>
      <w:r w:rsidR="00E54C92">
        <w:t xml:space="preserve"> stakeholderima</w:t>
      </w:r>
      <w:r w:rsidR="00B47354">
        <w:t>, tj</w:t>
      </w:r>
      <w:r w:rsidR="00A552CB">
        <w:t>.</w:t>
      </w:r>
      <w:r w:rsidR="00B47354">
        <w:t>o subjektima</w:t>
      </w:r>
      <w:r w:rsidR="00E54C92">
        <w:t xml:space="preserve"> koji su direktno povezana sa datim investicionim projektom i investitorom, odnosno stockholderom. </w:t>
      </w:r>
    </w:p>
    <w:p w:rsidR="007A5E07" w:rsidRDefault="00BF202C" w:rsidP="00272C10">
      <w:pPr>
        <w:pStyle w:val="ListParagraph"/>
        <w:numPr>
          <w:ilvl w:val="0"/>
          <w:numId w:val="15"/>
        </w:numPr>
        <w:spacing w:line="276" w:lineRule="auto"/>
        <w:jc w:val="both"/>
      </w:pPr>
      <w:r>
        <w:t>Drugu grupu čine oni subjekti, koje možemo</w:t>
      </w:r>
      <w:r w:rsidR="00642D0C">
        <w:t xml:space="preserve"> označiti </w:t>
      </w:r>
      <w:r>
        <w:t xml:space="preserve">i </w:t>
      </w:r>
      <w:r w:rsidR="00642D0C">
        <w:t>kao ek</w:t>
      </w:r>
      <w:r>
        <w:t>sterne</w:t>
      </w:r>
      <w:r w:rsidR="00A552CB">
        <w:t>,</w:t>
      </w:r>
      <w:r w:rsidR="00E54C92">
        <w:t xml:space="preserve"> a koji su indirektno povezani sa sadržajem projekta.</w:t>
      </w:r>
      <w:r w:rsidR="007A5E07">
        <w:t xml:space="preserve"> Dvije su kategorije ovih učesnika posebno važne:</w:t>
      </w:r>
    </w:p>
    <w:p w:rsidR="007A5E07" w:rsidRDefault="00E54C92" w:rsidP="00272C10">
      <w:pPr>
        <w:pStyle w:val="ListParagraph"/>
        <w:numPr>
          <w:ilvl w:val="0"/>
          <w:numId w:val="14"/>
        </w:numPr>
        <w:spacing w:line="276" w:lineRule="auto"/>
        <w:jc w:val="both"/>
      </w:pPr>
      <w:r>
        <w:t xml:space="preserve">Tu </w:t>
      </w:r>
      <w:r w:rsidR="007A5E07">
        <w:t xml:space="preserve">najprije dođu </w:t>
      </w:r>
      <w:r>
        <w:t xml:space="preserve">razne druge djelatnosti koje su kroz input-output </w:t>
      </w:r>
      <w:r w:rsidR="007A5E07">
        <w:t>odnose,</w:t>
      </w:r>
      <w:r>
        <w:t xml:space="preserve"> kroz konkurentske odnose, odnose komplementarnosti ili odnose substitucije povezani sa projektom, a koje ćemo analizirati u narednom</w:t>
      </w:r>
      <w:r w:rsidR="00FC7193">
        <w:t>, četvrtom</w:t>
      </w:r>
      <w:r>
        <w:t xml:space="preserve"> poglavlju. </w:t>
      </w:r>
    </w:p>
    <w:p w:rsidR="005D34F7" w:rsidRDefault="00E54C92" w:rsidP="00272C10">
      <w:pPr>
        <w:pStyle w:val="ListParagraph"/>
        <w:numPr>
          <w:ilvl w:val="0"/>
          <w:numId w:val="14"/>
        </w:numPr>
        <w:spacing w:line="276" w:lineRule="auto"/>
        <w:jc w:val="both"/>
      </w:pPr>
      <w:r>
        <w:t xml:space="preserve">Potom tu dođu </w:t>
      </w:r>
      <w:r w:rsidR="00BF202C">
        <w:t>subjekti</w:t>
      </w:r>
      <w:r w:rsidR="00FC7193">
        <w:t xml:space="preserve"> koji su sa investitorom povezani tako što svi trpe ekološke štete koje on nanosi ili ekol</w:t>
      </w:r>
      <w:r w:rsidR="00130D2D">
        <w:t>o</w:t>
      </w:r>
      <w:r w:rsidR="00FC7193">
        <w:t xml:space="preserve">ške koristi koje se ponekad, takođe, mogu generirati, a o čemu će biti riječi u petom poglavlju. </w:t>
      </w:r>
    </w:p>
    <w:p w:rsidR="00FC7193" w:rsidRDefault="00AB20F2" w:rsidP="00254BBE">
      <w:pPr>
        <w:spacing w:line="276" w:lineRule="auto"/>
        <w:jc w:val="both"/>
      </w:pPr>
      <w:r>
        <w:t>Kada je riječ o</w:t>
      </w:r>
      <w:r w:rsidR="00FC7193">
        <w:t xml:space="preserve"> stak</w:t>
      </w:r>
      <w:r>
        <w:t>eholderima ovih projekata onda tu imamo u vidu sve one subjekte koji, pored stockholdera (u ovom slučaju vlasnika i indirektnih investitora), obuhvataju i sve druge subjekte, poput recimo zaposlenih, koji imaju direktnog interesa u projektu. U konkretnom slučaju t</w:t>
      </w:r>
      <w:r w:rsidR="00FC7193">
        <w:t xml:space="preserve">u posebno treba obratiti pažnju na sledeće: </w:t>
      </w:r>
    </w:p>
    <w:p w:rsidR="00FC7193" w:rsidRDefault="00FC7193" w:rsidP="00272C10">
      <w:pPr>
        <w:pStyle w:val="ListParagraph"/>
        <w:numPr>
          <w:ilvl w:val="0"/>
          <w:numId w:val="6"/>
        </w:numPr>
        <w:spacing w:line="276" w:lineRule="auto"/>
        <w:jc w:val="both"/>
      </w:pPr>
      <w:r>
        <w:t xml:space="preserve">Potrošači električne energije koji su, u krajnjoj liniji, oni koji plaćaju uvećanu cijenu električne energije po kojoj se prodaje struja povlašćenih proizvođača; Oni su u ovoj situaciji gubitnici jer se, usled veće cijene struje, u istoj srazmjeri smanjuje njihovo blagostanje mjereno potrošačevim viškom; </w:t>
      </w:r>
    </w:p>
    <w:p w:rsidR="00FC7193" w:rsidRDefault="009674D9" w:rsidP="00272C10">
      <w:pPr>
        <w:pStyle w:val="ListParagraph"/>
        <w:numPr>
          <w:ilvl w:val="0"/>
          <w:numId w:val="6"/>
        </w:numPr>
        <w:spacing w:line="276" w:lineRule="auto"/>
        <w:jc w:val="both"/>
      </w:pPr>
      <w:r>
        <w:t>Drugi</w:t>
      </w:r>
      <w:r w:rsidR="000C57EC">
        <w:t xml:space="preserve"> stakeholder, najvažniji posle stockholdera i potrošača, je država Crna Gora koja se </w:t>
      </w:r>
      <w:r w:rsidR="00B735BA">
        <w:t xml:space="preserve">ovdje </w:t>
      </w:r>
      <w:r w:rsidR="000C57EC">
        <w:t xml:space="preserve">javlja kao dobitnik sledećih stavki: </w:t>
      </w:r>
    </w:p>
    <w:p w:rsidR="000C57EC" w:rsidRDefault="00B735BA" w:rsidP="00272C10">
      <w:pPr>
        <w:pStyle w:val="ListParagraph"/>
        <w:numPr>
          <w:ilvl w:val="2"/>
          <w:numId w:val="6"/>
        </w:numPr>
        <w:spacing w:line="276" w:lineRule="auto"/>
        <w:jc w:val="both"/>
      </w:pPr>
      <w:r>
        <w:t>Koncesione naknade u iznosu od 10% od vijednosti prodate struje</w:t>
      </w:r>
      <w:r w:rsidR="000C57EC">
        <w:t xml:space="preserve"> koja predstavlja budžatski prihod; </w:t>
      </w:r>
    </w:p>
    <w:p w:rsidR="000C57EC" w:rsidRDefault="000C57EC" w:rsidP="00272C10">
      <w:pPr>
        <w:pStyle w:val="ListParagraph"/>
        <w:numPr>
          <w:ilvl w:val="2"/>
          <w:numId w:val="6"/>
        </w:numPr>
        <w:spacing w:line="276" w:lineRule="auto"/>
        <w:jc w:val="both"/>
      </w:pPr>
      <w:r>
        <w:t xml:space="preserve">Prirast PDV-a koji nije rezultat podsticajnih cijena već bi se ostvario i bez njih a koji takođe predstavlja priliv u budžet države; </w:t>
      </w:r>
    </w:p>
    <w:p w:rsidR="00F26C92" w:rsidRDefault="00F26C92" w:rsidP="00272C10">
      <w:pPr>
        <w:pStyle w:val="ListParagraph"/>
        <w:numPr>
          <w:ilvl w:val="2"/>
          <w:numId w:val="6"/>
        </w:numPr>
        <w:spacing w:line="276" w:lineRule="auto"/>
        <w:jc w:val="both"/>
      </w:pPr>
      <w:r>
        <w:t xml:space="preserve">Prirast poreza na profit koji bi se ostvario kada nebi bilo podsticajnih cijena a koji je dio budžetskog priliva; </w:t>
      </w:r>
    </w:p>
    <w:p w:rsidR="000C57EC" w:rsidRDefault="000C57EC" w:rsidP="00272C10">
      <w:pPr>
        <w:pStyle w:val="ListParagraph"/>
        <w:numPr>
          <w:ilvl w:val="2"/>
          <w:numId w:val="6"/>
        </w:numPr>
        <w:spacing w:line="276" w:lineRule="auto"/>
        <w:jc w:val="both"/>
      </w:pPr>
      <w:r>
        <w:t xml:space="preserve">Prirast poreza na plate koji takođe predstavlja prihodnu stavku budžeta (ne i prirast doprinosa); </w:t>
      </w:r>
    </w:p>
    <w:p w:rsidR="00B735BA" w:rsidRDefault="00B735BA" w:rsidP="00272C10">
      <w:pPr>
        <w:pStyle w:val="ListParagraph"/>
        <w:numPr>
          <w:ilvl w:val="2"/>
          <w:numId w:val="6"/>
        </w:numPr>
        <w:spacing w:line="276" w:lineRule="auto"/>
        <w:jc w:val="both"/>
      </w:pPr>
      <w:r>
        <w:lastRenderedPageBreak/>
        <w:t xml:space="preserve">Ostatak vrijednosti projekta nakon 25 godina eksploatacije mHE, s tim da je investitor dužan da posmatranu mHE dovede u stanje u kojem je bila kada je bila nova. </w:t>
      </w:r>
    </w:p>
    <w:p w:rsidR="000C57EC" w:rsidRDefault="00B735BA" w:rsidP="00272C10">
      <w:pPr>
        <w:pStyle w:val="ListParagraph"/>
        <w:numPr>
          <w:ilvl w:val="0"/>
          <w:numId w:val="6"/>
        </w:numPr>
        <w:spacing w:line="276" w:lineRule="auto"/>
        <w:jc w:val="both"/>
      </w:pPr>
      <w:r>
        <w:t xml:space="preserve">Treći važan stakeholder je lokalna samouprava </w:t>
      </w:r>
      <w:r w:rsidR="00442C09">
        <w:t>koja uživa u sledećim d</w:t>
      </w:r>
      <w:r w:rsidR="00775716">
        <w:t>o</w:t>
      </w:r>
      <w:r w:rsidR="00442C09">
        <w:t xml:space="preserve">bicima: </w:t>
      </w:r>
    </w:p>
    <w:p w:rsidR="00442C09" w:rsidRDefault="00442C09" w:rsidP="00272C10">
      <w:pPr>
        <w:pStyle w:val="ListParagraph"/>
        <w:numPr>
          <w:ilvl w:val="2"/>
          <w:numId w:val="6"/>
        </w:numPr>
        <w:spacing w:line="276" w:lineRule="auto"/>
        <w:jc w:val="both"/>
      </w:pPr>
      <w:r>
        <w:t xml:space="preserve">Koncesionu naknadu u iznosu od 5% od vrijednosti prodate struje; </w:t>
      </w:r>
    </w:p>
    <w:p w:rsidR="00442C09" w:rsidRPr="00EE0A07" w:rsidRDefault="00442C09" w:rsidP="00272C10">
      <w:pPr>
        <w:pStyle w:val="ListParagraph"/>
        <w:numPr>
          <w:ilvl w:val="2"/>
          <w:numId w:val="6"/>
        </w:numPr>
        <w:spacing w:line="276" w:lineRule="auto"/>
        <w:jc w:val="both"/>
      </w:pPr>
      <w:r>
        <w:t xml:space="preserve">Naknada za vodu. </w:t>
      </w:r>
    </w:p>
    <w:p w:rsidR="00F26C92" w:rsidRDefault="007B68E5" w:rsidP="00272C10">
      <w:pPr>
        <w:pStyle w:val="ListParagraph"/>
        <w:numPr>
          <w:ilvl w:val="0"/>
          <w:numId w:val="6"/>
        </w:numPr>
        <w:spacing w:line="276" w:lineRule="auto"/>
        <w:jc w:val="both"/>
      </w:pPr>
      <w:r>
        <w:t>Konačno, poslednji važan stakeholder su ovdje zaposleni</w:t>
      </w:r>
      <w:r w:rsidR="00F26C92">
        <w:t xml:space="preserve"> čije bi se blagostanje trebalo mjeriti onim što bi mogli nazvati radnikov višak, tj</w:t>
      </w:r>
      <w:r w:rsidR="00130D2D">
        <w:t>.</w:t>
      </w:r>
      <w:r w:rsidR="00F26C92">
        <w:t>razlikom između plate koju ra</w:t>
      </w:r>
      <w:r w:rsidR="00422A74">
        <w:t>dnik prima i monetarno izraženog ekvivalenta</w:t>
      </w:r>
      <w:r w:rsidR="00F26C92">
        <w:t xml:space="preserve"> neugodnosti koju rad donosi. </w:t>
      </w:r>
    </w:p>
    <w:p w:rsidR="00A10AEC" w:rsidRDefault="007A5E07" w:rsidP="00081F7D">
      <w:pPr>
        <w:spacing w:line="276" w:lineRule="auto"/>
        <w:jc w:val="both"/>
      </w:pPr>
      <w:r w:rsidRPr="007A5E07">
        <w:t xml:space="preserve">Da bi </w:t>
      </w:r>
      <w:r>
        <w:t xml:space="preserve">detaljnije sagledali položaj pojedinih direktnih učesnika </w:t>
      </w:r>
      <w:r w:rsidR="00081F7D">
        <w:t xml:space="preserve">i posebnoda bi na taj načindali ocjenu društvene i ukupne korisnosti ili ako hoćete </w:t>
      </w:r>
      <w:r w:rsidR="000E4454">
        <w:t xml:space="preserve">društvene </w:t>
      </w:r>
      <w:r w:rsidR="00081F7D">
        <w:t xml:space="preserve">isplativosti projekta morali smo prethodno napraviti niz dodatnih kalkulacija </w:t>
      </w:r>
      <w:r w:rsidR="000E4454">
        <w:t xml:space="preserve">i projekcija. Za početak, pretpostavili smo da su prodajne cijene na nivou podsticajnih, već na nivou berzanskih. Polazeći od njih napravili smo </w:t>
      </w:r>
      <w:r w:rsidR="00E56210">
        <w:t xml:space="preserve">novu </w:t>
      </w:r>
      <w:r w:rsidR="000E4454">
        <w:t>kalkulacije ukupnog prihoda za 25 narednih godina</w:t>
      </w:r>
      <w:r w:rsidR="00E56210">
        <w:t xml:space="preserve"> baziranu na tržišnim cijenama</w:t>
      </w:r>
      <w:r w:rsidR="000E4454">
        <w:t>. Takođe smo, gdje god je bilo potrebno, napravili nove kalkulacije troškova kao i ostalih veli</w:t>
      </w:r>
      <w:r w:rsidR="00720074">
        <w:t xml:space="preserve">čina potrebnih za odgovarajuće projekcije. </w:t>
      </w:r>
    </w:p>
    <w:p w:rsidR="00430A62" w:rsidRDefault="00720074" w:rsidP="00081F7D">
      <w:pPr>
        <w:spacing w:line="276" w:lineRule="auto"/>
        <w:jc w:val="both"/>
      </w:pPr>
      <w:r>
        <w:t xml:space="preserve">Na osnovu ovako dobijenih inputa podataka napravili smo projekcije bilansa stanja i bilansa uspjeha za narednih 25 godina. Polazeći od ovih projekcija i od ranije datih projekcija vezanih za investicije, zamjenu fiksnih fondova, konstrukcije finasiranja i slično, napravili smo projekciju toka gotovine i ekonomskog toka za ovako unijetenove inpute. </w:t>
      </w:r>
      <w:r w:rsidR="00652CE2">
        <w:t xml:space="preserve">Tako dobijene projekcije su nam omogućile da utvrdimo promjene u položaju potrošača i proizvođača električne energije u pojedinim godinama. Ove nalaze smo dodali prethodno opisanoj tabeli </w:t>
      </w:r>
      <w:r w:rsidR="00430A62">
        <w:t xml:space="preserve">i tako kreirali novu tabelu </w:t>
      </w:r>
      <w:r w:rsidR="00652CE2">
        <w:t>(redovi A, B i 8 u novim tabelama</w:t>
      </w:r>
      <w:r w:rsidR="005F6B15">
        <w:t xml:space="preserve"> datim u dodatku ovom odeljku</w:t>
      </w:r>
      <w:r w:rsidR="00652CE2">
        <w:t>). Nakon toga smo napravili projekciju kretanja koncesionih naknada države i lokalne zajednice u pojedinim godinama (redovi C, D i</w:t>
      </w:r>
      <w:r w:rsidR="000B6B1A">
        <w:t xml:space="preserve"> 9</w:t>
      </w:r>
      <w:r w:rsidR="00652CE2">
        <w:t xml:space="preserve"> u novim tabelama). </w:t>
      </w:r>
      <w:r w:rsidR="000B6B1A">
        <w:t xml:space="preserve">Istu vrstu projekcije smo napravili za PDV, porez na profit i porez na plate (redovi E, F, G, 10 i 11 u novim tabelama). Potom je projektovana i sadašnja vrijednost ostatka vrijednost projekta u poslednjoj godini projekcija (red H i 12). </w:t>
      </w:r>
      <w:r w:rsidR="00430A62">
        <w:t xml:space="preserve">U redu J je data projekcija vrijednosti plata. Konačno, u poslednjem redu (red K) data je suma projekcija tokova neto koristi svih stakeholdere, koja zapravo predstavlja sumu svih </w:t>
      </w:r>
      <w:r w:rsidR="00D65121">
        <w:t xml:space="preserve">direktnih </w:t>
      </w:r>
      <w:r w:rsidR="00430A62">
        <w:t xml:space="preserve">neto koristi društva koje je projekat generirao. </w:t>
      </w:r>
    </w:p>
    <w:p w:rsidR="00720074" w:rsidRDefault="005F6B15" w:rsidP="00081F7D">
      <w:pPr>
        <w:spacing w:line="276" w:lineRule="auto"/>
        <w:jc w:val="both"/>
      </w:pPr>
      <w:r>
        <w:t>Ovako dobijena tabela je označena kao Projekcija ekonomskih tokova. Napravljene su četiri verzije projekcija ekonomskih tokova. Prva verzija se odnosi na situaciju u kojoj nam visok nivo proizvodnje iz 2018</w:t>
      </w:r>
      <w:r w:rsidR="00BF72F3">
        <w:t>.</w:t>
      </w:r>
      <w:r>
        <w:t xml:space="preserve">služi kao benchmark. Druga verzija se zasniva na pretpostavci </w:t>
      </w:r>
      <w:r w:rsidR="00FB190D">
        <w:t>da je obim proizvodnje manji za 10 procentnih poena od onog datog u prvoj verziji. Treća verzija polazi od pretpostavke da je nivo aktivnosti manji za čitavih 20 procentnih poena. Konačno, poslednja verzija je zasnovana na pretpos</w:t>
      </w:r>
      <w:r w:rsidR="00E25514">
        <w:t>tavci da je nivo aktivnosti</w:t>
      </w:r>
      <w:r w:rsidR="00FB190D">
        <w:t xml:space="preserve"> za čitavih 25 procentnih poena manji nego u bazičnom scenariju. Nije bilo potrebe za projekcijama zasnovanim na nama dostupnim planskim podacima jer oni odgovaraju upravo pretpostavkama na kojima je zasnovana ova poslednja projekcija. Sve ove projekcije su, kao što smo već rekli, dati u dodatku na kraju ovog odeljka. </w:t>
      </w:r>
    </w:p>
    <w:p w:rsidR="00F4489B" w:rsidRPr="00720074" w:rsidRDefault="00F4489B">
      <w:r w:rsidRPr="00720074">
        <w:br w:type="page"/>
      </w:r>
    </w:p>
    <w:p w:rsidR="00F26C92" w:rsidRDefault="00F26C92" w:rsidP="00A10AEC">
      <w:pPr>
        <w:spacing w:line="276" w:lineRule="auto"/>
        <w:rPr>
          <w:b/>
        </w:rPr>
      </w:pPr>
    </w:p>
    <w:p w:rsidR="00F26C92" w:rsidRPr="00EE0A07" w:rsidRDefault="00F26C92" w:rsidP="00A10AEC">
      <w:pPr>
        <w:spacing w:line="276" w:lineRule="auto"/>
        <w:rPr>
          <w:b/>
        </w:rPr>
      </w:pPr>
    </w:p>
    <w:p w:rsidR="00A10AEC" w:rsidRPr="00F4489B" w:rsidRDefault="007B0D55" w:rsidP="00A10AEC">
      <w:pPr>
        <w:spacing w:line="276" w:lineRule="auto"/>
        <w:rPr>
          <w:b/>
          <w:sz w:val="28"/>
          <w:szCs w:val="28"/>
        </w:rPr>
      </w:pPr>
      <w:r>
        <w:rPr>
          <w:b/>
          <w:sz w:val="28"/>
          <w:szCs w:val="28"/>
        </w:rPr>
        <w:t>3.2</w:t>
      </w:r>
      <w:r w:rsidR="00947011">
        <w:rPr>
          <w:b/>
          <w:sz w:val="28"/>
          <w:szCs w:val="28"/>
        </w:rPr>
        <w:t>. Uticaj</w:t>
      </w:r>
      <w:r w:rsidR="00F4489B">
        <w:rPr>
          <w:b/>
          <w:sz w:val="28"/>
          <w:szCs w:val="28"/>
        </w:rPr>
        <w:t xml:space="preserve"> subvencioni</w:t>
      </w:r>
      <w:r w:rsidR="00947011">
        <w:rPr>
          <w:b/>
          <w:sz w:val="28"/>
          <w:szCs w:val="28"/>
        </w:rPr>
        <w:t xml:space="preserve">snih cijena </w:t>
      </w:r>
      <w:r w:rsidR="00F4489B">
        <w:rPr>
          <w:b/>
          <w:sz w:val="28"/>
          <w:szCs w:val="28"/>
        </w:rPr>
        <w:t xml:space="preserve">na položaj potrošača i proizvođača struje </w:t>
      </w:r>
    </w:p>
    <w:p w:rsidR="002E0F92" w:rsidRDefault="006B75B6" w:rsidP="002E0F92">
      <w:pPr>
        <w:spacing w:line="276" w:lineRule="auto"/>
        <w:jc w:val="both"/>
      </w:pPr>
      <w:r w:rsidRPr="00110CD7">
        <w:rPr>
          <w:b/>
        </w:rPr>
        <w:t>1.</w:t>
      </w:r>
      <w:r w:rsidR="002E0F92">
        <w:t xml:space="preserve">Subvencionisane cijene, kao što smo rekli, doprinose smanjuju potrošačevog viška, kao mjere njegovog blagostanja, i u istoj srazmjeri dovode do povećanja proizvođačevog profita i viška. Drugačije rečeno ove cijene dovode do preusmjeravanja sredstava iz ruku potrošača u ruke vlasnika kapitala mHE. </w:t>
      </w:r>
      <w:r w:rsidR="00E13F34">
        <w:t xml:space="preserve">To preusmjeravanje nije potpuno besplatno, već je skopčano sa izvjesnim troškovima (transakcionim i prenosnim) tako da se zato gubici potrošača u izvjesnoj mjeri razlikuju od dobitaka proizvođača. </w:t>
      </w:r>
    </w:p>
    <w:p w:rsidR="002F6569" w:rsidRDefault="00EA184A" w:rsidP="00EA184A">
      <w:pPr>
        <w:spacing w:line="276" w:lineRule="auto"/>
        <w:jc w:val="both"/>
      </w:pPr>
      <w:r>
        <w:t>Postoje dva načina da se izračuna gubitak potrošača i dobitak proizvođača nastao usled uvođenja stimulativnih cijena. Jedan se zasniva na direktnoj upotrebi cijena po kojima se struja prodaje potrošačima. Ovaj način daje preciznu mjeru gubitaka potrošača ali</w:t>
      </w:r>
      <w:r w:rsidR="00E13F34">
        <w:t>,</w:t>
      </w:r>
      <w:r>
        <w:t xml:space="preserve"> ako se primijeni kao mjera dobitaka proizvođača</w:t>
      </w:r>
      <w:r w:rsidR="00E13F34">
        <w:t>,</w:t>
      </w:r>
      <w:r>
        <w:t xml:space="preserve"> može voditi njihovom blagom precenjivanju</w:t>
      </w:r>
      <w:r w:rsidR="00E13F34">
        <w:t xml:space="preserve"> (</w:t>
      </w:r>
      <w:r w:rsidR="002F6569">
        <w:t>Mi</w:t>
      </w:r>
      <w:r w:rsidR="00E13F34">
        <w:t>lj</w:t>
      </w:r>
      <w:r w:rsidR="002F6569">
        <w:t>ev</w:t>
      </w:r>
      <w:r w:rsidR="00E13F34">
        <w:t>ić 2019, 2018)</w:t>
      </w:r>
      <w:r>
        <w:t>. Drugi</w:t>
      </w:r>
      <w:r w:rsidR="002F6569">
        <w:t xml:space="preserve"> metod</w:t>
      </w:r>
      <w:r>
        <w:t xml:space="preserve">, koji ćemo mi primijeniti, </w:t>
      </w:r>
      <w:r w:rsidR="00E13F34">
        <w:t xml:space="preserve">polazi od cijena po kojima povlašćeni proizvođači prodaju struju a koje smo već ranije razmatrali. Ovaj metod daje preciznu mjeru dobitaka proizvođača ali blago potcenjuje gubitke potrošača. </w:t>
      </w:r>
    </w:p>
    <w:p w:rsidR="00F4489B" w:rsidRDefault="002F6569" w:rsidP="00EA184A">
      <w:pPr>
        <w:spacing w:line="276" w:lineRule="auto"/>
        <w:jc w:val="both"/>
      </w:pPr>
      <w:r>
        <w:t xml:space="preserve">U suštini, ovdje se projekcija ekonomskog toka koju dobijamo kada imamo subvencionisane cijene </w:t>
      </w:r>
      <w:r w:rsidR="002E738D">
        <w:t>(red B</w:t>
      </w:r>
      <w:r w:rsidR="00FC3F6E">
        <w:t xml:space="preserve"> u tabelama datim u dodatku ovom odeljku) </w:t>
      </w:r>
      <w:r>
        <w:t>oduzima od novodobijene projekcije ekonomskog toka koja polazi od tržišnih tj</w:t>
      </w:r>
      <w:r w:rsidR="00BF72F3">
        <w:t>.</w:t>
      </w:r>
      <w:r>
        <w:t>berzanskih cijena struje</w:t>
      </w:r>
      <w:r w:rsidR="002E738D">
        <w:t xml:space="preserve"> (red A</w:t>
      </w:r>
      <w:r w:rsidR="00FC3F6E">
        <w:t xml:space="preserve"> iste tabele)</w:t>
      </w:r>
      <w:r>
        <w:t xml:space="preserve">. </w:t>
      </w:r>
      <w:r w:rsidR="00AE6377">
        <w:t xml:space="preserve">Ovako dobijena razlika data je u koloni 8 svake od tabela datih za pojedine varijante. Već iz tabela vidimo da je razlika jako velika ta da se zato radi zaista o enormnom preusmjeravanju sredstava od domaćinstava ka našim dvema mHE. </w:t>
      </w:r>
      <w:r w:rsidR="00805AB8">
        <w:t xml:space="preserve">Da bi sagledali stvarne dimenzije ovog preusmjeravanja izračunali smo sadašnju vrijednost pomenute razlike </w:t>
      </w:r>
      <w:r w:rsidR="002440E6">
        <w:t xml:space="preserve">ekonomskih tokova </w:t>
      </w:r>
      <w:r w:rsidR="00805AB8">
        <w:t xml:space="preserve">i dajemo je u narednom pregledu za svaku od analiziranih varijanti, odnosno scenarija datih u tabelama u dodatku. </w:t>
      </w:r>
    </w:p>
    <w:p w:rsidR="00805AB8" w:rsidRDefault="002440E6" w:rsidP="002440E6">
      <w:pPr>
        <w:spacing w:line="276" w:lineRule="auto"/>
        <w:jc w:val="center"/>
      </w:pPr>
      <w:r w:rsidRPr="002440E6">
        <w:rPr>
          <w:noProof/>
        </w:rPr>
        <w:drawing>
          <wp:inline distT="0" distB="0" distL="0" distR="0">
            <wp:extent cx="5513695" cy="147525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7756" cy="1500425"/>
                    </a:xfrm>
                    <a:prstGeom prst="rect">
                      <a:avLst/>
                    </a:prstGeom>
                    <a:noFill/>
                    <a:ln>
                      <a:noFill/>
                    </a:ln>
                  </pic:spPr>
                </pic:pic>
              </a:graphicData>
            </a:graphic>
          </wp:inline>
        </w:drawing>
      </w:r>
    </w:p>
    <w:p w:rsidR="00A75A26" w:rsidRDefault="002440E6" w:rsidP="00EA184A">
      <w:pPr>
        <w:spacing w:line="276" w:lineRule="auto"/>
        <w:jc w:val="both"/>
      </w:pPr>
      <w:r>
        <w:t xml:space="preserve">Kao što vidimo sadašnja vrijednost preusmjerenog blagostanja potrošača je za sva četiri scenarija vrlo velika. To važi za sve tri primijenjene diskontne stope mada je, prirodno, njena apsolutna vrijednost najveća kod najmanje diskontne stope od 5%. Imajući u vidu da je ova stopa bliska onome što, bez nekih dodatnih troškova i napora, stoji potrošačima na raspolaganju kod oročenih bankarskih depozita možemo tvrditi da rezultati u poslednjoj koloni najbliže opisuju </w:t>
      </w:r>
      <w:r w:rsidR="006B75B6">
        <w:t xml:space="preserve">gubitke potrošaća. Dakle, sadašnja vrijednost gubitaka potrošača se kreće u rasponu od oko 4,2 miliona eura do 6,2 miliona eura. Osim što ima pozitivnu vrijednost, istog je razmjera i dobitak proizvođača po osnovu preusmjeravanja ostvarenog </w:t>
      </w:r>
      <w:r w:rsidR="006B75B6">
        <w:lastRenderedPageBreak/>
        <w:t xml:space="preserve">korišćenjem </w:t>
      </w:r>
      <w:r w:rsidR="002E738D">
        <w:t>ovakvih makaza</w:t>
      </w:r>
      <w:r w:rsidR="006B75B6">
        <w:t xml:space="preserve"> cijena. Naravno, ovdje se radi samo o dimenzijama preusmjeravanja ostvarenog preko proizvodnje dvije mHE koje mi analiziramo, mHE Jara i mHE Babino Polje. </w:t>
      </w:r>
    </w:p>
    <w:p w:rsidR="00A46AAB" w:rsidRDefault="006B75B6" w:rsidP="00A46AAB">
      <w:pPr>
        <w:spacing w:line="276" w:lineRule="auto"/>
        <w:jc w:val="both"/>
      </w:pPr>
      <w:r w:rsidRPr="00110CD7">
        <w:rPr>
          <w:b/>
        </w:rPr>
        <w:t>2.</w:t>
      </w:r>
      <w:r>
        <w:t xml:space="preserve"> Još zanimljiviji je rezultat koji dobijamo kada analiziramo ekonomski tok dobijen eliminisanjem uticaja stimulativnih cijena, tj</w:t>
      </w:r>
      <w:r w:rsidR="007E36AE">
        <w:t>.</w:t>
      </w:r>
      <w:r>
        <w:t>dobijen korišćenjem tržišnih cijena kod projekcija ekonomskog toka</w:t>
      </w:r>
      <w:r w:rsidR="00EC3957">
        <w:t xml:space="preserve"> (red A u tabelama u dodatku ovom odeljku)</w:t>
      </w:r>
      <w:r>
        <w:t xml:space="preserve">. NPV i IRR dobijene upotrebom ovog ekonomskog toka </w:t>
      </w:r>
      <w:r w:rsidR="00EC3957">
        <w:t>nam pokazuju kolika je stvarna ekonomska isplativost projekta mHE. Ovakva analiza takođe služi i kao značajan indikator društvene isplativosti projekta. Rezultati koje smo na ovaj način dobili su više nego indikativni</w:t>
      </w:r>
      <w:r w:rsidR="00A46AAB">
        <w:t xml:space="preserve"> i vode suštinski istim rezultatima bez obzira na diskontnu stopu koju smo primijenili ili na scenarij od kojeg smo pošli. Rezultate za pojedine scenarije dajemo </w:t>
      </w:r>
      <w:r w:rsidR="00EC3957">
        <w:t xml:space="preserve">u narednom pregledu. </w:t>
      </w:r>
    </w:p>
    <w:p w:rsidR="00A46AAB" w:rsidRDefault="000B4B52" w:rsidP="00A46AAB">
      <w:pPr>
        <w:spacing w:line="276" w:lineRule="auto"/>
        <w:jc w:val="center"/>
      </w:pPr>
      <w:r w:rsidRPr="000B4B52">
        <w:rPr>
          <w:noProof/>
        </w:rPr>
        <w:drawing>
          <wp:inline distT="0" distB="0" distL="0" distR="0">
            <wp:extent cx="5581934" cy="133831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0657" cy="1364385"/>
                    </a:xfrm>
                    <a:prstGeom prst="rect">
                      <a:avLst/>
                    </a:prstGeom>
                    <a:noFill/>
                    <a:ln>
                      <a:noFill/>
                    </a:ln>
                  </pic:spPr>
                </pic:pic>
              </a:graphicData>
            </a:graphic>
          </wp:inline>
        </w:drawing>
      </w:r>
    </w:p>
    <w:p w:rsidR="000B4B52" w:rsidRDefault="00A46AAB" w:rsidP="00A46AAB">
      <w:pPr>
        <w:spacing w:line="276" w:lineRule="auto"/>
        <w:jc w:val="both"/>
      </w:pPr>
      <w:r>
        <w:t>Prvo što primjećujemo je da nam IRR ne može biti od pomoći u ocjeni valjanosti projekta jer, osim za drugi scenarij, ni za jedan drugi scenarij nemamo jedinstvenu vrijednost IRR. To je, nema sumnje, posledica n</w:t>
      </w:r>
      <w:r w:rsidR="007E36AE">
        <w:t>e</w:t>
      </w:r>
      <w:r>
        <w:t>običnosti izgleda krive ekonomskog toka nastale usled velikih odliva na svakih osam godina i dodatnog vrlo snažnog odliva u poslednjoj godini. Ovakav oblik krive se najbolje opisuje pol</w:t>
      </w:r>
      <w:r w:rsidR="00183717">
        <w:t>i</w:t>
      </w:r>
      <w:r>
        <w:t>nomom koji ima više nult</w:t>
      </w:r>
      <w:r w:rsidR="007E36AE">
        <w:t>i</w:t>
      </w:r>
      <w:r>
        <w:t>h rješenja, što implicira veći broj rješenja za IRR, tj</w:t>
      </w:r>
      <w:r w:rsidR="007E36AE">
        <w:t>.</w:t>
      </w:r>
      <w:r>
        <w:t xml:space="preserve">veći broj diskontnih stopa za koje je sadašnja vrijednost ekonomskog toka ravna nuli. </w:t>
      </w:r>
      <w:r w:rsidR="003816CB">
        <w:t>Tamo gdje se desilo da imamo jedinstveno rješenje za IRR, drugi scenarij, vidimo da je IRR negativna (-4,19%) što upu</w:t>
      </w:r>
      <w:r w:rsidR="007E36AE">
        <w:t>ć</w:t>
      </w:r>
      <w:r w:rsidR="003816CB">
        <w:t xml:space="preserve">uje na zaključak da je projekat loš. </w:t>
      </w:r>
    </w:p>
    <w:p w:rsidR="003816CB" w:rsidRDefault="003816CB" w:rsidP="00A46AAB">
      <w:pPr>
        <w:spacing w:line="276" w:lineRule="auto"/>
        <w:jc w:val="both"/>
      </w:pPr>
      <w:r>
        <w:t>Da je projekat zaista loš i neizvodljiv b</w:t>
      </w:r>
      <w:r w:rsidR="00EB095B">
        <w:t>ez snažnih subvencija vidi se</w:t>
      </w:r>
      <w:r>
        <w:t xml:space="preserve"> najbolje iz rezultata dobijenih za vrijednost NPV </w:t>
      </w:r>
      <w:r w:rsidR="00C66A40">
        <w:t xml:space="preserve">ekonomskog toka </w:t>
      </w:r>
      <w:r>
        <w:t xml:space="preserve">kod raznih scenarija za različite diskontne stope. Sve vrijednosti NPV koje smo dobili su negativne </w:t>
      </w:r>
      <w:r w:rsidR="005A06F6">
        <w:t>i</w:t>
      </w:r>
      <w:r>
        <w:t xml:space="preserve"> vrlo visoke. Za diskontnu stopu primjenljivu za energetiku </w:t>
      </w:r>
      <w:r w:rsidR="00EB095B">
        <w:t xml:space="preserve">(8%) </w:t>
      </w:r>
      <w:r>
        <w:t>te negativne vrijednosti se kreću od 2,27 miliona do 4,73 miliona eura. U slučaju diskontne stope od 5%, koja ovdje zbog uklanjanja stimulacija u kalkulaciji nije opravdana</w:t>
      </w:r>
      <w:r w:rsidR="005A06F6">
        <w:t xml:space="preserve"> kao ranije</w:t>
      </w:r>
      <w:r>
        <w:t>, negativna vrijed</w:t>
      </w:r>
      <w:r w:rsidR="00EB095B">
        <w:t>nost ekonomskog toka je mjereno</w:t>
      </w:r>
      <w:r>
        <w:t xml:space="preserve"> apsolutnom vrijednošću</w:t>
      </w:r>
      <w:r w:rsidR="00EB095B">
        <w:t xml:space="preserve"> manja nego u druga dva slučaja</w:t>
      </w:r>
      <w:r>
        <w:t xml:space="preserve">. </w:t>
      </w:r>
      <w:r w:rsidR="005A06F6">
        <w:t xml:space="preserve">Ona se u ovom slučaju kreće od 1,33 miliona do 4,77 miliona eura. </w:t>
      </w:r>
    </w:p>
    <w:p w:rsidR="005A06F6" w:rsidRDefault="005A06F6" w:rsidP="00A46AAB">
      <w:pPr>
        <w:spacing w:line="276" w:lineRule="auto"/>
        <w:jc w:val="both"/>
      </w:pPr>
      <w:r>
        <w:t>Prema tome možemo već sada reći da</w:t>
      </w:r>
      <w:r w:rsidR="005135BA">
        <w:t xml:space="preserve"> je</w:t>
      </w:r>
      <w:r>
        <w:t>, ako ne postoje neki dodatni pozitivni tokovi koj</w:t>
      </w:r>
      <w:r w:rsidR="005135BA">
        <w:t xml:space="preserve">e još nijesmo uzeli u obzir, </w:t>
      </w:r>
      <w:r>
        <w:t xml:space="preserve">projekat bez ikakve sumnje loš i da se jedino subvencijama može učiniti održivim. Docnije ćemo videti da </w:t>
      </w:r>
      <w:r w:rsidR="005135BA">
        <w:t xml:space="preserve">zaista ne postoje </w:t>
      </w:r>
      <w:r>
        <w:t xml:space="preserve">dodatni pozitivni nemonetarni tokovi koji bi učinili subvencionisanje projekta opravdanim. </w:t>
      </w:r>
    </w:p>
    <w:p w:rsidR="002440E6" w:rsidRPr="007B0D55" w:rsidRDefault="002440E6" w:rsidP="00A46AAB">
      <w:pPr>
        <w:spacing w:line="276" w:lineRule="auto"/>
        <w:jc w:val="both"/>
      </w:pPr>
    </w:p>
    <w:p w:rsidR="007B0D55" w:rsidRDefault="007B0D55">
      <w:r>
        <w:br w:type="page"/>
      </w:r>
    </w:p>
    <w:p w:rsidR="00F4489B" w:rsidRDefault="00F4489B" w:rsidP="00A10AEC">
      <w:pPr>
        <w:spacing w:line="276" w:lineRule="auto"/>
      </w:pPr>
    </w:p>
    <w:p w:rsidR="007B0D55" w:rsidRDefault="007B0D55" w:rsidP="00A10AEC">
      <w:pPr>
        <w:spacing w:line="276" w:lineRule="auto"/>
      </w:pPr>
    </w:p>
    <w:p w:rsidR="007B0D55" w:rsidRPr="007B0D55" w:rsidRDefault="007B0D55" w:rsidP="00425222">
      <w:pPr>
        <w:spacing w:line="276" w:lineRule="auto"/>
        <w:rPr>
          <w:b/>
          <w:sz w:val="28"/>
          <w:szCs w:val="28"/>
        </w:rPr>
      </w:pPr>
      <w:r>
        <w:rPr>
          <w:b/>
          <w:sz w:val="28"/>
          <w:szCs w:val="28"/>
        </w:rPr>
        <w:t>3.3</w:t>
      </w:r>
      <w:r w:rsidRPr="007B0D55">
        <w:rPr>
          <w:b/>
          <w:sz w:val="28"/>
          <w:szCs w:val="28"/>
        </w:rPr>
        <w:t xml:space="preserve">. </w:t>
      </w:r>
      <w:r w:rsidR="005135BA">
        <w:rPr>
          <w:b/>
          <w:sz w:val="28"/>
          <w:szCs w:val="28"/>
        </w:rPr>
        <w:t>Dobici</w:t>
      </w:r>
      <w:r w:rsidR="00C53370">
        <w:rPr>
          <w:b/>
          <w:sz w:val="28"/>
          <w:szCs w:val="28"/>
        </w:rPr>
        <w:t xml:space="preserve">budžeta </w:t>
      </w:r>
      <w:r w:rsidR="00B842BF">
        <w:rPr>
          <w:b/>
          <w:sz w:val="28"/>
          <w:szCs w:val="28"/>
        </w:rPr>
        <w:t xml:space="preserve">države </w:t>
      </w:r>
    </w:p>
    <w:p w:rsidR="00DE00AE" w:rsidRDefault="00C310C4" w:rsidP="00425222">
      <w:pPr>
        <w:spacing w:line="276" w:lineRule="auto"/>
        <w:jc w:val="both"/>
      </w:pPr>
      <w:r w:rsidRPr="00C310C4">
        <w:rPr>
          <w:b/>
        </w:rPr>
        <w:t>1.</w:t>
      </w:r>
      <w:r w:rsidR="00425222">
        <w:t>Ovdje se radi o budžetskim dobicima kao i o dobicima vezanim za, ugovorom predviđen, povrat mHE u prvobitno stanje nakon 25 godina</w:t>
      </w:r>
      <w:r w:rsidR="00DE00AE">
        <w:t>. Vrijednost koju bi država trebala dobiti transferom mHE u poslednjoj godini ugovora je data u redu H tab</w:t>
      </w:r>
      <w:r w:rsidR="00ED4C04">
        <w:t>e</w:t>
      </w:r>
      <w:r w:rsidR="007E36AE">
        <w:t>l</w:t>
      </w:r>
      <w:r w:rsidR="00DE00AE">
        <w:t>e na kraju odeljka</w:t>
      </w:r>
      <w:r w:rsidR="00425222">
        <w:t xml:space="preserve">. </w:t>
      </w:r>
      <w:r w:rsidR="00DE00AE">
        <w:t xml:space="preserve">Vidimo da nominalna vrijednost ovog dobitka države iz 25 godine iznosi čitavih </w:t>
      </w:r>
      <w:r w:rsidR="00A84FF7">
        <w:t>8,526,000 eura. Sadašnja vrijednost ovog transfera je nažalost daleko manja i kreće se od 988,742 eura, za diskontnu stopu od 9%, do 2,517,751 eura</w:t>
      </w:r>
      <w:r w:rsidR="00975EAC">
        <w:t>, za najni</w:t>
      </w:r>
      <w:r w:rsidR="00975EAC">
        <w:rPr>
          <w:lang w:val="hr-HR"/>
        </w:rPr>
        <w:t xml:space="preserve">žu </w:t>
      </w:r>
      <w:r w:rsidR="00975EAC">
        <w:t>diskontnu stopu od 5%</w:t>
      </w:r>
      <w:r w:rsidR="00A84FF7">
        <w:t xml:space="preserve">. </w:t>
      </w:r>
      <w:r w:rsidR="00975EAC">
        <w:t xml:space="preserve">Pri diskontnoj stopi od 8% koja se primjenjuje za elektroprivredu ostatak vrijednosti je 1,244,949 eura. </w:t>
      </w:r>
    </w:p>
    <w:p w:rsidR="00F4489B" w:rsidRDefault="00C310C4" w:rsidP="00425222">
      <w:pPr>
        <w:spacing w:line="276" w:lineRule="auto"/>
        <w:jc w:val="both"/>
      </w:pPr>
      <w:r w:rsidRPr="00C310C4">
        <w:rPr>
          <w:b/>
        </w:rPr>
        <w:t>2.</w:t>
      </w:r>
      <w:r w:rsidR="00425222">
        <w:t xml:space="preserve">Kada je o budžetskim dobicima riječ imamo u vidu uvećan očekivani tok prihoda budžeta nastao kao rezultat povećane privredne aktivnosti i realno povećane vrijednosti koju usled toga dvije mHE generiraju. Imamo, dakle, u vidu realno povećanje vrijednosti </w:t>
      </w:r>
      <w:r w:rsidR="00B611C1">
        <w:t>i</w:t>
      </w:r>
      <w:r w:rsidR="00425222">
        <w:t xml:space="preserve"> poreskih prihoda</w:t>
      </w:r>
      <w:r w:rsidR="007E36AE">
        <w:t>,</w:t>
      </w:r>
      <w:r w:rsidR="00B611C1">
        <w:t>a ne ono koje nastaje</w:t>
      </w:r>
      <w:r w:rsidR="00425222">
        <w:t xml:space="preserve"> usled </w:t>
      </w:r>
      <w:r w:rsidR="00B611C1">
        <w:t xml:space="preserve">preraspodjele stvorene vrijednosti u ekonomiji. Poreski prilivi koje ovdje imamo u vidu su: </w:t>
      </w:r>
    </w:p>
    <w:p w:rsidR="00B611C1" w:rsidRDefault="00B611C1" w:rsidP="00272C10">
      <w:pPr>
        <w:pStyle w:val="ListParagraph"/>
        <w:numPr>
          <w:ilvl w:val="0"/>
          <w:numId w:val="16"/>
        </w:numPr>
        <w:spacing w:line="276" w:lineRule="auto"/>
        <w:jc w:val="both"/>
      </w:pPr>
      <w:r>
        <w:t>Koncesije koje pripadaju državnom budžetu a koje, prema ugovoru, čine 10% vrijednosti prodate struje</w:t>
      </w:r>
      <w:r w:rsidR="00DE00AE">
        <w:t xml:space="preserve"> (red C u tabelama datim u dodatku ovom odjeljku)</w:t>
      </w:r>
      <w:r>
        <w:t xml:space="preserve">; </w:t>
      </w:r>
    </w:p>
    <w:p w:rsidR="00B611C1" w:rsidRDefault="00B611C1" w:rsidP="00272C10">
      <w:pPr>
        <w:pStyle w:val="ListParagraph"/>
        <w:numPr>
          <w:ilvl w:val="0"/>
          <w:numId w:val="16"/>
        </w:numPr>
        <w:spacing w:line="276" w:lineRule="auto"/>
        <w:jc w:val="both"/>
      </w:pPr>
      <w:r>
        <w:t>Porez na dodatu vrijednost (PDV, VAT) koji je nastao kao rezultat stvarno uvećane vrijednosti proizvodnje usled otvaranja dvije nove mHE</w:t>
      </w:r>
      <w:r w:rsidR="00DE00AE">
        <w:t xml:space="preserve"> (red E tabela u dodatku)</w:t>
      </w:r>
      <w:r>
        <w:t xml:space="preserve">; </w:t>
      </w:r>
    </w:p>
    <w:p w:rsidR="00B611C1" w:rsidRDefault="00B611C1" w:rsidP="00272C10">
      <w:pPr>
        <w:pStyle w:val="ListParagraph"/>
        <w:numPr>
          <w:ilvl w:val="0"/>
          <w:numId w:val="16"/>
        </w:numPr>
        <w:spacing w:line="276" w:lineRule="auto"/>
        <w:jc w:val="both"/>
      </w:pPr>
      <w:r>
        <w:t>Porez na profit koji je, takođe, nastao kao rezultat stvarno uvećane vrijednosti usled otvaranja dvije nove mHE</w:t>
      </w:r>
      <w:r w:rsidR="00DE00AE">
        <w:t xml:space="preserve"> (red F u tabelama)</w:t>
      </w:r>
      <w:r>
        <w:t xml:space="preserve">; </w:t>
      </w:r>
    </w:p>
    <w:p w:rsidR="00B611C1" w:rsidRDefault="00B611C1" w:rsidP="00272C10">
      <w:pPr>
        <w:pStyle w:val="ListParagraph"/>
        <w:numPr>
          <w:ilvl w:val="0"/>
          <w:numId w:val="16"/>
        </w:numPr>
        <w:spacing w:line="276" w:lineRule="auto"/>
        <w:jc w:val="both"/>
      </w:pPr>
      <w:r>
        <w:t>Porez na plate nastao otvaranjem dvije nove mHE i stvarnim porastom vrijednosti do kojeg su one dovele</w:t>
      </w:r>
      <w:r w:rsidR="00DE00AE">
        <w:t xml:space="preserve"> (red G u tabelama)</w:t>
      </w:r>
      <w:r>
        <w:t xml:space="preserve">. </w:t>
      </w:r>
    </w:p>
    <w:p w:rsidR="007B0D55" w:rsidRDefault="0063440B" w:rsidP="00425222">
      <w:pPr>
        <w:spacing w:line="276" w:lineRule="auto"/>
        <w:jc w:val="both"/>
      </w:pPr>
      <w:r>
        <w:t>Porezi i koncesije se, dakle, trebaju računati, a tako smo i mi postupili, polazeći od stvarno a ne od nominalno uvećane vrijednosti. To znači da s</w:t>
      </w:r>
      <w:r w:rsidR="00074510">
        <w:t>mo</w:t>
      </w:r>
      <w:r>
        <w:t xml:space="preserve"> u kalkulacijama moralo poći od podataka koji su očišćeni od uticaja subvencionisanih cijena. Drugim riječima, pošli smo od projekcija odgovarajućih bilansa zasnovanih na tržišnim, odnosno berzanskim cijenama</w:t>
      </w:r>
      <w:r w:rsidR="00074510">
        <w:t xml:space="preserve"> struje</w:t>
      </w:r>
      <w:r>
        <w:t xml:space="preserve">. </w:t>
      </w:r>
      <w:r w:rsidR="00074510">
        <w:t xml:space="preserve">U protivnom bi se desilo da i dio nominalnog prirasta koji nastaje usled pukog transfera vrijednosti tretiramo kao stvarni prirast vrijednosti i na taj način precijenimo doprinos novih elektrana budžetu. </w:t>
      </w:r>
    </w:p>
    <w:p w:rsidR="007B0D55" w:rsidRPr="00C310C4" w:rsidRDefault="00C310C4" w:rsidP="00C310C4">
      <w:pPr>
        <w:spacing w:line="276" w:lineRule="auto"/>
        <w:jc w:val="both"/>
      </w:pPr>
      <w:r w:rsidRPr="00C310C4">
        <w:rPr>
          <w:b/>
        </w:rPr>
        <w:t xml:space="preserve">3. </w:t>
      </w:r>
      <w:r>
        <w:t xml:space="preserve">Kada je o </w:t>
      </w:r>
      <w:r w:rsidRPr="00EC047D">
        <w:rPr>
          <w:b/>
        </w:rPr>
        <w:t>koncesijama koje pripadaju državi</w:t>
      </w:r>
      <w:r>
        <w:t xml:space="preserve"> riječ u narednom pregledu dajemo njegovu sadašnju vrijednost </w:t>
      </w:r>
      <w:r w:rsidR="00475E50">
        <w:t xml:space="preserve">za različite scenarije i varijante. </w:t>
      </w:r>
    </w:p>
    <w:p w:rsidR="007B0D55" w:rsidRDefault="000605DD" w:rsidP="000605DD">
      <w:pPr>
        <w:spacing w:line="276" w:lineRule="auto"/>
        <w:jc w:val="center"/>
      </w:pPr>
      <w:r w:rsidRPr="000605DD">
        <w:rPr>
          <w:noProof/>
        </w:rPr>
        <w:drawing>
          <wp:inline distT="0" distB="0" distL="0" distR="0">
            <wp:extent cx="5561463" cy="1288155"/>
            <wp:effectExtent l="0" t="0" r="127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8101" cy="1340649"/>
                    </a:xfrm>
                    <a:prstGeom prst="rect">
                      <a:avLst/>
                    </a:prstGeom>
                    <a:noFill/>
                    <a:ln>
                      <a:noFill/>
                    </a:ln>
                  </pic:spPr>
                </pic:pic>
              </a:graphicData>
            </a:graphic>
          </wp:inline>
        </w:drawing>
      </w:r>
    </w:p>
    <w:p w:rsidR="00801574" w:rsidRDefault="00801574" w:rsidP="00425222">
      <w:pPr>
        <w:spacing w:line="276" w:lineRule="auto"/>
        <w:jc w:val="both"/>
      </w:pPr>
      <w:r>
        <w:lastRenderedPageBreak/>
        <w:t xml:space="preserve">Očito riječ je o značajnom prilivu čija se NPV kreće od 0,96 miliona do 1,28 miliona eura vrijednosti pri diskontnoj stopi koja je relevantna za elektroprivredu. </w:t>
      </w:r>
      <w:r w:rsidR="00BD5BE7">
        <w:t xml:space="preserve">Za manju diskontnu stopu od oko 5%, koja odgovara onome što je poznato kao country risk, vrijednost NPV je još veća i kreće se od 1,34 miliona do 1,79 miliona eura. </w:t>
      </w:r>
    </w:p>
    <w:p w:rsidR="007B0D55" w:rsidRDefault="00801574" w:rsidP="00425222">
      <w:pPr>
        <w:spacing w:line="276" w:lineRule="auto"/>
        <w:jc w:val="both"/>
      </w:pPr>
      <w:r>
        <w:t>Prosječan godišnji priliv od koncesija</w:t>
      </w:r>
      <w:r w:rsidR="003D353E">
        <w:t xml:space="preserve"> se kao što vidimo kreće u rasponu od oko 104 hiljade do oko 140 hiljada eura, zavisno od nivoa aktivnosti dviju elektrana. Nivo aktivnosti opet zavisi kako od hidroloških prilika tako i od </w:t>
      </w:r>
      <w:r w:rsidR="00BD5BE7">
        <w:t>toga u kojoj mjeri investitor poštuje društvene</w:t>
      </w:r>
      <w:r w:rsidR="00083A17">
        <w:t>obave</w:t>
      </w:r>
      <w:r w:rsidR="003D353E">
        <w:t xml:space="preserve"> prema ostalim korisnicima voda na kojima elektrane zahvataju vodu. </w:t>
      </w:r>
    </w:p>
    <w:p w:rsidR="003D353E" w:rsidRDefault="003D353E" w:rsidP="00425222">
      <w:pPr>
        <w:spacing w:line="276" w:lineRule="auto"/>
        <w:jc w:val="both"/>
      </w:pPr>
      <w:r>
        <w:t xml:space="preserve">Primijetimo da je godišnji nivo koncesija kod bazičnog </w:t>
      </w:r>
      <w:r w:rsidR="00083A17">
        <w:t>“2018” scenarija</w:t>
      </w:r>
      <w:r>
        <w:t>od oko 140 hiljada znatno manji od prosječnog godišnjeg nominalnog, tj</w:t>
      </w:r>
      <w:r w:rsidR="007E36AE">
        <w:t>.</w:t>
      </w:r>
      <w:r>
        <w:t xml:space="preserve">stvarno isplaćenog iznosa koncesija u prvih 12 </w:t>
      </w:r>
      <w:r w:rsidR="00083A17">
        <w:t xml:space="preserve">godina </w:t>
      </w:r>
      <w:r>
        <w:t xml:space="preserve">za koji smo vidjeli da iznosi oko 240 hiljada eura. </w:t>
      </w:r>
      <w:r w:rsidR="00801574">
        <w:t xml:space="preserve">Očito, kao što je već objašnjeno, to je posledica činjenice da smo izolovali i isključili efekat subvencija. </w:t>
      </w:r>
    </w:p>
    <w:p w:rsidR="00475E50" w:rsidRDefault="00F26B58" w:rsidP="00F26B58">
      <w:pPr>
        <w:spacing w:line="276" w:lineRule="auto"/>
        <w:jc w:val="both"/>
      </w:pPr>
      <w:r w:rsidRPr="00F26B58">
        <w:rPr>
          <w:b/>
        </w:rPr>
        <w:t>4.</w:t>
      </w:r>
      <w:r w:rsidR="000605DD" w:rsidRPr="00F26B58">
        <w:rPr>
          <w:b/>
        </w:rPr>
        <w:t xml:space="preserve">Dobici države po osnovu PDV-a </w:t>
      </w:r>
      <w:r w:rsidR="000605DD" w:rsidRPr="000605DD">
        <w:t xml:space="preserve">su dati u narednom pregledu. </w:t>
      </w:r>
    </w:p>
    <w:p w:rsidR="00475E50" w:rsidRDefault="00F26B58" w:rsidP="00F26B58">
      <w:pPr>
        <w:jc w:val="center"/>
      </w:pPr>
      <w:r w:rsidRPr="00F26B58">
        <w:rPr>
          <w:noProof/>
        </w:rPr>
        <w:drawing>
          <wp:inline distT="0" distB="0" distL="0" distR="0">
            <wp:extent cx="5561463" cy="1265719"/>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1492" cy="1318071"/>
                    </a:xfrm>
                    <a:prstGeom prst="rect">
                      <a:avLst/>
                    </a:prstGeom>
                    <a:noFill/>
                    <a:ln>
                      <a:noFill/>
                    </a:ln>
                  </pic:spPr>
                </pic:pic>
              </a:graphicData>
            </a:graphic>
          </wp:inline>
        </w:drawing>
      </w:r>
    </w:p>
    <w:p w:rsidR="000605DD" w:rsidRDefault="00BD5BE7" w:rsidP="00425222">
      <w:pPr>
        <w:spacing w:line="276" w:lineRule="auto"/>
        <w:jc w:val="both"/>
      </w:pPr>
      <w:r>
        <w:t>Za relevantnu diskontnu stopu od 8%, NPV kao što vidimo varira od 1,67 miliona do 2,22 miliona eura. Rije</w:t>
      </w:r>
      <w:r w:rsidR="007E36AE">
        <w:t>č</w:t>
      </w:r>
      <w:r>
        <w:t xml:space="preserve"> je, očito, o značajnoj vrijednosti. Za manju diskontnu stopu od 5%, ta je vrijednost znatno veća i kreće se od 2,3 miliona do 3,1 miliona eura, zavisno od scenarija od kojeg polazimo. </w:t>
      </w:r>
    </w:p>
    <w:p w:rsidR="00BD5BE7" w:rsidRDefault="00BD5BE7" w:rsidP="00425222">
      <w:pPr>
        <w:spacing w:line="276" w:lineRule="auto"/>
        <w:jc w:val="both"/>
      </w:pPr>
      <w:r>
        <w:t xml:space="preserve">S druge strane, prosječan godišnji priliv po ovom osnovu </w:t>
      </w:r>
      <w:r w:rsidR="00110CD7">
        <w:t xml:space="preserve">se kreće u rasponu od oko 182 hiljade do oko 243 hiljade eura zavisno o kojem scenariju je riječ. Riječ je o značajnom prilivu kada se zna da se radi samo o dvije male elektrane. </w:t>
      </w:r>
      <w:r w:rsidR="00FD0239">
        <w:t xml:space="preserve">Ni ovdje, naravno, </w:t>
      </w:r>
      <w:r w:rsidR="008207B8">
        <w:t xml:space="preserve">nijesu uzeti u obzir efekti subvencija tako da su ovdje date vrijednosti manje od nominalnih vrijednosti PDV-a. </w:t>
      </w:r>
    </w:p>
    <w:p w:rsidR="00EC047D" w:rsidRPr="00EC047D" w:rsidRDefault="00EC047D" w:rsidP="00EC047D">
      <w:pPr>
        <w:spacing w:line="276" w:lineRule="auto"/>
        <w:jc w:val="both"/>
      </w:pPr>
      <w:r>
        <w:rPr>
          <w:b/>
        </w:rPr>
        <w:t>5</w:t>
      </w:r>
      <w:r w:rsidRPr="00EC047D">
        <w:rPr>
          <w:b/>
        </w:rPr>
        <w:t xml:space="preserve">. </w:t>
      </w:r>
      <w:r>
        <w:t xml:space="preserve">Dobici države po osnovu </w:t>
      </w:r>
      <w:r w:rsidRPr="00EC047D">
        <w:rPr>
          <w:b/>
        </w:rPr>
        <w:t>poreza na profit</w:t>
      </w:r>
      <w:r>
        <w:t xml:space="preserve"> su prezentirani u narednom prikazu. </w:t>
      </w:r>
    </w:p>
    <w:p w:rsidR="000605DD" w:rsidRDefault="006A2937" w:rsidP="006A2937">
      <w:pPr>
        <w:spacing w:line="276" w:lineRule="auto"/>
        <w:jc w:val="center"/>
      </w:pPr>
      <w:r w:rsidRPr="006A2937">
        <w:rPr>
          <w:noProof/>
        </w:rPr>
        <w:drawing>
          <wp:inline distT="0" distB="0" distL="0" distR="0">
            <wp:extent cx="5561462" cy="1226716"/>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6718" cy="1267579"/>
                    </a:xfrm>
                    <a:prstGeom prst="rect">
                      <a:avLst/>
                    </a:prstGeom>
                    <a:noFill/>
                    <a:ln>
                      <a:noFill/>
                    </a:ln>
                  </pic:spPr>
                </pic:pic>
              </a:graphicData>
            </a:graphic>
          </wp:inline>
        </w:drawing>
      </w:r>
    </w:p>
    <w:p w:rsidR="00EC047D" w:rsidRDefault="008207B8" w:rsidP="00425222">
      <w:pPr>
        <w:spacing w:line="276" w:lineRule="auto"/>
        <w:jc w:val="both"/>
      </w:pPr>
      <w:r>
        <w:t xml:space="preserve">Oni kao što vidimo nijesu tako visoki, što je, s jedne strane, posledica izrazito niskih stopa poreza na dobit u Crnoj Gori (9%) i s druge strane, posljedica činjenice da smo ovdje uzeli u obzir samo realni rast </w:t>
      </w:r>
      <w:r>
        <w:lastRenderedPageBreak/>
        <w:t xml:space="preserve">dobiti. Drugim riječima, prilivi od poreza na dobit su u nominalnom iznosu znatno veći od vrijednosti koje ovdje imamo. </w:t>
      </w:r>
    </w:p>
    <w:p w:rsidR="00EC047D" w:rsidRPr="00EC047D" w:rsidRDefault="00EC047D" w:rsidP="00EC047D">
      <w:pPr>
        <w:spacing w:line="276" w:lineRule="auto"/>
        <w:jc w:val="both"/>
      </w:pPr>
      <w:r>
        <w:rPr>
          <w:b/>
        </w:rPr>
        <w:t>6</w:t>
      </w:r>
      <w:r w:rsidRPr="00EC047D">
        <w:rPr>
          <w:b/>
        </w:rPr>
        <w:t xml:space="preserve">. </w:t>
      </w:r>
      <w:r>
        <w:t xml:space="preserve">Dobici po osnovu </w:t>
      </w:r>
      <w:r w:rsidRPr="00EC047D">
        <w:rPr>
          <w:b/>
        </w:rPr>
        <w:t>poreza na platu</w:t>
      </w:r>
      <w:r>
        <w:t xml:space="preserve"> su takođe značajni što se vidi iz narednog pregleda. </w:t>
      </w:r>
    </w:p>
    <w:p w:rsidR="00475E50" w:rsidRDefault="000B2049" w:rsidP="006A2937">
      <w:pPr>
        <w:spacing w:line="276" w:lineRule="auto"/>
        <w:jc w:val="center"/>
      </w:pPr>
      <w:r w:rsidRPr="000B2049">
        <w:rPr>
          <w:noProof/>
        </w:rPr>
        <w:drawing>
          <wp:inline distT="0" distB="0" distL="0" distR="0">
            <wp:extent cx="5670645" cy="1196848"/>
            <wp:effectExtent l="0" t="0" r="635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7112" cy="1229872"/>
                    </a:xfrm>
                    <a:prstGeom prst="rect">
                      <a:avLst/>
                    </a:prstGeom>
                    <a:noFill/>
                    <a:ln>
                      <a:noFill/>
                    </a:ln>
                  </pic:spPr>
                </pic:pic>
              </a:graphicData>
            </a:graphic>
          </wp:inline>
        </w:drawing>
      </w:r>
    </w:p>
    <w:p w:rsidR="00985CED" w:rsidRDefault="008207B8" w:rsidP="00425222">
      <w:pPr>
        <w:spacing w:line="276" w:lineRule="auto"/>
        <w:jc w:val="both"/>
      </w:pPr>
      <w:r>
        <w:t xml:space="preserve">Porezi na platu su, kao što vidimo, konstantni bez obzira na scenarijo od kojeg polazimo. To je, naravno, posledica pretpostavke o fiksnoj vrijednosti plata od koje smo pošli u ovoj analizi. </w:t>
      </w:r>
    </w:p>
    <w:p w:rsidR="00EC047D" w:rsidRDefault="00F53600" w:rsidP="00425222">
      <w:pPr>
        <w:spacing w:line="276" w:lineRule="auto"/>
        <w:jc w:val="both"/>
      </w:pPr>
      <w:r>
        <w:t>Važno je</w:t>
      </w:r>
      <w:r w:rsidR="00985CED">
        <w:t>, takođe,</w:t>
      </w:r>
      <w:r>
        <w:t xml:space="preserve"> napomenuti da smo u kalkulaciju uzeli u obzir samo poreze na plate</w:t>
      </w:r>
      <w:r w:rsidR="00FC2C16">
        <w:t>,</w:t>
      </w:r>
      <w:r>
        <w:t xml:space="preserve"> a ne i doprinose </w:t>
      </w:r>
      <w:r w:rsidR="00985CED">
        <w:t xml:space="preserve">na plate koji se plaćaju </w:t>
      </w:r>
      <w:r>
        <w:t xml:space="preserve">za razne svrhe. </w:t>
      </w:r>
    </w:p>
    <w:p w:rsidR="00EC047D" w:rsidRPr="005F2A6A" w:rsidRDefault="00EC047D" w:rsidP="00425222">
      <w:pPr>
        <w:spacing w:line="276" w:lineRule="auto"/>
        <w:jc w:val="both"/>
      </w:pPr>
      <w:r w:rsidRPr="005F2A6A">
        <w:rPr>
          <w:b/>
        </w:rPr>
        <w:t xml:space="preserve">7. </w:t>
      </w:r>
      <w:r w:rsidR="005F2A6A">
        <w:t xml:space="preserve">Konačno možemo dati i pregled </w:t>
      </w:r>
      <w:r w:rsidR="005F2A6A" w:rsidRPr="005F2A6A">
        <w:rPr>
          <w:b/>
        </w:rPr>
        <w:t xml:space="preserve">ukupnih dobitaka države </w:t>
      </w:r>
      <w:r w:rsidR="005F2A6A">
        <w:t>po osnovu poreza, koncesija i</w:t>
      </w:r>
      <w:r w:rsidR="00B03FA3">
        <w:t xml:space="preserve"> ostatka</w:t>
      </w:r>
      <w:r w:rsidR="005F2A6A">
        <w:t xml:space="preserve"> vrijednosti mHE nakon 25 godina. </w:t>
      </w:r>
      <w:r w:rsidR="00B03FA3">
        <w:t xml:space="preserve">Dajemo prvo pregled svih poreskih priliva. </w:t>
      </w:r>
    </w:p>
    <w:p w:rsidR="00475E50" w:rsidRDefault="00B03FA3" w:rsidP="000B2049">
      <w:pPr>
        <w:jc w:val="center"/>
      </w:pPr>
      <w:r w:rsidRPr="00B03FA3">
        <w:rPr>
          <w:noProof/>
        </w:rPr>
        <w:drawing>
          <wp:inline distT="0" distB="0" distL="0" distR="0">
            <wp:extent cx="5643349" cy="12252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1568" cy="1270495"/>
                    </a:xfrm>
                    <a:prstGeom prst="rect">
                      <a:avLst/>
                    </a:prstGeom>
                    <a:noFill/>
                    <a:ln>
                      <a:noFill/>
                    </a:ln>
                  </pic:spPr>
                </pic:pic>
              </a:graphicData>
            </a:graphic>
          </wp:inline>
        </w:drawing>
      </w:r>
    </w:p>
    <w:p w:rsidR="005D11CF" w:rsidRDefault="005D11CF" w:rsidP="00B03FA3">
      <w:pPr>
        <w:jc w:val="both"/>
      </w:pPr>
      <w:r>
        <w:t>Kao što vidimo NPV ukupnih poreskih priliva se kreće od 3,05 miliona do 4,15 miliona eura za slučaj kada je diskontna stopa 8%, odnosno kreće se od 4,29 miliona do 5,83 miliona eura</w:t>
      </w:r>
      <w:r w:rsidR="00845C01">
        <w:t>, kada je diskontna stopa na nivou od 5%</w:t>
      </w:r>
      <w:r>
        <w:t>. Slikovitosti radi, možemo konstatovati da je NPV vrijednost poreskih prihoda koje generira</w:t>
      </w:r>
      <w:r w:rsidR="00845C01">
        <w:t>ju dvije mHE veća</w:t>
      </w:r>
      <w:r>
        <w:t xml:space="preserve"> od polovine vrijednosti investicija </w:t>
      </w:r>
      <w:r w:rsidR="00845C01">
        <w:t xml:space="preserve">u dvije elektrane (oko 4,2 miliona eura). Riječ je o zaista značajnom iznosu i, konsekventno, razlogu za dodatni interes države za ovu vrstu biznisa. </w:t>
      </w:r>
    </w:p>
    <w:p w:rsidR="00163BC5" w:rsidRDefault="00845C01" w:rsidP="00B03FA3">
      <w:pPr>
        <w:jc w:val="both"/>
      </w:pPr>
      <w:r>
        <w:t xml:space="preserve">Isto to vidimo i kada posmatramo prosječan godišnji </w:t>
      </w:r>
      <w:r w:rsidR="000737D1">
        <w:t xml:space="preserve">fiskalni </w:t>
      </w:r>
      <w:r>
        <w:t xml:space="preserve">priliv </w:t>
      </w:r>
      <w:r w:rsidR="000737D1">
        <w:t xml:space="preserve">koji generiraju dvije mHE. Taj priliv se kreće od oko 340 hiljada do oko 460 hiljada eura, zavisno od scenarija od kojeg polazimo. Ovome opet treba dodati činjenicu da se ovdje ne radi o nominalnom prilivu, već o prilivu koji je “očišćen” od uticaja subvencija. </w:t>
      </w:r>
      <w:r w:rsidR="00163BC5">
        <w:t>Jedino o</w:t>
      </w:r>
      <w:r w:rsidR="000737D1">
        <w:t xml:space="preserve">vakav postupak je relevantan kada želimo da ocijenimo i izmjerimo uticaj projekta na društveno blagostanje. </w:t>
      </w:r>
    </w:p>
    <w:p w:rsidR="00845C01" w:rsidRDefault="00163BC5" w:rsidP="00B03FA3">
      <w:pPr>
        <w:jc w:val="both"/>
      </w:pPr>
      <w:r>
        <w:t>N</w:t>
      </w:r>
      <w:r w:rsidR="00A86EE9">
        <w:t>ikako</w:t>
      </w:r>
      <w:r>
        <w:t>, međutim,</w:t>
      </w:r>
      <w:r w:rsidR="00A86EE9">
        <w:t xml:space="preserve"> ne smijemo izgubiti iz vida da je</w:t>
      </w:r>
      <w:r>
        <w:t>,</w:t>
      </w:r>
      <w:r w:rsidR="00A86EE9">
        <w:t xml:space="preserve"> zbog subvencija i konsekventnog </w:t>
      </w:r>
      <w:r>
        <w:t xml:space="preserve">preusmjeravanja sredstava, nominalni fiskalni priliv znatno veći od ovdje datog. Otuda je interes Vlade još veći nego što bi se na prvi pogled moglo reći. Vrijednost tog </w:t>
      </w:r>
      <w:r w:rsidR="00F53600">
        <w:t xml:space="preserve">godišnjeg </w:t>
      </w:r>
      <w:r>
        <w:t>nominalnog priliva se kreće od</w:t>
      </w:r>
    </w:p>
    <w:p w:rsidR="00F17CE1" w:rsidRPr="0022570B" w:rsidRDefault="00F53600" w:rsidP="00F53600">
      <w:pPr>
        <w:jc w:val="center"/>
      </w:pPr>
      <w:r w:rsidRPr="00F53600">
        <w:rPr>
          <w:b/>
        </w:rPr>
        <w:t>580</w:t>
      </w:r>
      <w:r>
        <w:rPr>
          <w:b/>
        </w:rPr>
        <w:t>,000</w:t>
      </w:r>
      <w:r w:rsidRPr="0022570B">
        <w:t xml:space="preserve"> do </w:t>
      </w:r>
    </w:p>
    <w:p w:rsidR="00163BC5" w:rsidRPr="0022570B" w:rsidRDefault="00F53600" w:rsidP="00F53600">
      <w:pPr>
        <w:jc w:val="center"/>
      </w:pPr>
      <w:r w:rsidRPr="00F53600">
        <w:rPr>
          <w:b/>
        </w:rPr>
        <w:t>790</w:t>
      </w:r>
      <w:r>
        <w:rPr>
          <w:b/>
        </w:rPr>
        <w:t>,000</w:t>
      </w:r>
      <w:r w:rsidRPr="0022570B">
        <w:t xml:space="preserve"> eura. </w:t>
      </w:r>
    </w:p>
    <w:p w:rsidR="00B13E95" w:rsidRDefault="00B13E95" w:rsidP="00B03FA3">
      <w:pPr>
        <w:jc w:val="both"/>
      </w:pPr>
      <w:r>
        <w:lastRenderedPageBreak/>
        <w:t xml:space="preserve">Ovdje, takođe, treba dodati i transfer dvije mHE nakon 25 godina. </w:t>
      </w:r>
      <w:r w:rsidR="00B03FA3">
        <w:t xml:space="preserve">Već smo ranije vidjeli da se ostatak vrijednosti fiksnih fondova koji preuzima država nakon 25 godina kreće u rasponu od oko 989 hiljada eura do 2,5 miliona eura zavisno od primijenjene diskontne stope. </w:t>
      </w:r>
      <w:r w:rsidR="002F1597">
        <w:t>Varijacije u vrijednostima su kao što vidimo vrlo značajne. Ipak</w:t>
      </w:r>
      <w:r>
        <w:t xml:space="preserve">, čak i ako prihvatimo </w:t>
      </w:r>
      <w:r w:rsidR="002F1597">
        <w:t>znatno manju, tj</w:t>
      </w:r>
      <w:r w:rsidR="00FC2C16">
        <w:t>.</w:t>
      </w:r>
      <w:r>
        <w:t>prvu</w:t>
      </w:r>
      <w:r w:rsidR="00B03FA3">
        <w:t xml:space="preserve"> od dvij</w:t>
      </w:r>
      <w:r>
        <w:t xml:space="preserve">u vrijednosti vidimo da je i po ovom osnovu Vlada mogla biti jako zainteresovana za </w:t>
      </w:r>
      <w:r w:rsidR="002F1597">
        <w:t>jedan ovakav</w:t>
      </w:r>
      <w:r>
        <w:t xml:space="preserve"> projekat</w:t>
      </w:r>
      <w:r w:rsidR="00B03FA3">
        <w:t xml:space="preserve">. </w:t>
      </w:r>
    </w:p>
    <w:p w:rsidR="00F53600" w:rsidRDefault="00F53600" w:rsidP="00B03FA3">
      <w:pPr>
        <w:jc w:val="both"/>
      </w:pPr>
    </w:p>
    <w:p w:rsidR="00F53600" w:rsidRDefault="00F53600" w:rsidP="00B03FA3">
      <w:pPr>
        <w:jc w:val="both"/>
      </w:pPr>
    </w:p>
    <w:p w:rsidR="007B0D55" w:rsidRDefault="007B0D55">
      <w:r>
        <w:br w:type="page"/>
      </w:r>
    </w:p>
    <w:p w:rsidR="007B0D55" w:rsidRDefault="007B0D55" w:rsidP="00A10AEC">
      <w:pPr>
        <w:spacing w:line="276" w:lineRule="auto"/>
      </w:pPr>
    </w:p>
    <w:p w:rsidR="007B0D55" w:rsidRDefault="007B0D55" w:rsidP="00A10AEC">
      <w:pPr>
        <w:spacing w:line="276" w:lineRule="auto"/>
      </w:pPr>
    </w:p>
    <w:p w:rsidR="007B0D55" w:rsidRPr="007B0D55" w:rsidRDefault="007B0D55" w:rsidP="00A10AEC">
      <w:pPr>
        <w:spacing w:line="276" w:lineRule="auto"/>
        <w:rPr>
          <w:b/>
          <w:sz w:val="28"/>
          <w:szCs w:val="28"/>
        </w:rPr>
      </w:pPr>
      <w:r w:rsidRPr="007B0D55">
        <w:rPr>
          <w:b/>
          <w:sz w:val="28"/>
          <w:szCs w:val="28"/>
        </w:rPr>
        <w:t xml:space="preserve">3.4. </w:t>
      </w:r>
      <w:r w:rsidR="00B842BF">
        <w:rPr>
          <w:b/>
          <w:sz w:val="28"/>
          <w:szCs w:val="28"/>
        </w:rPr>
        <w:t>Dobici b</w:t>
      </w:r>
      <w:r w:rsidRPr="007B0D55">
        <w:rPr>
          <w:b/>
          <w:sz w:val="28"/>
          <w:szCs w:val="28"/>
        </w:rPr>
        <w:t>udžet</w:t>
      </w:r>
      <w:r w:rsidR="00B842BF">
        <w:rPr>
          <w:b/>
          <w:sz w:val="28"/>
          <w:szCs w:val="28"/>
        </w:rPr>
        <w:t>a</w:t>
      </w:r>
      <w:r w:rsidRPr="007B0D55">
        <w:rPr>
          <w:b/>
          <w:sz w:val="28"/>
          <w:szCs w:val="28"/>
        </w:rPr>
        <w:t xml:space="preserve"> lokalne samouprave </w:t>
      </w:r>
    </w:p>
    <w:p w:rsidR="007B0D55" w:rsidRDefault="00332F0D" w:rsidP="003528BA">
      <w:pPr>
        <w:spacing w:line="276" w:lineRule="auto"/>
        <w:jc w:val="both"/>
      </w:pPr>
      <w:r>
        <w:rPr>
          <w:b/>
        </w:rPr>
        <w:t xml:space="preserve">1. </w:t>
      </w:r>
      <w:r w:rsidR="003528BA">
        <w:t xml:space="preserve">Ovdje se </w:t>
      </w:r>
      <w:r w:rsidR="001E7632">
        <w:t xml:space="preserve">radi </w:t>
      </w:r>
      <w:r w:rsidR="003528BA">
        <w:t xml:space="preserve">o koncesionoj naknadi u iznosu od 5% od prodaje struje (očišćene od uticaja subvencija) i naknadi za korišćenje voda u iznosu od 0,66% od ukupnog prihoda. </w:t>
      </w:r>
      <w:r w:rsidR="001E7632">
        <w:t>Za pojedine scenarije opisane ranije podaci o prihodima lokalne samouprave su dati u narednom prilogu.</w:t>
      </w:r>
    </w:p>
    <w:p w:rsidR="003528BA" w:rsidRDefault="00BE2E8C" w:rsidP="00BE2E8C">
      <w:pPr>
        <w:spacing w:line="276" w:lineRule="auto"/>
        <w:jc w:val="center"/>
      </w:pPr>
      <w:r w:rsidRPr="00BE2E8C">
        <w:rPr>
          <w:noProof/>
        </w:rPr>
        <w:drawing>
          <wp:inline distT="0" distB="0" distL="0" distR="0">
            <wp:extent cx="5486400" cy="130227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5579" cy="1363798"/>
                    </a:xfrm>
                    <a:prstGeom prst="rect">
                      <a:avLst/>
                    </a:prstGeom>
                    <a:noFill/>
                    <a:ln>
                      <a:noFill/>
                    </a:ln>
                  </pic:spPr>
                </pic:pic>
              </a:graphicData>
            </a:graphic>
          </wp:inline>
        </w:drawing>
      </w:r>
    </w:p>
    <w:p w:rsidR="007B0D55" w:rsidRDefault="00332F0D" w:rsidP="00332F0D">
      <w:pPr>
        <w:spacing w:line="276" w:lineRule="auto"/>
        <w:jc w:val="both"/>
      </w:pPr>
      <w:r>
        <w:t xml:space="preserve">Podaci sami po sebi dovoljno govore pa ih nije potrebno posebno komentarisati. </w:t>
      </w:r>
      <w:r w:rsidR="00745F37">
        <w:t>Iako ne može biti od presudnog značaja za rešavanje ogromnih problema plavkse opštine, g</w:t>
      </w:r>
      <w:r>
        <w:t xml:space="preserve">odišnji priliv od 59,394 do </w:t>
      </w:r>
      <w:r w:rsidR="00745F37">
        <w:t xml:space="preserve">79,192 eura (zavisno od scenarija) za predstavnike lokalne samouprave predstavlja značajnu svotu. Ovo posebno kada se ima u vidu da se ovaj prihod ostvaruje po osnovu rada samo dvije hidroelektrane. </w:t>
      </w:r>
      <w:r w:rsidR="006E250E">
        <w:t xml:space="preserve">Imajući ovo u vidu može se zaključiti da lokalna politokratija može biti značajan akter u podršci ovakvih projekata. </w:t>
      </w:r>
    </w:p>
    <w:p w:rsidR="00332F0D" w:rsidRPr="00332F0D" w:rsidRDefault="00332F0D" w:rsidP="00332F0D">
      <w:pPr>
        <w:spacing w:line="276" w:lineRule="auto"/>
        <w:jc w:val="both"/>
      </w:pPr>
      <w:r>
        <w:rPr>
          <w:b/>
        </w:rPr>
        <w:t xml:space="preserve">2. </w:t>
      </w:r>
      <w:r>
        <w:t xml:space="preserve">Ako sada sumiramo podatke o fiskalnim prihodima države sa prethodno datim podacima o prihodima lokalne samouprave dobijamo podatke o ukupnim javnim prihodima generirane aktivnošću dveju elektrana. Podaci su dati u narednom pregledu. </w:t>
      </w:r>
    </w:p>
    <w:p w:rsidR="007B0D55" w:rsidRDefault="00332F0D" w:rsidP="00332F0D">
      <w:pPr>
        <w:spacing w:line="276" w:lineRule="auto"/>
        <w:jc w:val="center"/>
      </w:pPr>
      <w:r w:rsidRPr="00332F0D">
        <w:rPr>
          <w:noProof/>
        </w:rPr>
        <w:drawing>
          <wp:inline distT="0" distB="0" distL="0" distR="0">
            <wp:extent cx="5513696" cy="122403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1004" cy="1250079"/>
                    </a:xfrm>
                    <a:prstGeom prst="rect">
                      <a:avLst/>
                    </a:prstGeom>
                    <a:noFill/>
                    <a:ln>
                      <a:noFill/>
                    </a:ln>
                  </pic:spPr>
                </pic:pic>
              </a:graphicData>
            </a:graphic>
          </wp:inline>
        </w:drawing>
      </w:r>
    </w:p>
    <w:p w:rsidR="00432863" w:rsidRDefault="006E250E" w:rsidP="00500408">
      <w:pPr>
        <w:spacing w:line="276" w:lineRule="auto"/>
        <w:jc w:val="both"/>
      </w:pPr>
      <w:r>
        <w:t>Ovdje su date i precizno izračunate vrijednosti nominalnih priliva javnih prihoda koje su, sasvim prirodno, znatno veće od vrijednosti godišnjih priliva koje smo računali za potrebe analize uticaja mHE na društveno blagostanje. Kao što vidimo, godišnji prilivi koji su relevantni za bla</w:t>
      </w:r>
      <w:r w:rsidR="00F17CE1">
        <w:t>gostanje se kreću od oko 400 hiljadado oko 540 hiljada</w:t>
      </w:r>
      <w:r>
        <w:t xml:space="preserve"> eura. S druge strane, zahvaljujući preusmjeravanju putem podsticajnih cijena, </w:t>
      </w:r>
      <w:r w:rsidR="00F17CE1">
        <w:t xml:space="preserve">prosječni godišnji </w:t>
      </w:r>
      <w:r>
        <w:t xml:space="preserve">nominalni </w:t>
      </w:r>
      <w:r w:rsidR="00F17CE1">
        <w:t xml:space="preserve">prilivi su znatno veći i variraju od 685 hiljada do 928 hiljada eura. Očito je da ovako visoka vrijednost može snažno motivisati donosioce javnih odluka na favorizovanje razvoja mHE. </w:t>
      </w:r>
    </w:p>
    <w:p w:rsidR="007B0D55" w:rsidRDefault="007B0D55" w:rsidP="00500408">
      <w:pPr>
        <w:spacing w:line="276" w:lineRule="auto"/>
        <w:jc w:val="both"/>
      </w:pPr>
      <w:r>
        <w:br w:type="page"/>
      </w:r>
    </w:p>
    <w:p w:rsidR="007B0D55" w:rsidRDefault="007B0D55" w:rsidP="00A10AEC">
      <w:pPr>
        <w:spacing w:line="276" w:lineRule="auto"/>
      </w:pPr>
    </w:p>
    <w:p w:rsidR="007B0D55" w:rsidRDefault="007B0D55" w:rsidP="00A10AEC">
      <w:pPr>
        <w:spacing w:line="276" w:lineRule="auto"/>
      </w:pPr>
    </w:p>
    <w:p w:rsidR="007B0D55" w:rsidRPr="007B0D55" w:rsidRDefault="007B0D55" w:rsidP="00A10AEC">
      <w:pPr>
        <w:spacing w:line="276" w:lineRule="auto"/>
        <w:rPr>
          <w:b/>
          <w:sz w:val="28"/>
          <w:szCs w:val="28"/>
        </w:rPr>
      </w:pPr>
      <w:r w:rsidRPr="007B0D55">
        <w:rPr>
          <w:b/>
          <w:sz w:val="28"/>
          <w:szCs w:val="28"/>
        </w:rPr>
        <w:t xml:space="preserve">3.5. </w:t>
      </w:r>
      <w:r w:rsidR="00933C65">
        <w:rPr>
          <w:b/>
          <w:sz w:val="28"/>
          <w:szCs w:val="28"/>
        </w:rPr>
        <w:t>Dobici z</w:t>
      </w:r>
      <w:r w:rsidRPr="007B0D55">
        <w:rPr>
          <w:b/>
          <w:sz w:val="28"/>
          <w:szCs w:val="28"/>
        </w:rPr>
        <w:t>aposleni</w:t>
      </w:r>
      <w:r w:rsidR="0053256F">
        <w:rPr>
          <w:b/>
          <w:sz w:val="28"/>
          <w:szCs w:val="28"/>
        </w:rPr>
        <w:t>h</w:t>
      </w:r>
    </w:p>
    <w:p w:rsidR="00567E73" w:rsidRDefault="0053256F" w:rsidP="0053256F">
      <w:pPr>
        <w:spacing w:line="276" w:lineRule="auto"/>
        <w:jc w:val="both"/>
      </w:pPr>
      <w:r>
        <w:t>Iako smo svjesni da je broj zaposlenih koji je kompanija prijavila (20) previsok ipak smo u analizi kao i u dosadašnjim projekcijama prihvatili tu informaciju kao tačnu. Utvrdili smo bruto plate kao odbitnu stavku u projekcijama bilansa uspjeha pa time i u projekcijama tokova gotovine. Potom smo utvrdili vrijednost poreza na</w:t>
      </w:r>
      <w:r w:rsidR="00567E73">
        <w:t xml:space="preserve">plate kao prihod državnog budžeta. Sada se postavlja pitanje neto plata. Kaka vim tretman treba dati. </w:t>
      </w:r>
    </w:p>
    <w:p w:rsidR="00567E73" w:rsidRDefault="00567E73" w:rsidP="0053256F">
      <w:pPr>
        <w:spacing w:line="276" w:lineRule="auto"/>
        <w:jc w:val="both"/>
      </w:pPr>
      <w:r>
        <w:t>Očito je da neto plate predstavljaju dobitke zaposlenih i da zato moraju biti tretirane kao pozitivni dio ukupng društvenog blagostanja. U principu, ispravan bi bio onaj način mjerenja koji polazi od neto plate umanjene za monetarni ekvivalent neugodnosti od rada</w:t>
      </w:r>
      <w:r w:rsidR="008C161B">
        <w:t xml:space="preserve"> (“disutility of work”)</w:t>
      </w:r>
      <w:r>
        <w:t xml:space="preserve">, odnosno od onoga što bi se moglo označiti kao radnikov višak. Nažalost, niti imamo dovoljno podataka niti, i kada bi imali odgovarajuće podatke, imamo adekvatne ekonometrijske modele za takav poduhvat. Upravo zato u našoj računici ćemo poći od ukupne vrijednosti neto plate radnika. Tako ćemo u izvjesnoj mjeri precijeniti vrijednost društvenog blagostanja koje nastojimo utvrditi. To precenjivanjeje, međutim, minorno kada </w:t>
      </w:r>
      <w:r w:rsidR="008C161B">
        <w:t xml:space="preserve">znamo koliko je velika ponuda rada i mali broj radnih mjesta, posebno u nerazvijenoj opštini kakva je Plav. Drugim riječima zbog velike ponude rada “disutility of work” je skoro ravna nuli pa je zato i upotreba neto nadnica kao aproksimacije povećanja blagostanja po osnovu nove zaposlenosti sasvim adekvatna. </w:t>
      </w:r>
    </w:p>
    <w:p w:rsidR="008C161B" w:rsidRDefault="008C161B" w:rsidP="0053256F">
      <w:pPr>
        <w:spacing w:line="276" w:lineRule="auto"/>
        <w:jc w:val="both"/>
      </w:pPr>
      <w:r>
        <w:t xml:space="preserve">U narednom prikazu je data procjena NPV plata i njihova godišnja vrijednost. </w:t>
      </w:r>
    </w:p>
    <w:p w:rsidR="007B0D55" w:rsidRDefault="00A7794A" w:rsidP="008C6430">
      <w:pPr>
        <w:spacing w:line="276" w:lineRule="auto"/>
        <w:jc w:val="center"/>
      </w:pPr>
      <w:r w:rsidRPr="00A7794A">
        <w:rPr>
          <w:noProof/>
        </w:rPr>
        <w:drawing>
          <wp:inline distT="0" distB="0" distL="0" distR="0">
            <wp:extent cx="5636525" cy="1197857"/>
            <wp:effectExtent l="0" t="0" r="254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6265" cy="1227554"/>
                    </a:xfrm>
                    <a:prstGeom prst="rect">
                      <a:avLst/>
                    </a:prstGeom>
                    <a:noFill/>
                    <a:ln>
                      <a:noFill/>
                    </a:ln>
                  </pic:spPr>
                </pic:pic>
              </a:graphicData>
            </a:graphic>
          </wp:inline>
        </w:drawing>
      </w:r>
    </w:p>
    <w:p w:rsidR="007B0D55" w:rsidRDefault="008C6430" w:rsidP="0053256F">
      <w:pPr>
        <w:spacing w:line="276" w:lineRule="auto"/>
        <w:jc w:val="both"/>
      </w:pPr>
      <w:r>
        <w:t>Podaci dovoljno govore i ne zahtijevaju posebnog komentara. Primijetimo samo da je doprinos novo zaposlenih rastu blagostanja slab, što je i razumljivo s obzirom da je energetika, u principu, u ekstremnoj mjeri kapitalno intezivna</w:t>
      </w:r>
      <w:r w:rsidR="002F1597">
        <w:t xml:space="preserve"> djelatnost</w:t>
      </w:r>
      <w:r>
        <w:t>. Dalje, ovaj priliv od oko 100 hiljada eura godišnje je jedva nešto malo veći o</w:t>
      </w:r>
      <w:r w:rsidR="00F10E4F">
        <w:t>d godišnjeg prirasta blagostanja</w:t>
      </w:r>
      <w:r>
        <w:t xml:space="preserve"> koja ide preko fiskalnih prihoda lokalne samouprave. Uz to, vrlo je vjerovatan da od ukupnog broja od 20 zaposlenih jed</w:t>
      </w:r>
      <w:r w:rsidR="002F1597">
        <w:t xml:space="preserve">an značajan broj nije iz Plava, što upućuje na zaključak da lokalna zajednica u cjelini ne može imati neke značajne koristi od projekta mHE. </w:t>
      </w:r>
    </w:p>
    <w:p w:rsidR="007B0D55" w:rsidRDefault="007B0D55" w:rsidP="0053256F">
      <w:pPr>
        <w:spacing w:line="276" w:lineRule="auto"/>
        <w:jc w:val="both"/>
      </w:pPr>
    </w:p>
    <w:p w:rsidR="007B0D55" w:rsidRDefault="007B0D55">
      <w:r>
        <w:br w:type="page"/>
      </w:r>
    </w:p>
    <w:p w:rsidR="007B0D55" w:rsidRDefault="007B0D55" w:rsidP="00A10AEC">
      <w:pPr>
        <w:spacing w:line="276" w:lineRule="auto"/>
      </w:pPr>
    </w:p>
    <w:p w:rsidR="007B0D55" w:rsidRDefault="007B0D55" w:rsidP="00A10AEC">
      <w:pPr>
        <w:spacing w:line="276" w:lineRule="auto"/>
      </w:pPr>
    </w:p>
    <w:p w:rsidR="007B0D55" w:rsidRPr="007A5E07" w:rsidRDefault="007A5E07" w:rsidP="00A10AEC">
      <w:pPr>
        <w:spacing w:line="276" w:lineRule="auto"/>
        <w:rPr>
          <w:b/>
          <w:sz w:val="28"/>
          <w:szCs w:val="28"/>
        </w:rPr>
      </w:pPr>
      <w:r w:rsidRPr="007A5E07">
        <w:rPr>
          <w:b/>
          <w:sz w:val="28"/>
          <w:szCs w:val="28"/>
        </w:rPr>
        <w:t>3.6. Ukupne dr</w:t>
      </w:r>
      <w:r w:rsidR="000C601D">
        <w:rPr>
          <w:b/>
          <w:sz w:val="28"/>
          <w:szCs w:val="28"/>
        </w:rPr>
        <w:t>ušt</w:t>
      </w:r>
      <w:r w:rsidRPr="007A5E07">
        <w:rPr>
          <w:b/>
          <w:sz w:val="28"/>
          <w:szCs w:val="28"/>
        </w:rPr>
        <w:t xml:space="preserve">vene neto koristi projekta </w:t>
      </w:r>
      <w:r w:rsidR="00947011">
        <w:rPr>
          <w:b/>
          <w:sz w:val="28"/>
          <w:szCs w:val="28"/>
        </w:rPr>
        <w:t xml:space="preserve">iz ugla svih stakeholdera </w:t>
      </w:r>
    </w:p>
    <w:p w:rsidR="007B0D55" w:rsidRDefault="005E0259" w:rsidP="005E0259">
      <w:pPr>
        <w:spacing w:line="276" w:lineRule="auto"/>
        <w:jc w:val="both"/>
      </w:pPr>
      <w:r>
        <w:t>Mada smo već na početku kroz analizu i ocjenu ekonomskog toka očišćenog od uticaja subvencija pokazali da je za s</w:t>
      </w:r>
      <w:r w:rsidR="00C17359">
        <w:t>ve simulirane scenarije projekt</w:t>
      </w:r>
      <w:r>
        <w:t xml:space="preserve"> neisplativ i iz perspective investitora i iz perspective društva, ovom potonjem pitanju ćemo posvetiti još pažnje. Prvo ćemo dati poređenje promjena stanja onih direktnih stakeholdera koji su gubitnici sa stanovišta blagostanja sa promjenama stanja onih stakeholdera koji su dobitnici. Potom ćemo konstruisati, projektovati i ocijeniti tok ukupnih društvenih koristi koje projekat generira i na osnovu njega dati odgovarajuće ocjene. </w:t>
      </w:r>
    </w:p>
    <w:p w:rsidR="007B0D55" w:rsidRPr="00C17359" w:rsidRDefault="005E0259" w:rsidP="00C17359">
      <w:pPr>
        <w:spacing w:line="276" w:lineRule="auto"/>
        <w:jc w:val="both"/>
      </w:pPr>
      <w:r w:rsidRPr="005E0259">
        <w:rPr>
          <w:b/>
        </w:rPr>
        <w:t xml:space="preserve">1. </w:t>
      </w:r>
      <w:r w:rsidR="00C17359">
        <w:t xml:space="preserve">Sumiranjem promjena blagostanja svih direktnih stakeholdera (bez direktnih i posrednih investitora) dobijamo neto stanje blagostanja direktnih učesnika u projektu koji nijesu stockholderi. Projektovanjem i diskontovanjem ovako dobijenog toka neto stanja blagostanja dobijamo sadašnju vrijednost (NPV) neto stanja blagostanja direktnih stakeholdera. U narednoj tabeli je data vrijednost NPV neto promjena blagostanja za različite scenarije. </w:t>
      </w:r>
    </w:p>
    <w:p w:rsidR="007A5E07" w:rsidRDefault="005525C5" w:rsidP="005525C5">
      <w:pPr>
        <w:spacing w:line="276" w:lineRule="auto"/>
        <w:jc w:val="center"/>
      </w:pPr>
      <w:r w:rsidRPr="005525C5">
        <w:rPr>
          <w:noProof/>
        </w:rPr>
        <w:drawing>
          <wp:inline distT="0" distB="0" distL="0" distR="0">
            <wp:extent cx="5670645" cy="1158875"/>
            <wp:effectExtent l="0" t="0" r="635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7813" cy="1172602"/>
                    </a:xfrm>
                    <a:prstGeom prst="rect">
                      <a:avLst/>
                    </a:prstGeom>
                    <a:noFill/>
                    <a:ln>
                      <a:noFill/>
                    </a:ln>
                  </pic:spPr>
                </pic:pic>
              </a:graphicData>
            </a:graphic>
          </wp:inline>
        </w:drawing>
      </w:r>
    </w:p>
    <w:p w:rsidR="007A5E07" w:rsidRDefault="005525C5" w:rsidP="00C17359">
      <w:pPr>
        <w:spacing w:line="276" w:lineRule="auto"/>
        <w:jc w:val="both"/>
      </w:pPr>
      <w:r>
        <w:t xml:space="preserve">Obratimo pažnju za početak na prosječnu godišnju vrijednost neto toka blagostanja direktni učesnika. Kao što vidimo u prvih 12 godina je ta vrijednost negativna, što je i očekivano kada se ima u vidu negativan uticaj subvencija. U poslednjih 13 godina je ovaj prosjek sasvim očekivano pozitivan. </w:t>
      </w:r>
    </w:p>
    <w:p w:rsidR="007B0D55" w:rsidRDefault="00881B49" w:rsidP="00C17359">
      <w:pPr>
        <w:spacing w:line="276" w:lineRule="auto"/>
        <w:jc w:val="both"/>
      </w:pPr>
      <w:r>
        <w:t xml:space="preserve">Imajući prethodno u vidu ne treba da čudi da je NPV ovako definisanog toka u cjelini pozitivan i značajan za sve scenarije </w:t>
      </w:r>
      <w:r w:rsidR="00CA7281">
        <w:t>i</w:t>
      </w:r>
      <w:r>
        <w:t xml:space="preserve"> za sve </w:t>
      </w:r>
      <w:r w:rsidR="00CA7281">
        <w:t xml:space="preserve">primijenjene </w:t>
      </w:r>
      <w:r>
        <w:t xml:space="preserve">diskontne stope. </w:t>
      </w:r>
      <w:r w:rsidR="00FE4CC6">
        <w:t xml:space="preserve">Kada, međutim, izračunamo NPV za prvih 12 godina dobijamo da on ima negativnu vrijednost, dok za poslednjih 13 godina ima pozitivnu vrijednost. </w:t>
      </w:r>
      <w:r w:rsidR="00117197">
        <w:t>Pozitivan u</w:t>
      </w:r>
      <w:r w:rsidR="00FE4CC6">
        <w:t>ticaj poslednjih 13 godina ovdje toliko dominira da</w:t>
      </w:r>
      <w:r w:rsidR="00117197">
        <w:t>,</w:t>
      </w:r>
      <w:r w:rsidR="00FE4CC6">
        <w:t xml:space="preserve"> čak </w:t>
      </w:r>
      <w:r w:rsidR="00117197">
        <w:t xml:space="preserve">iza varijantesa visokom diskontnom stopom, ukupan NPV postaje pozitivan. </w:t>
      </w:r>
    </w:p>
    <w:p w:rsidR="00117197" w:rsidRDefault="005525C5" w:rsidP="00C17359">
      <w:pPr>
        <w:spacing w:line="276" w:lineRule="auto"/>
        <w:jc w:val="both"/>
      </w:pPr>
      <w:r>
        <w:rPr>
          <w:b/>
        </w:rPr>
        <w:t>2</w:t>
      </w:r>
      <w:r>
        <w:t xml:space="preserve">. </w:t>
      </w:r>
      <w:r w:rsidR="00881B49">
        <w:t xml:space="preserve">Kada na prethodni način definisanu vrijednost </w:t>
      </w:r>
      <w:r w:rsidR="00B37059">
        <w:t>toka neto dobitaka stakeholdera dodamo</w:t>
      </w:r>
      <w:r w:rsidR="00117197">
        <w:t xml:space="preserve"> vrijednosti ekonomskog toka sa stimulativnim cijenama dobijamo</w:t>
      </w:r>
      <w:r w:rsidR="00B37059">
        <w:t xml:space="preserve"> vrijednosti koju ćemo ovdje označiti kao “društveni tok”.</w:t>
      </w:r>
      <w:r w:rsidR="00117197" w:rsidRPr="00246F24">
        <w:t xml:space="preserve"> Istu vrijednost dobijamo i kada ekonomskom toku očišćenom od uticaja subvencija dodamo</w:t>
      </w:r>
      <w:r w:rsidR="00930633" w:rsidRPr="00246F24">
        <w:t xml:space="preserve"> pozitivne</w:t>
      </w:r>
      <w:r w:rsidR="00117197" w:rsidRPr="00246F24">
        <w:t xml:space="preserve"> dobitke pojedinih stakeholder</w:t>
      </w:r>
      <w:r w:rsidR="00F10E4F" w:rsidRPr="00246F24">
        <w:t>a</w:t>
      </w:r>
      <w:r w:rsidR="00117197" w:rsidRPr="00246F24">
        <w:t>.</w:t>
      </w:r>
      <w:r w:rsidR="00B37059" w:rsidRPr="00246F24">
        <w:t xml:space="preserve"> Projekcije </w:t>
      </w:r>
      <w:r w:rsidR="00117197" w:rsidRPr="00246F24">
        <w:t>“</w:t>
      </w:r>
      <w:r w:rsidR="00B37059" w:rsidRPr="00246F24">
        <w:t>društvenog toka</w:t>
      </w:r>
      <w:r w:rsidR="00117197" w:rsidRPr="00246F24">
        <w:t>”</w:t>
      </w:r>
      <w:r w:rsidR="00B37059" w:rsidRPr="00246F24">
        <w:t xml:space="preserve"> su date u poslednjem </w:t>
      </w:r>
      <w:r w:rsidR="00B37059">
        <w:t xml:space="preserve">redu (red K) projekcija datih u tabelama u dodatku ovog odeljka. Na osnovu njih smo izračunali NPV društvenog toka kao i diskontnu stopu za koju je NPV toga toka jednak nuli. </w:t>
      </w:r>
      <w:r w:rsidR="00930633">
        <w:t xml:space="preserve">Formalno gledano, nebi pogriješili ni da smo ovu stopu nazvali internom stopom rentabiliteta, </w:t>
      </w:r>
      <w:r w:rsidR="00CA7281">
        <w:t>IRR</w:t>
      </w:r>
      <w:r w:rsidR="00930633">
        <w:t>,</w:t>
      </w:r>
      <w:r w:rsidR="00CA7281">
        <w:t xml:space="preserve"> društvenog </w:t>
      </w:r>
      <w:r w:rsidR="00930633">
        <w:t>toka. Nijesmo upotrebili taj termin</w:t>
      </w:r>
      <w:r w:rsidR="00CA7281">
        <w:t xml:space="preserve"> jer se o</w:t>
      </w:r>
      <w:r w:rsidR="00117197">
        <w:t>vdje radi o nečemu što je prilično različito</w:t>
      </w:r>
      <w:r w:rsidR="00102633">
        <w:t>,</w:t>
      </w:r>
      <w:r w:rsidR="00117197">
        <w:t xml:space="preserve"> a i</w:t>
      </w:r>
      <w:r w:rsidR="00CA7281">
        <w:t xml:space="preserve"> složenije od koncepta IRR.</w:t>
      </w:r>
      <w:r w:rsidR="006E7D87">
        <w:t xml:space="preserve"> Ako baš moramo možemo koristiti I termin kvazi-IRR.</w:t>
      </w:r>
      <w:r w:rsidR="00B37059">
        <w:t xml:space="preserve"> Rezultati </w:t>
      </w:r>
      <w:r w:rsidR="00CA7281">
        <w:t xml:space="preserve">analize </w:t>
      </w:r>
      <w:r w:rsidR="00B37059">
        <w:t xml:space="preserve">su dati u narednom pregledu. </w:t>
      </w:r>
    </w:p>
    <w:p w:rsidR="005525C5" w:rsidRPr="005525C5" w:rsidRDefault="005525C5" w:rsidP="005525C5">
      <w:pPr>
        <w:spacing w:line="276" w:lineRule="auto"/>
        <w:jc w:val="center"/>
      </w:pPr>
      <w:r w:rsidRPr="005525C5">
        <w:rPr>
          <w:noProof/>
        </w:rPr>
        <w:lastRenderedPageBreak/>
        <w:drawing>
          <wp:inline distT="0" distB="0" distL="0" distR="0">
            <wp:extent cx="5479576" cy="1213746"/>
            <wp:effectExtent l="0" t="0" r="6985"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4324" cy="1232518"/>
                    </a:xfrm>
                    <a:prstGeom prst="rect">
                      <a:avLst/>
                    </a:prstGeom>
                    <a:noFill/>
                    <a:ln>
                      <a:noFill/>
                    </a:ln>
                  </pic:spPr>
                </pic:pic>
              </a:graphicData>
            </a:graphic>
          </wp:inline>
        </w:drawing>
      </w:r>
    </w:p>
    <w:p w:rsidR="00F4489B" w:rsidRDefault="00AB46A9" w:rsidP="00C17359">
      <w:pPr>
        <w:spacing w:line="276" w:lineRule="auto"/>
        <w:jc w:val="both"/>
      </w:pPr>
      <w:r>
        <w:t>Pre nego prokomentariše</w:t>
      </w:r>
      <w:r w:rsidR="00102633">
        <w:t>m</w:t>
      </w:r>
      <w:r>
        <w:t>o dobijene rezultate č</w:t>
      </w:r>
      <w:r w:rsidR="006B438B">
        <w:t>ini se umjesnim ukazati detaljnije na</w:t>
      </w:r>
      <w:r>
        <w:t>značenje društvenog toka koji smo projektovali u tabelama datim u dodatku</w:t>
      </w:r>
      <w:r w:rsidR="00102633">
        <w:t>,</w:t>
      </w:r>
      <w:r>
        <w:t xml:space="preserve"> a na osnovu kojih smo napravili analizu datu u prethodnoj tabeli. </w:t>
      </w:r>
      <w:r w:rsidR="008F5EB0">
        <w:t>Kada gledamo stranu toka priliva u redu K naših projekcija, primjećujemo da je ovdje, prvo, primicima direktnog investitora i bankara, tj</w:t>
      </w:r>
      <w:r w:rsidR="00102633">
        <w:t>.</w:t>
      </w:r>
      <w:r w:rsidR="008F5EB0">
        <w:t xml:space="preserve">ekonomskom toku, dodata vrijednost svih stvarnih prirasta javnih prihoda i nadnica. Kada bi to bilo sve mogli bi reći da društveni tok predstavlja </w:t>
      </w:r>
      <w:r w:rsidR="00733C76">
        <w:t>dodatu vrijednost koju je generirao projekat. No, to nije sve jer smo ovoj vrijednosti takođe dodali prirast po osnovu realnog PDV-a generiranog projektom</w:t>
      </w:r>
      <w:r w:rsidR="00102633">
        <w:t>,</w:t>
      </w:r>
      <w:r w:rsidR="00733C76">
        <w:t xml:space="preserve"> a takođe i oduzeli vrijednost subvencija po osnovu podsticajnih cijena električne energije. Imajući ovo u vidu možemo zaključiti da društveni tok računat na ovaj način u stvari predstavlja prirast BDP-a generiran projektom dvije mHE. </w:t>
      </w:r>
      <w:r w:rsidR="00EB793B">
        <w:t>Riječ je, dakle, o sumi dobitaka svih stakeholdera, uključujći i investit</w:t>
      </w:r>
      <w:r w:rsidR="00D33C28">
        <w:t>o</w:t>
      </w:r>
      <w:r w:rsidR="00EB793B">
        <w:t>re odnosno stockholdere j</w:t>
      </w:r>
      <w:r w:rsidR="00D33C28">
        <w:t>e</w:t>
      </w:r>
      <w:r w:rsidR="00EB793B">
        <w:t xml:space="preserve"> najvažnije od svih njih. </w:t>
      </w:r>
    </w:p>
    <w:p w:rsidR="00733C76" w:rsidRDefault="00733C76" w:rsidP="00C17359">
      <w:pPr>
        <w:spacing w:line="276" w:lineRule="auto"/>
        <w:jc w:val="both"/>
      </w:pPr>
      <w:r>
        <w:t>Ako posmatramo stranu investicija, vidimo da ona predstavlja samo izdatke privatnog investitora i zajmodavca iz čega sledi nedvos</w:t>
      </w:r>
      <w:r w:rsidR="00D33C28">
        <w:t>m</w:t>
      </w:r>
      <w:r>
        <w:t xml:space="preserve">islen zaključak da nema smisla ovako utvrđenoj vrijednosti </w:t>
      </w:r>
      <w:r w:rsidR="009A502B">
        <w:t xml:space="preserve">privatnih ulaganja </w:t>
      </w:r>
      <w:r w:rsidR="00D97AD9">
        <w:t>suprostaviti</w:t>
      </w:r>
      <w:r>
        <w:t xml:space="preserve"> prinose </w:t>
      </w:r>
      <w:r w:rsidR="009A502B">
        <w:t>koji pripadaju i svim ostalim stakeholderima</w:t>
      </w:r>
      <w:r w:rsidR="00D97AD9">
        <w:t>, što smo mi upravo uradili</w:t>
      </w:r>
      <w:r w:rsidR="009A502B">
        <w:t xml:space="preserve">. </w:t>
      </w:r>
      <w:r w:rsidR="00BE6882">
        <w:t xml:space="preserve">Takav postupak bi vodio precijenjivanjuvrijednosti NPV-a kao i IRR-a. Kada bi nekako bili u stanju utvrditi i sve investicije ostalih stakeholder pa tako utvrđene vrijednosti investicija dodali privatnim investicijama u mHE, onda bi </w:t>
      </w:r>
      <w:r w:rsidR="00D97AD9">
        <w:t xml:space="preserve">se </w:t>
      </w:r>
      <w:r w:rsidR="00BE6882">
        <w:t xml:space="preserve">ovakav postupak </w:t>
      </w:r>
      <w:r w:rsidR="00D97AD9">
        <w:t>mogao opravdati</w:t>
      </w:r>
      <w:r w:rsidR="00D33C28">
        <w:t>,</w:t>
      </w:r>
      <w:r w:rsidR="00D97AD9">
        <w:t xml:space="preserve"> abilo bi i krajnje zanimljivo analizirati rezultate dobijene na ovaj način</w:t>
      </w:r>
      <w:r w:rsidR="00BE6882">
        <w:t>. U tom b</w:t>
      </w:r>
      <w:r w:rsidR="00D97AD9">
        <w:t>i</w:t>
      </w:r>
      <w:r w:rsidR="00BE6882">
        <w:t xml:space="preserve"> smislu posebno bilo važno dodati investicije u lju</w:t>
      </w:r>
      <w:r w:rsidR="00D97AD9">
        <w:t xml:space="preserve">dski </w:t>
      </w:r>
      <w:r w:rsidR="00D33C28">
        <w:t>k</w:t>
      </w:r>
      <w:r w:rsidR="00D97AD9">
        <w:t>apital (obrazovanje, radno</w:t>
      </w:r>
      <w:r w:rsidR="00BE6882">
        <w:t xml:space="preserve"> iskustvo i slično) kao i vrijednost prirodnog kapitala uloženog u ovaj projekat. Kapital obrazovanja</w:t>
      </w:r>
      <w:r w:rsidR="00D97AD9">
        <w:t>,</w:t>
      </w:r>
      <w:r w:rsidR="00BE6882">
        <w:t xml:space="preserve"> koji predstavlja dominantnu stavku </w:t>
      </w:r>
      <w:r w:rsidR="00D97AD9">
        <w:t>ljudskog kapitala, bi se nekako i</w:t>
      </w:r>
      <w:r w:rsidR="00BE6882">
        <w:t xml:space="preserve"> mogao utvrditi. To, međutim, nije slučaj sa prirodnim kapit</w:t>
      </w:r>
      <w:r w:rsidR="00E35098">
        <w:t>alom, posebno imajući u vidu mul</w:t>
      </w:r>
      <w:r w:rsidR="00D97AD9">
        <w:t>tifunkcionalnu prirodu prirodnog kapitala</w:t>
      </w:r>
      <w:r w:rsidR="00EB793B">
        <w:t xml:space="preserve"> i probleme koje bi zbog toga imali kod utvrđivanja oportunitetne vrijednosti prirodnog kapitala. </w:t>
      </w:r>
    </w:p>
    <w:p w:rsidR="009A502B" w:rsidRDefault="00423AAE" w:rsidP="00C17359">
      <w:pPr>
        <w:spacing w:line="276" w:lineRule="auto"/>
        <w:jc w:val="both"/>
      </w:pPr>
      <w:r>
        <w:t xml:space="preserve">I pored svih navedenih ograda mi smo </w:t>
      </w:r>
      <w:r w:rsidR="007C3C90">
        <w:t xml:space="preserve">koristeći raspoložive podatke </w:t>
      </w:r>
      <w:r>
        <w:t xml:space="preserve">napravili mjerenje NPV-a i diskontne </w:t>
      </w:r>
      <w:r w:rsidR="007C3C90">
        <w:t>stope koje</w:t>
      </w:r>
      <w:r>
        <w:t xml:space="preserve"> bi mogli nazvati </w:t>
      </w:r>
      <w:r w:rsidR="007C3C90">
        <w:t xml:space="preserve">kvazi-NPV i </w:t>
      </w:r>
      <w:r>
        <w:t>kvazi-IRR</w:t>
      </w:r>
      <w:r w:rsidR="007C3C90">
        <w:t>. Iako falične, ove vrijednosti nam,kade se uporede sa rezultatima analiz</w:t>
      </w:r>
      <w:r>
        <w:t>e privatne isplativosti projekta</w:t>
      </w:r>
      <w:r w:rsidR="007C3C90">
        <w:t>, mogu</w:t>
      </w:r>
      <w:r>
        <w:t xml:space="preserve"> dati niz </w:t>
      </w:r>
      <w:r w:rsidR="007C3C90">
        <w:t xml:space="preserve">dodatnih </w:t>
      </w:r>
      <w:r>
        <w:t xml:space="preserve">važnih uvida u društvenu isplativost projekta. </w:t>
      </w:r>
      <w:r w:rsidR="007C3C90">
        <w:t xml:space="preserve">Kao što se iz naprijed date tabele vidi NPV društvenog toka varira </w:t>
      </w:r>
      <w:r w:rsidR="00A661E3">
        <w:t xml:space="preserve">od 835nhiljada do 4,340 hiljada eura, za diskontnu stopu od 8%, odnosno od 3,8 miliona do 9,1 miliona eura, kada je diskontna stopa samo 5%. </w:t>
      </w:r>
    </w:p>
    <w:p w:rsidR="002862BF" w:rsidRDefault="00172607" w:rsidP="00C17359">
      <w:pPr>
        <w:spacing w:line="276" w:lineRule="auto"/>
        <w:jc w:val="both"/>
      </w:pPr>
      <w:r>
        <w:t>Mnogo zanimljiviji su rezultati za disk</w:t>
      </w:r>
      <w:r w:rsidR="00D33C28">
        <w:t>o</w:t>
      </w:r>
      <w:r>
        <w:t xml:space="preserve">ntnu stopu za koju je NPV ravno nuli, odnosno </w:t>
      </w:r>
      <w:r w:rsidR="00655904">
        <w:t xml:space="preserve">za </w:t>
      </w:r>
      <w:r>
        <w:t xml:space="preserve">vrijednost kvazi-IRR-a. Vidimo da je ona za “Scenarijo 2018” na nivou od 13,89% dok je IRR za isti scenarijo kod analize privatne isplativosti </w:t>
      </w:r>
      <w:r w:rsidR="0040458B">
        <w:t xml:space="preserve">bazirane na ekonomskom toku </w:t>
      </w:r>
      <w:r>
        <w:t xml:space="preserve">na nivou od 13%. </w:t>
      </w:r>
      <w:r w:rsidR="0040458B">
        <w:t xml:space="preserve">Prirodno je postaviti pitanje kako se to desilo da stopa prinosa na društveni tok bude skoro ista kao ona na ekonomski tok kada znamo da </w:t>
      </w:r>
      <w:r w:rsidR="0040458B">
        <w:lastRenderedPageBreak/>
        <w:t xml:space="preserve">društveni tok sadrži i druge prinose pored prinosa na </w:t>
      </w:r>
      <w:r w:rsidR="008B5C7E">
        <w:t>k</w:t>
      </w:r>
      <w:r w:rsidR="0040458B">
        <w:t xml:space="preserve">apital </w:t>
      </w:r>
      <w:r w:rsidR="00E662CA">
        <w:t xml:space="preserve">(direktnog i banke kao indirektnog) </w:t>
      </w:r>
      <w:r w:rsidR="0040458B">
        <w:t xml:space="preserve">investitora. </w:t>
      </w:r>
    </w:p>
    <w:p w:rsidR="00172607" w:rsidRDefault="002862BF" w:rsidP="00C17359">
      <w:pPr>
        <w:spacing w:line="276" w:lineRule="auto"/>
        <w:jc w:val="both"/>
      </w:pPr>
      <w:r>
        <w:t xml:space="preserve">Slično, kod scenarija gde je proizvodnja manja za 10% kvazi-IRR je 14,21% dok je privatna IRR za isti scenario na nivou od 11%, što je takođe mala razlika imajući u vidu prirodu društvenog toka. Za scenarij kod kojeg je privredna aktivnost manja za 20% od one kod bazičnog scenarija </w:t>
      </w:r>
      <w:r w:rsidR="00BD1137">
        <w:t xml:space="preserve">kvazi-IRR je 10,20%, dok je </w:t>
      </w:r>
      <w:r>
        <w:t>privatna IRR za isti scenarij oko 8%. I ovdje je razlika vrlo mala imajući značenje društvenog toka kako smoga mi mjerili. Konačno</w:t>
      </w:r>
      <w:r w:rsidR="00BD1137">
        <w:t xml:space="preserve">, kvazi-IRR za scenarij kod kojeg je proizvodnja manja za 25% od bazičnog scenarija iznosi 9,22%, dok je privatna IRR za isti scenarij, kao što smo ranije vidjeli, oko 6%. Razlika je opet jako mala imajući u vidu šta sve obuhvata društveni tok. </w:t>
      </w:r>
    </w:p>
    <w:p w:rsidR="0041114F" w:rsidRDefault="00BD1137" w:rsidP="00C17359">
      <w:pPr>
        <w:spacing w:line="276" w:lineRule="auto"/>
        <w:jc w:val="both"/>
      </w:pPr>
      <w:r>
        <w:t>Začuđujuće mala razlika između kvazi-IRR i privatne IRR koju smo upravo konstatovali je rezultat dvije okolno</w:t>
      </w:r>
      <w:r w:rsidR="00276BAD">
        <w:t>sti. Prvo, poš</w:t>
      </w:r>
      <w:r w:rsidR="0041114F">
        <w:t xml:space="preserve">to je elektroprivreda, čak i kada je riječ o malim HE, kapitalno </w:t>
      </w:r>
      <w:r w:rsidR="00D33C28">
        <w:t>i</w:t>
      </w:r>
      <w:r w:rsidR="0041114F">
        <w:t xml:space="preserve">ntezivna djelatnost učešće radnika kao stakeholdera je malo pa je, samim tim, razlika između društvenog i ekonomskog toka manja nego što je to slučaj u drugim djelatnostima. Vidjeli smo već da je ovdje, u stvari, država glavni stakeholder. </w:t>
      </w:r>
    </w:p>
    <w:p w:rsidR="00BD1137" w:rsidRDefault="0041114F" w:rsidP="00C17359">
      <w:pPr>
        <w:spacing w:line="276" w:lineRule="auto"/>
        <w:jc w:val="both"/>
      </w:pPr>
      <w:r>
        <w:t>Drugo čime se po</w:t>
      </w:r>
      <w:r w:rsidR="0019054A">
        <w:t>m</w:t>
      </w:r>
      <w:r>
        <w:t xml:space="preserve">enuti fenomen objašnjava je činjenica da je društvena efikasnost projekta vrlo </w:t>
      </w:r>
      <w:r w:rsidR="0019054A">
        <w:t xml:space="preserve">mala. Kada se, kako i treba računati društvene prinose, iz obračuna prinosa isključe efekti subvencija, tada ni dodavanje pozitivnih uticaja na razne stakeholdere ne može značajno poboljšati unutrašnju stopu prinosa projekta. </w:t>
      </w:r>
    </w:p>
    <w:p w:rsidR="0019054A" w:rsidRDefault="00276BAD" w:rsidP="00C17359">
      <w:pPr>
        <w:spacing w:line="276" w:lineRule="auto"/>
        <w:jc w:val="both"/>
      </w:pPr>
      <w:r>
        <w:t>Posjetimo u tom smisli</w:t>
      </w:r>
      <w:r w:rsidR="0019054A">
        <w:t xml:space="preserve"> i na nalaz sa početka ovog poglavlja prema kojem, kada isključimo efekte subvencija iz ekonomskih tokova, </w:t>
      </w:r>
      <w:r w:rsidR="000C18A2">
        <w:t>dobijamo da je gledano iz privatne perspe</w:t>
      </w:r>
      <w:r w:rsidR="00D33C28">
        <w:t>k</w:t>
      </w:r>
      <w:r w:rsidR="000C18A2">
        <w:t>tive</w:t>
      </w:r>
      <w:r>
        <w:t>, odn</w:t>
      </w:r>
      <w:r w:rsidR="00096374">
        <w:t>osno iz perspe</w:t>
      </w:r>
      <w:r w:rsidR="00D33C28">
        <w:t>k</w:t>
      </w:r>
      <w:r w:rsidR="00096374">
        <w:t>tive stockholdera</w:t>
      </w:r>
      <w:r>
        <w:t>,</w:t>
      </w:r>
      <w:r w:rsidR="000C18A2">
        <w:t xml:space="preserve"> projekat krajnje neisplativ. Detaljnije o ovome smo govorili u odeljku 3.2. </w:t>
      </w:r>
      <w:r w:rsidR="002D6FC0">
        <w:t xml:space="preserve">Tamo smo vidjeli da, kada se iz priliva izoluje uticaj subvencija, NPV postaje negativna za svaki scenarij nezavisno od primijenjene diskontne stope. </w:t>
      </w:r>
      <w:r w:rsidR="00A70815">
        <w:t xml:space="preserve">U stvari, ti bi se nalazi mogli tretirati kao ključni dokaz i privatne i društvene neisplativosti projekta. </w:t>
      </w:r>
    </w:p>
    <w:p w:rsidR="005525C5" w:rsidRDefault="000C18A2" w:rsidP="00C17359">
      <w:pPr>
        <w:spacing w:line="276" w:lineRule="auto"/>
        <w:jc w:val="both"/>
      </w:pPr>
      <w:r>
        <w:t xml:space="preserve">Prema tome, već ova analiza u kojoj smo uključili interese stakeholdera pokazuje da je projekat gledano iz </w:t>
      </w:r>
      <w:r w:rsidR="00276BAD">
        <w:t xml:space="preserve">šire </w:t>
      </w:r>
      <w:r>
        <w:t xml:space="preserve">perspective društva neisplativ. Da bi, međutim, imali pun uvid u društvenu isplativost projekta potrebno je da damo i analizu uticaja projekta na druge privredne djelatnosti te analizu ekoloških efekata projekta, što će biti predmet analize date u sledeća dva poglavlja. </w:t>
      </w:r>
      <w:r w:rsidR="002D6FC0">
        <w:t>No, čak i kada nebi mogli precizno i pouzdano izmjeriti te dodatne uticaje, već bi samo vjerodostojno dokazali njihov negativan (ili čak neutralan)</w:t>
      </w:r>
      <w:r w:rsidR="008473B9">
        <w:t xml:space="preserve"> ukupan</w:t>
      </w:r>
      <w:r w:rsidR="002D6FC0">
        <w:t xml:space="preserve"> uticaj, prethodno date analize i mjerenja bi mogli poslužiti kao dovoljan dokaz društvene neisplativosti projekta. </w:t>
      </w:r>
    </w:p>
    <w:p w:rsidR="00253C22" w:rsidRPr="007B0D55" w:rsidRDefault="00253C22" w:rsidP="00C17359">
      <w:pPr>
        <w:spacing w:line="276" w:lineRule="auto"/>
        <w:jc w:val="both"/>
      </w:pPr>
    </w:p>
    <w:p w:rsidR="00A10AEC" w:rsidRPr="00EE0A07" w:rsidRDefault="00A10AEC" w:rsidP="00A10AEC">
      <w:pPr>
        <w:spacing w:line="276" w:lineRule="auto"/>
        <w:rPr>
          <w:b/>
        </w:rPr>
      </w:pPr>
    </w:p>
    <w:p w:rsidR="00C1620C" w:rsidRPr="00EE0A07" w:rsidRDefault="00C1620C" w:rsidP="004D1F30">
      <w:pPr>
        <w:spacing w:line="276" w:lineRule="auto"/>
        <w:sectPr w:rsidR="00C1620C" w:rsidRPr="00EE0A07">
          <w:pgSz w:w="12240" w:h="15840"/>
          <w:pgMar w:top="1440" w:right="1440" w:bottom="1440" w:left="1440" w:header="720" w:footer="720" w:gutter="0"/>
          <w:cols w:space="720"/>
          <w:docGrid w:linePitch="360"/>
        </w:sectPr>
      </w:pPr>
    </w:p>
    <w:p w:rsidR="00AB6618" w:rsidRDefault="00AB6618" w:rsidP="004D1F30">
      <w:pPr>
        <w:spacing w:line="276" w:lineRule="auto"/>
      </w:pPr>
    </w:p>
    <w:p w:rsidR="00875495" w:rsidRDefault="00875495" w:rsidP="004D1F30">
      <w:pPr>
        <w:spacing w:line="276" w:lineRule="auto"/>
      </w:pPr>
    </w:p>
    <w:p w:rsidR="00875495" w:rsidRDefault="00875495" w:rsidP="004D1F30">
      <w:pPr>
        <w:spacing w:line="276" w:lineRule="auto"/>
      </w:pPr>
    </w:p>
    <w:p w:rsidR="005A04D1" w:rsidRDefault="00B65D56" w:rsidP="004D1F30">
      <w:pPr>
        <w:spacing w:line="276" w:lineRule="auto"/>
      </w:pPr>
      <w:r w:rsidRPr="00B65D56">
        <w:rPr>
          <w:noProof/>
        </w:rPr>
        <w:drawing>
          <wp:inline distT="0" distB="0" distL="0" distR="0">
            <wp:extent cx="8609120" cy="3921617"/>
            <wp:effectExtent l="0" t="0" r="1905"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97314" cy="3961791"/>
                    </a:xfrm>
                    <a:prstGeom prst="rect">
                      <a:avLst/>
                    </a:prstGeom>
                    <a:noFill/>
                    <a:ln>
                      <a:noFill/>
                    </a:ln>
                  </pic:spPr>
                </pic:pic>
              </a:graphicData>
            </a:graphic>
          </wp:inline>
        </w:drawing>
      </w:r>
    </w:p>
    <w:p w:rsidR="005A04D1" w:rsidRDefault="005A04D1" w:rsidP="004D1F30">
      <w:pPr>
        <w:spacing w:line="276" w:lineRule="auto"/>
      </w:pPr>
    </w:p>
    <w:p w:rsidR="005A04D1" w:rsidRDefault="005A04D1" w:rsidP="004D1F30">
      <w:pPr>
        <w:spacing w:line="276" w:lineRule="auto"/>
      </w:pPr>
    </w:p>
    <w:p w:rsidR="005A04D1" w:rsidRDefault="005A04D1" w:rsidP="004D1F30">
      <w:pPr>
        <w:spacing w:line="276" w:lineRule="auto"/>
      </w:pPr>
    </w:p>
    <w:p w:rsidR="005A04D1" w:rsidRDefault="005A04D1" w:rsidP="004D1F30">
      <w:pPr>
        <w:spacing w:line="276" w:lineRule="auto"/>
      </w:pPr>
    </w:p>
    <w:p w:rsidR="005A04D1" w:rsidRDefault="005A04D1" w:rsidP="004D1F30">
      <w:pPr>
        <w:spacing w:line="276" w:lineRule="auto"/>
      </w:pPr>
    </w:p>
    <w:p w:rsidR="005A04D1" w:rsidRDefault="005A04D1" w:rsidP="004D1F30">
      <w:pPr>
        <w:spacing w:line="276" w:lineRule="auto"/>
      </w:pPr>
    </w:p>
    <w:p w:rsidR="005A04D1" w:rsidRDefault="000A3E8E" w:rsidP="004D1F30">
      <w:pPr>
        <w:spacing w:line="276" w:lineRule="auto"/>
      </w:pPr>
      <w:r w:rsidRPr="000A3E8E">
        <w:rPr>
          <w:noProof/>
        </w:rPr>
        <w:drawing>
          <wp:inline distT="0" distB="0" distL="0" distR="0">
            <wp:extent cx="8601938" cy="3953814"/>
            <wp:effectExtent l="0" t="0" r="889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76428" cy="3988053"/>
                    </a:xfrm>
                    <a:prstGeom prst="rect">
                      <a:avLst/>
                    </a:prstGeom>
                    <a:noFill/>
                    <a:ln>
                      <a:noFill/>
                    </a:ln>
                  </pic:spPr>
                </pic:pic>
              </a:graphicData>
            </a:graphic>
          </wp:inline>
        </w:drawing>
      </w:r>
    </w:p>
    <w:p w:rsidR="005A04D1" w:rsidRDefault="005A04D1" w:rsidP="004D1F30">
      <w:pPr>
        <w:spacing w:line="276" w:lineRule="auto"/>
      </w:pPr>
    </w:p>
    <w:p w:rsidR="005A04D1" w:rsidRDefault="005A04D1" w:rsidP="004D1F30">
      <w:pPr>
        <w:spacing w:line="276" w:lineRule="auto"/>
      </w:pPr>
    </w:p>
    <w:p w:rsidR="00FA2817" w:rsidRDefault="00FA2817" w:rsidP="004D1F30">
      <w:pPr>
        <w:spacing w:line="276" w:lineRule="auto"/>
      </w:pPr>
    </w:p>
    <w:p w:rsidR="00FA2817" w:rsidRDefault="00FA2817" w:rsidP="004D1F30">
      <w:pPr>
        <w:spacing w:line="276" w:lineRule="auto"/>
      </w:pPr>
    </w:p>
    <w:p w:rsidR="00FA2817" w:rsidRDefault="00FA2817" w:rsidP="004D1F30">
      <w:pPr>
        <w:spacing w:line="276" w:lineRule="auto"/>
      </w:pPr>
    </w:p>
    <w:p w:rsidR="00FA2817" w:rsidRDefault="00FA2817" w:rsidP="004D1F30">
      <w:pPr>
        <w:spacing w:line="276" w:lineRule="auto"/>
      </w:pPr>
    </w:p>
    <w:p w:rsidR="00FA2817" w:rsidRDefault="00D12F48" w:rsidP="004D1F30">
      <w:pPr>
        <w:spacing w:line="276" w:lineRule="auto"/>
      </w:pPr>
      <w:r w:rsidRPr="00D12F48">
        <w:rPr>
          <w:noProof/>
        </w:rPr>
        <w:drawing>
          <wp:inline distT="0" distB="0" distL="0" distR="0">
            <wp:extent cx="8654603" cy="3902075"/>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31254" cy="3936634"/>
                    </a:xfrm>
                    <a:prstGeom prst="rect">
                      <a:avLst/>
                    </a:prstGeom>
                    <a:noFill/>
                    <a:ln>
                      <a:noFill/>
                    </a:ln>
                  </pic:spPr>
                </pic:pic>
              </a:graphicData>
            </a:graphic>
          </wp:inline>
        </w:drawing>
      </w:r>
    </w:p>
    <w:p w:rsidR="00FA2817" w:rsidRDefault="00FA2817" w:rsidP="004D1F30">
      <w:pPr>
        <w:spacing w:line="276" w:lineRule="auto"/>
      </w:pPr>
    </w:p>
    <w:p w:rsidR="00FA2817" w:rsidRDefault="00FA2817" w:rsidP="004D1F30">
      <w:pPr>
        <w:spacing w:line="276" w:lineRule="auto"/>
      </w:pPr>
    </w:p>
    <w:p w:rsidR="00FA2817" w:rsidRDefault="00FA2817" w:rsidP="004D1F30">
      <w:pPr>
        <w:spacing w:line="276" w:lineRule="auto"/>
      </w:pPr>
    </w:p>
    <w:p w:rsidR="00FA2817" w:rsidRDefault="00FA2817" w:rsidP="004D1F30">
      <w:pPr>
        <w:spacing w:line="276" w:lineRule="auto"/>
      </w:pPr>
    </w:p>
    <w:p w:rsidR="00FA2817" w:rsidRDefault="00FA2817" w:rsidP="004D1F30">
      <w:pPr>
        <w:spacing w:line="276" w:lineRule="auto"/>
      </w:pPr>
    </w:p>
    <w:p w:rsidR="00435716" w:rsidRDefault="00435716" w:rsidP="004D1F30">
      <w:pPr>
        <w:spacing w:line="276" w:lineRule="auto"/>
      </w:pPr>
    </w:p>
    <w:p w:rsidR="00435716" w:rsidRDefault="007578F0" w:rsidP="004D1F30">
      <w:pPr>
        <w:spacing w:line="276" w:lineRule="auto"/>
      </w:pPr>
      <w:r w:rsidRPr="007578F0">
        <w:rPr>
          <w:noProof/>
        </w:rPr>
        <w:drawing>
          <wp:inline distT="0" distB="0" distL="0" distR="0">
            <wp:extent cx="8595916" cy="410192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59304" cy="4132169"/>
                    </a:xfrm>
                    <a:prstGeom prst="rect">
                      <a:avLst/>
                    </a:prstGeom>
                    <a:noFill/>
                    <a:ln>
                      <a:noFill/>
                    </a:ln>
                  </pic:spPr>
                </pic:pic>
              </a:graphicData>
            </a:graphic>
          </wp:inline>
        </w:drawing>
      </w:r>
    </w:p>
    <w:p w:rsidR="005A04D1" w:rsidRDefault="005A04D1" w:rsidP="004D1F30">
      <w:pPr>
        <w:spacing w:line="276" w:lineRule="auto"/>
      </w:pPr>
    </w:p>
    <w:p w:rsidR="007578F0" w:rsidRDefault="007578F0" w:rsidP="004D1F30">
      <w:pPr>
        <w:spacing w:line="276" w:lineRule="auto"/>
      </w:pPr>
    </w:p>
    <w:p w:rsidR="005A04D1" w:rsidRDefault="005A04D1" w:rsidP="004D1F30">
      <w:pPr>
        <w:spacing w:line="276" w:lineRule="auto"/>
        <w:sectPr w:rsidR="005A04D1" w:rsidSect="005A04D1">
          <w:pgSz w:w="15840" w:h="12240" w:orient="landscape"/>
          <w:pgMar w:top="1440" w:right="1440" w:bottom="1440" w:left="1440" w:header="720" w:footer="720" w:gutter="0"/>
          <w:cols w:space="720"/>
          <w:docGrid w:linePitch="360"/>
        </w:sectPr>
      </w:pPr>
    </w:p>
    <w:p w:rsidR="005A04D1" w:rsidRPr="004D1F30" w:rsidRDefault="005A04D1" w:rsidP="004D1F30">
      <w:pPr>
        <w:spacing w:line="276" w:lineRule="auto"/>
      </w:pPr>
    </w:p>
    <w:p w:rsidR="00AB6618" w:rsidRPr="004D1F30" w:rsidRDefault="00AB6618" w:rsidP="004D1F30">
      <w:pPr>
        <w:spacing w:line="276" w:lineRule="auto"/>
      </w:pPr>
    </w:p>
    <w:p w:rsidR="005D34F7" w:rsidRPr="004D1F30" w:rsidRDefault="00D5582C" w:rsidP="004D1F30">
      <w:pPr>
        <w:spacing w:line="276" w:lineRule="auto"/>
        <w:rPr>
          <w:b/>
          <w:sz w:val="28"/>
          <w:szCs w:val="28"/>
        </w:rPr>
      </w:pPr>
      <w:r>
        <w:rPr>
          <w:b/>
          <w:sz w:val="28"/>
          <w:szCs w:val="28"/>
        </w:rPr>
        <w:t>4.</w:t>
      </w:r>
      <w:r w:rsidR="00B842BF">
        <w:rPr>
          <w:b/>
          <w:sz w:val="28"/>
          <w:szCs w:val="28"/>
        </w:rPr>
        <w:t>UTICAJ</w:t>
      </w:r>
      <w:r w:rsidR="009B47EB">
        <w:rPr>
          <w:b/>
          <w:sz w:val="28"/>
          <w:szCs w:val="28"/>
        </w:rPr>
        <w:t xml:space="preserve"> PROJEKATA mHE </w:t>
      </w:r>
      <w:r w:rsidR="00FE4776">
        <w:rPr>
          <w:b/>
          <w:sz w:val="28"/>
          <w:szCs w:val="28"/>
        </w:rPr>
        <w:t xml:space="preserve">NA DRUGE SEKTORE </w:t>
      </w:r>
      <w:r w:rsidR="00D4230B">
        <w:rPr>
          <w:b/>
          <w:sz w:val="28"/>
          <w:szCs w:val="28"/>
        </w:rPr>
        <w:t xml:space="preserve">U LOKALNOJ ZAJEDNICI </w:t>
      </w:r>
    </w:p>
    <w:p w:rsidR="00E6711F" w:rsidRPr="00444799" w:rsidRDefault="00EE0ACA" w:rsidP="00E6711F">
      <w:pPr>
        <w:spacing w:line="276" w:lineRule="auto"/>
        <w:jc w:val="both"/>
        <w:rPr>
          <w:b/>
          <w:sz w:val="28"/>
          <w:szCs w:val="28"/>
        </w:rPr>
      </w:pPr>
      <w:r>
        <w:rPr>
          <w:b/>
          <w:sz w:val="28"/>
          <w:szCs w:val="28"/>
        </w:rPr>
        <w:t xml:space="preserve">4.1. Identifikacija negativnih uticaja </w:t>
      </w:r>
      <w:r w:rsidR="00FE4776">
        <w:rPr>
          <w:b/>
          <w:sz w:val="28"/>
          <w:szCs w:val="28"/>
        </w:rPr>
        <w:t>i</w:t>
      </w:r>
      <w:r>
        <w:rPr>
          <w:b/>
          <w:sz w:val="28"/>
          <w:szCs w:val="28"/>
        </w:rPr>
        <w:t xml:space="preserve"> gubitaka u drugim sektorima</w:t>
      </w:r>
    </w:p>
    <w:p w:rsidR="008677E6" w:rsidRDefault="002815AF" w:rsidP="00E6711F">
      <w:pPr>
        <w:spacing w:line="276" w:lineRule="auto"/>
        <w:jc w:val="both"/>
      </w:pPr>
      <w:r>
        <w:rPr>
          <w:b/>
        </w:rPr>
        <w:t xml:space="preserve">1. </w:t>
      </w:r>
      <w:r w:rsidR="00E6711F">
        <w:t>Uticaj određene nove investicije</w:t>
      </w:r>
      <w:r w:rsidR="00B34ED5">
        <w:t xml:space="preserve"> u nekoj djelatnosti</w:t>
      </w:r>
      <w:r w:rsidR="00E6711F">
        <w:t xml:space="preserve">na ostale djelatnosti može biti </w:t>
      </w:r>
      <w:r w:rsidR="00FE4776">
        <w:t>i</w:t>
      </w:r>
      <w:r w:rsidR="00E6711F">
        <w:t xml:space="preserve"> pozitivan </w:t>
      </w:r>
      <w:r w:rsidR="00FE4776">
        <w:t>i</w:t>
      </w:r>
      <w:r w:rsidR="00E6711F">
        <w:t xml:space="preserve"> negativan. Drugim riječima, iniciranje </w:t>
      </w:r>
      <w:r w:rsidR="00444799">
        <w:t xml:space="preserve">nekog novog bisnisa može dovesti ili do prirasta ili do opadanja dodate vrijednost </w:t>
      </w:r>
      <w:r w:rsidR="00FE4776">
        <w:t>i</w:t>
      </w:r>
      <w:r w:rsidR="00E471D9">
        <w:t xml:space="preserve"> GDP-a drugih</w:t>
      </w:r>
      <w:r w:rsidR="00444799">
        <w:t xml:space="preserve"> djeltnosti. Da bi ocijenili društvenu isplativost date investicije zato moramo uzeti u obzir </w:t>
      </w:r>
      <w:r w:rsidR="00B37DF4">
        <w:t>I</w:t>
      </w:r>
      <w:r w:rsidR="00444799">
        <w:t xml:space="preserve"> ove uticaje prilikom evaluacije novog projekta. Ovo tim prije što ova vrsta efekata može biti </w:t>
      </w:r>
      <w:r w:rsidR="000C6C6F">
        <w:t>vrlo snažna</w:t>
      </w:r>
      <w:r w:rsidR="00D33C28">
        <w:t>,</w:t>
      </w:r>
      <w:r w:rsidR="000C6C6F">
        <w:t xml:space="preserve"> a ne rijetko </w:t>
      </w:r>
      <w:r w:rsidR="0045776D">
        <w:t>i</w:t>
      </w:r>
      <w:r w:rsidR="000C6C6F">
        <w:t xml:space="preserve"> dominantna. Uostalom, putna </w:t>
      </w:r>
      <w:r w:rsidR="00FE4776">
        <w:t>i</w:t>
      </w:r>
      <w:r w:rsidR="000C6C6F">
        <w:t xml:space="preserve"> druga infr</w:t>
      </w:r>
      <w:r w:rsidR="00B34ED5">
        <w:t>astruktura imaju tako snažne pozitivne</w:t>
      </w:r>
      <w:r w:rsidR="000C6C6F">
        <w:t xml:space="preserve"> efekte </w:t>
      </w:r>
      <w:r w:rsidR="00B34ED5">
        <w:t xml:space="preserve">na druge djelatnosti </w:t>
      </w:r>
      <w:r w:rsidR="000C6C6F">
        <w:t xml:space="preserve">da je to jedan od glavnih razloga zbog kojih je njihova društvena organizacija </w:t>
      </w:r>
      <w:r w:rsidR="00E471D9">
        <w:t xml:space="preserve">prepuštena državi kada god to tržište ne može, a najčešće ne može, obaviti. Ista je situacija sa naukom, istraživanjem </w:t>
      </w:r>
      <w:r w:rsidR="001207C9">
        <w:t>i</w:t>
      </w:r>
      <w:r w:rsidR="00E471D9">
        <w:t xml:space="preserve"> razvojem </w:t>
      </w:r>
      <w:r w:rsidR="001207C9">
        <w:t>i</w:t>
      </w:r>
      <w:r w:rsidR="00E471D9">
        <w:t xml:space="preserve"> slično. Primjer</w:t>
      </w:r>
      <w:r w:rsidR="00B34ED5">
        <w:t>i</w:t>
      </w:r>
      <w:r w:rsidR="00E471D9">
        <w:t xml:space="preserve"> negativnih uticaja </w:t>
      </w:r>
      <w:r w:rsidR="00B34ED5">
        <w:t xml:space="preserve">jedne </w:t>
      </w:r>
      <w:r w:rsidR="00E471D9">
        <w:t xml:space="preserve">na druge delatnosti </w:t>
      </w:r>
      <w:r w:rsidR="00B34ED5">
        <w:t>su takođe b</w:t>
      </w:r>
      <w:r w:rsidR="001207C9">
        <w:t>rojni. Do negativnog uticaja mož</w:t>
      </w:r>
      <w:r w:rsidR="00B34ED5">
        <w:t xml:space="preserve">e doći usled konkurentskih odnosa između posmatranih djelatnosti, usled njihovog istovremenog oslanjanja </w:t>
      </w:r>
      <w:r w:rsidR="00DF1179">
        <w:t xml:space="preserve">na neke resurse </w:t>
      </w:r>
      <w:r w:rsidR="001207C9">
        <w:t>i slično. Ipak, najvaž</w:t>
      </w:r>
      <w:r w:rsidR="00DF1179">
        <w:t xml:space="preserve">niji negativni efekat je onaj koji ide preko uticaja na eko sector. Taj je efekat toliko važan da ćemo ga posebno razmatrati u sledećem poglavlju. </w:t>
      </w:r>
    </w:p>
    <w:p w:rsidR="00444799" w:rsidRDefault="00B34ED5" w:rsidP="00E6711F">
      <w:pPr>
        <w:spacing w:line="276" w:lineRule="auto"/>
        <w:jc w:val="both"/>
      </w:pPr>
      <w:r>
        <w:t xml:space="preserve">Ispravna </w:t>
      </w:r>
      <w:r w:rsidR="001207C9">
        <w:t>i</w:t>
      </w:r>
      <w:r>
        <w:t xml:space="preserve"> cjelovita evaluacija društvene isplativosti projekta mora</w:t>
      </w:r>
      <w:r w:rsidR="00DF1179">
        <w:t>, dakle,</w:t>
      </w:r>
      <w:r>
        <w:t xml:space="preserve"> uzeti u obzir </w:t>
      </w:r>
      <w:r w:rsidR="001207C9">
        <w:t>i</w:t>
      </w:r>
      <w:r>
        <w:t xml:space="preserve"> analizu uticaja projekta na druge sektore. U slučaju pozitivnog uticaja</w:t>
      </w:r>
      <w:r w:rsidR="009663C6">
        <w:t>,</w:t>
      </w:r>
      <w:r>
        <w:t xml:space="preserve"> vrijednost ranije analiziranog društvenog toka treba uvećati a u slučaju negativnog uticaja nju treba umanjiti za vrijednost ovih uticaja. </w:t>
      </w:r>
      <w:r w:rsidR="00DF1179">
        <w:t>Sama vrijednost ove vrste efekata se utvrđuje za svaku godinu posmatranog perioda, pa zato ov</w:t>
      </w:r>
      <w:r w:rsidR="00D33C28">
        <w:t>d</w:t>
      </w:r>
      <w:r w:rsidR="00DF1179">
        <w:t xml:space="preserve">je takođe govorimo o tokovima vrijednosti ovih indirektnih efekata. Ti se tokovi utvrđuju tako što se prvo pravi projekcija kretanja BDP-a posmatrane djelatnosti u narednom period pod pretpostavkom da se projekat </w:t>
      </w:r>
      <w:r w:rsidR="00EE3CF6">
        <w:t>koji analiziramo neće preduzeti</w:t>
      </w:r>
      <w:r w:rsidR="00DF1179">
        <w:t xml:space="preserve">. Potom se </w:t>
      </w:r>
      <w:r w:rsidR="00EE3CF6">
        <w:t xml:space="preserve">pravi projekcija koja polazi od pretpostavke da će se projekat realizovati. Konačno, da bi utvrdili tok vrijednosti indirektnog uticaja projekta, od vrijednosti iz projekcije kretanja drugih sektora sa projektom oduzimamo iste takve </w:t>
      </w:r>
      <w:r w:rsidR="009663C6">
        <w:t>vrijednosti projekcija</w:t>
      </w:r>
      <w:r w:rsidR="00EE3CF6">
        <w:t xml:space="preserve"> bez projekta. </w:t>
      </w:r>
      <w:r w:rsidR="009663C6">
        <w:t xml:space="preserve">Rezultat ove </w:t>
      </w:r>
      <w:r w:rsidR="009663C6" w:rsidRPr="007A76D6">
        <w:rPr>
          <w:b/>
          <w:i/>
        </w:rPr>
        <w:t xml:space="preserve">counterfactual analize </w:t>
      </w:r>
      <w:r w:rsidR="009663C6">
        <w:t xml:space="preserve">je neto tok koristi (ili šteta) koju imaju druge djelatnosti od iniciranog projekta. Ovako utvđenu </w:t>
      </w:r>
      <w:r w:rsidR="007A76D6">
        <w:t>vrijednost dodajemo ranije utvrđ</w:t>
      </w:r>
      <w:r w:rsidR="009663C6">
        <w:t xml:space="preserve">enoj projekciji kretanja društvenog toka. </w:t>
      </w:r>
    </w:p>
    <w:p w:rsidR="00A66BD7" w:rsidRDefault="009663C6" w:rsidP="00E6711F">
      <w:pPr>
        <w:spacing w:line="276" w:lineRule="auto"/>
        <w:jc w:val="both"/>
      </w:pPr>
      <w:r>
        <w:t>U konkretnom slučaju, pored ekološkog sektora kao “proizvođača” ekoloških usluga, najvaćniji efekti ove vrste se odnose na</w:t>
      </w:r>
      <w:r w:rsidR="007A76D6">
        <w:t xml:space="preserve"> sektor</w:t>
      </w:r>
      <w:r>
        <w:t xml:space="preserve"> poljoprivrede </w:t>
      </w:r>
      <w:r w:rsidR="007A76D6">
        <w:t>i</w:t>
      </w:r>
      <w:r>
        <w:t xml:space="preserve"> se</w:t>
      </w:r>
      <w:r w:rsidR="00D33C28">
        <w:t>k</w:t>
      </w:r>
      <w:r>
        <w:t>tor turizma. U oba slučaja je rije</w:t>
      </w:r>
      <w:r w:rsidR="00D33C28">
        <w:t>č</w:t>
      </w:r>
      <w:r>
        <w:t xml:space="preserve"> o negativnom efektu. Kada ovo kažemo, mislimo ne samo na trenutne negativne efekte koje ovdje sada imamo, već prije svega na mogućnosti razvoja </w:t>
      </w:r>
      <w:r w:rsidR="007A76D6">
        <w:t>i</w:t>
      </w:r>
      <w:r>
        <w:t xml:space="preserve"> očekivane putanje rasta ovih djelatnosti u narednom</w:t>
      </w:r>
      <w:r w:rsidR="001207C9">
        <w:t xml:space="preserve"> periodu</w:t>
      </w:r>
      <w:r w:rsidR="00357F2B">
        <w:t xml:space="preserve">. Naime, zbog činjenice da se u narednih par godina očekuje završetak deonice auto puta do Andrijevice, kao </w:t>
      </w:r>
      <w:r w:rsidR="001207C9">
        <w:t>i</w:t>
      </w:r>
      <w:r w:rsidR="00357F2B">
        <w:t xml:space="preserve"> zbog kompletiranja drugih regionalnig puteva </w:t>
      </w:r>
      <w:r w:rsidR="001207C9">
        <w:t>i</w:t>
      </w:r>
      <w:r w:rsidR="00357F2B">
        <w:t xml:space="preserve"> drugih infrastrukturnih projekata, za očekivati je da se turizam u ovoj oblasti još dinamičnije počne razvijati upravo u narednih par dekada koje su predmet naše projekcije. Porast broja posjetilaca Plava </w:t>
      </w:r>
      <w:r w:rsidR="00D33C28">
        <w:t>i</w:t>
      </w:r>
      <w:r w:rsidR="00357F2B">
        <w:t xml:space="preserve"> Gusinja </w:t>
      </w:r>
      <w:r w:rsidR="00A66BD7">
        <w:t xml:space="preserve">vodiće nužno porastu tražnje za poljoprivrednim proizvodima, što će voditi </w:t>
      </w:r>
      <w:r w:rsidR="00B37DF4">
        <w:t>I</w:t>
      </w:r>
      <w:r w:rsidR="00A66BD7">
        <w:t xml:space="preserve"> povećanju korišćenja potencijala koje ova obla</w:t>
      </w:r>
      <w:r w:rsidR="007B43FA">
        <w:t xml:space="preserve">st ima za razvoj poljoprivrede. Odnos između poljoprivrede </w:t>
      </w:r>
      <w:r w:rsidR="001207C9">
        <w:t>i</w:t>
      </w:r>
      <w:r w:rsidR="007B43FA">
        <w:t xml:space="preserve"> turizma je, </w:t>
      </w:r>
      <w:r w:rsidR="001207C9">
        <w:t>i</w:t>
      </w:r>
      <w:r w:rsidR="007B43FA">
        <w:t xml:space="preserve"> u ovom dijelu naše države kao </w:t>
      </w:r>
      <w:r w:rsidR="001207C9">
        <w:t>i</w:t>
      </w:r>
      <w:r w:rsidR="007B43FA">
        <w:t xml:space="preserve"> u cijeloj Crnoj Gori uostalom, izrazito komplementaran pa ga zato tako treba </w:t>
      </w:r>
      <w:r w:rsidR="001207C9">
        <w:t>i</w:t>
      </w:r>
      <w:r w:rsidR="007B43FA">
        <w:t xml:space="preserve"> tretirati u ovoj analizi. </w:t>
      </w:r>
    </w:p>
    <w:p w:rsidR="00E471D9" w:rsidRDefault="002815AF" w:rsidP="00E6711F">
      <w:pPr>
        <w:spacing w:line="276" w:lineRule="auto"/>
        <w:jc w:val="both"/>
      </w:pPr>
      <w:r>
        <w:rPr>
          <w:b/>
        </w:rPr>
        <w:lastRenderedPageBreak/>
        <w:t xml:space="preserve">2. </w:t>
      </w:r>
      <w:r w:rsidR="007B43FA">
        <w:t xml:space="preserve">Očekivani dinamičan rast poljoprivrede </w:t>
      </w:r>
      <w:r w:rsidR="00B37DF4">
        <w:t>I</w:t>
      </w:r>
      <w:r w:rsidR="007B43FA">
        <w:t xml:space="preserve"> turizma</w:t>
      </w:r>
      <w:r w:rsidR="00A66BD7">
        <w:t xml:space="preserve">će voditi jačanju konflikta koji </w:t>
      </w:r>
      <w:r w:rsidR="00BB7B67">
        <w:t xml:space="preserve">već sada postoji između razvoja poljoprivrede </w:t>
      </w:r>
      <w:r w:rsidR="00D33C28">
        <w:t xml:space="preserve">I </w:t>
      </w:r>
      <w:r w:rsidR="00BB7B67">
        <w:t xml:space="preserve">turizma, s jedne, </w:t>
      </w:r>
      <w:r w:rsidR="000A64AB">
        <w:t>i</w:t>
      </w:r>
      <w:r w:rsidR="00BB7B67">
        <w:t xml:space="preserve"> razvoja malih hidroelektrana, s druge strane. O tome da je ovaj konflikt interesa već sada snažan svedoče </w:t>
      </w:r>
      <w:r w:rsidR="000A64AB">
        <w:t>i</w:t>
      </w:r>
      <w:r w:rsidR="00BB7B67">
        <w:t xml:space="preserve"> mnogobrojni protesti koje imamo </w:t>
      </w:r>
      <w:r w:rsidR="007B43FA">
        <w:t xml:space="preserve">kako u Plavu tako </w:t>
      </w:r>
      <w:r w:rsidR="000A64AB">
        <w:t>i</w:t>
      </w:r>
      <w:r w:rsidR="00BB7B67">
        <w:t>na sjeveru Crne Gore</w:t>
      </w:r>
      <w:r w:rsidR="007B43FA">
        <w:t xml:space="preserve"> u cjelini</w:t>
      </w:r>
      <w:r w:rsidR="00BB7B67">
        <w:t>. Naravno, nakon skoro de</w:t>
      </w:r>
      <w:r w:rsidR="00D063B2">
        <w:t>k</w:t>
      </w:r>
      <w:r w:rsidR="00BB7B67">
        <w:t xml:space="preserve">ade iskustava sa mHE, ti su konflikti postali mnogo kompleksniji </w:t>
      </w:r>
      <w:r w:rsidR="000A64AB">
        <w:t>i</w:t>
      </w:r>
      <w:r w:rsidR="00BB7B67">
        <w:t xml:space="preserve"> višedimenzionalniji od ovdje opisanog konflikta između “sektora” </w:t>
      </w:r>
      <w:r w:rsidR="000A64AB">
        <w:t>i</w:t>
      </w:r>
      <w:r w:rsidR="00BB7B67">
        <w:t xml:space="preserve"> njihovih</w:t>
      </w:r>
      <w:r w:rsidR="000A64AB">
        <w:t xml:space="preserve"> stakeholdera</w:t>
      </w:r>
      <w:r w:rsidR="00BB7B67">
        <w:t xml:space="preserve"> – mještana, vlasnika mHE, države </w:t>
      </w:r>
      <w:r w:rsidR="00B37DF4">
        <w:t>I</w:t>
      </w:r>
      <w:r w:rsidR="000A64AB">
        <w:t>i</w:t>
      </w:r>
      <w:r w:rsidR="00BB7B67">
        <w:t xml:space="preserve"> lokalne samouprave – ali je njegovo racionalno jezgro locirano ponajviše upravo u toj </w:t>
      </w:r>
      <w:r w:rsidR="007B43FA">
        <w:t xml:space="preserve">“sektorskoj” </w:t>
      </w:r>
      <w:r w:rsidR="00BB7B67">
        <w:t xml:space="preserve">zoni. </w:t>
      </w:r>
    </w:p>
    <w:p w:rsidR="00E471D9" w:rsidRDefault="0049250A" w:rsidP="00E6711F">
      <w:pPr>
        <w:spacing w:line="276" w:lineRule="auto"/>
        <w:jc w:val="both"/>
      </w:pPr>
      <w:r>
        <w:t xml:space="preserve">Kada je </w:t>
      </w:r>
      <w:r w:rsidR="00B43C79">
        <w:t xml:space="preserve">riječ </w:t>
      </w:r>
      <w:r>
        <w:t>o turizmu, kao inicijatoru budućeg rasta</w:t>
      </w:r>
      <w:r w:rsidR="00F5753F">
        <w:t xml:space="preserve"> Plavsk</w:t>
      </w:r>
      <w:r w:rsidR="00BE27C8">
        <w:t>o-</w:t>
      </w:r>
      <w:r w:rsidR="00F5753F">
        <w:t>G</w:t>
      </w:r>
      <w:r w:rsidR="00B43C79">
        <w:t>usinjske oblasti</w:t>
      </w:r>
      <w:r>
        <w:t>,onda treba</w:t>
      </w:r>
      <w:r w:rsidR="00B43C79">
        <w:t xml:space="preserve"> reći da konflikt između mHE </w:t>
      </w:r>
      <w:r w:rsidR="00B76C09">
        <w:t>i</w:t>
      </w:r>
      <w:r w:rsidR="00B43C79">
        <w:t xml:space="preserve"> turizma ovdje posebno proizilazi iz dvije važ</w:t>
      </w:r>
      <w:r w:rsidR="00BD2F76">
        <w:t>ne činjenice</w:t>
      </w:r>
      <w:r w:rsidR="0075702C">
        <w:t>. Iza n</w:t>
      </w:r>
      <w:r w:rsidR="00BD2F76">
        <w:t>jih stoji konflikt oko upotrebe prirodnih resursa.</w:t>
      </w:r>
      <w:r w:rsidR="00B43C79">
        <w:t xml:space="preserve"> Prije svega lokalitet na kojem su locirane mHE je </w:t>
      </w:r>
      <w:r w:rsidR="00BD2F76">
        <w:t>dio nacionalnog parka Prokletije, jedne od najvažnijih, mada ne jedine, turističke atrakcije ove oblasti. I najmanje deva</w:t>
      </w:r>
      <w:r w:rsidR="00EC59BD">
        <w:t>stacije u ovom re</w:t>
      </w:r>
      <w:r w:rsidR="00D063B2">
        <w:t>gi</w:t>
      </w:r>
      <w:r w:rsidR="00EC59BD">
        <w:t>onu mogu vodi</w:t>
      </w:r>
      <w:r w:rsidR="00BD2F76">
        <w:t xml:space="preserve">ti kompromitaciji same ideje razvoja turizma </w:t>
      </w:r>
      <w:r w:rsidR="00B76C09">
        <w:t>i</w:t>
      </w:r>
      <w:r w:rsidR="00BD2F76">
        <w:t xml:space="preserve">na taj način usporiti njegov rast. Drugo, još važnije, u </w:t>
      </w:r>
      <w:r w:rsidR="00EC59BD">
        <w:t xml:space="preserve">samoj </w:t>
      </w:r>
      <w:r w:rsidR="00BD2F76">
        <w:t xml:space="preserve">Mjesnoj </w:t>
      </w:r>
      <w:r w:rsidR="00D063B2">
        <w:t>z</w:t>
      </w:r>
      <w:r w:rsidR="00BD2F76">
        <w:t xml:space="preserve">ajednici Prnjavor gdje su locirane dvije male elektrane nalazi se čitav niz najznačajnijih turističkih sadržaja cijele </w:t>
      </w:r>
      <w:r w:rsidR="00F5753F">
        <w:t>Plavsko-G</w:t>
      </w:r>
      <w:r w:rsidR="00BD2F76">
        <w:t xml:space="preserve">usinjsje </w:t>
      </w:r>
      <w:r w:rsidR="00EC59BD">
        <w:t>oblasti</w:t>
      </w:r>
      <w:r w:rsidR="00BD2F76">
        <w:t>. Usled toga, ekološka oštećenja</w:t>
      </w:r>
      <w:r w:rsidR="002A3475">
        <w:t>, buka</w:t>
      </w:r>
      <w:r w:rsidR="00B76C09">
        <w:t>i</w:t>
      </w:r>
      <w:r w:rsidR="00BD2F76">
        <w:t xml:space="preserve"> drugi efekti </w:t>
      </w:r>
      <w:r w:rsidR="002A3475">
        <w:t xml:space="preserve">mogu značajno smanjiti potencijale za razvoj turizma. </w:t>
      </w:r>
    </w:p>
    <w:p w:rsidR="00D20AA1" w:rsidRDefault="002A3475" w:rsidP="00E6711F">
      <w:pPr>
        <w:spacing w:line="276" w:lineRule="auto"/>
        <w:jc w:val="both"/>
      </w:pPr>
      <w:r>
        <w:t xml:space="preserve">Sličan konflikt u upotrebi prirodnih resursa, u ovom slučaju vode, srećemo </w:t>
      </w:r>
      <w:r w:rsidR="004314EE">
        <w:t>i</w:t>
      </w:r>
      <w:r>
        <w:t xml:space="preserve"> kada posmatramo budući razvoj poljoprivrede </w:t>
      </w:r>
      <w:r w:rsidR="004314EE">
        <w:t>i</w:t>
      </w:r>
      <w:r>
        <w:t xml:space="preserve"> mHE. </w:t>
      </w:r>
      <w:r w:rsidR="00EC59BD">
        <w:t xml:space="preserve">Poznato je da ova oblast ima ne samo solidne pedološke osnove već da, što je poseban kuriozitet s obzirom da pripada planinskoj oblasti, ima </w:t>
      </w:r>
      <w:r w:rsidR="004314EE">
        <w:t>i</w:t>
      </w:r>
      <w:r w:rsidR="00EC59BD">
        <w:t xml:space="preserve"> izrazito zahvalne klimatske uslove </w:t>
      </w:r>
      <w:r w:rsidR="00BF2FC7">
        <w:t xml:space="preserve">koji omogućavaju razvoj poljoprivrednih kultura vrlo širokog klimatskog opsega. Postoje, dakle, relativno jako dobre mogućnosti za razvoj poljoprivrede. </w:t>
      </w:r>
      <w:r w:rsidR="00D20AA1">
        <w:t xml:space="preserve">Tome još više doprinose mnogobrojni potoci </w:t>
      </w:r>
      <w:r w:rsidR="004314EE">
        <w:t>i</w:t>
      </w:r>
      <w:r w:rsidR="00D20AA1">
        <w:t xml:space="preserve"> drugi vodotoci </w:t>
      </w:r>
      <w:r w:rsidR="000838F3">
        <w:t xml:space="preserve">koji se koriste za navodnjavanj ili za lične potrebe domaćinstava. U novonastaloj situaciji se javlja konflikt u upotrebi vode </w:t>
      </w:r>
      <w:r w:rsidR="00B37DF4">
        <w:t>–</w:t>
      </w:r>
      <w:r w:rsidR="000838F3">
        <w:t xml:space="preserve"> za mHE ili za poljoprivredu. Već smo vidjeli da pri planiranom nivou proizvodnje elektrane postaju nerentabilne ne samo sa društvenog već </w:t>
      </w:r>
      <w:r w:rsidR="004314EE">
        <w:t>i</w:t>
      </w:r>
      <w:r w:rsidR="000838F3">
        <w:t xml:space="preserve"> sa privatnog stanovišta. Da bi bile isplative elektrane moraju imati znatno veću proizvodnju od planirane. To dakako znači da </w:t>
      </w:r>
      <w:r w:rsidR="004314EE">
        <w:t>i</w:t>
      </w:r>
      <w:r w:rsidR="000838F3">
        <w:t xml:space="preserve"> zahvatanje vode za potrebe dvije mHE mora biti znatno veće od planiranog (</w:t>
      </w:r>
      <w:r w:rsidR="004314EE">
        <w:t>i</w:t>
      </w:r>
      <w:r w:rsidR="000838F3">
        <w:t xml:space="preserve"> obe</w:t>
      </w:r>
      <w:r w:rsidR="00A86A04">
        <w:t xml:space="preserve">ćanog). Vidjeli smo da ono može biti veće </w:t>
      </w:r>
      <w:r w:rsidR="004314EE">
        <w:t>i</w:t>
      </w:r>
      <w:r w:rsidR="00A86A04">
        <w:t xml:space="preserve"> za čitavu jednu trećinu od planirane. Takođe smo vidjeli da je ukupan prihod dvije mHE u 2018</w:t>
      </w:r>
      <w:r w:rsidR="00D063B2">
        <w:t>.</w:t>
      </w:r>
      <w:r w:rsidR="00A86A04">
        <w:t>bio tak</w:t>
      </w:r>
      <w:r w:rsidR="004314EE">
        <w:t>av da to upravo implicira za čitavu trećinu veće</w:t>
      </w:r>
      <w:r w:rsidR="00A86A04">
        <w:t xml:space="preserve"> zahvatanje vode</w:t>
      </w:r>
      <w:r w:rsidR="004314EE">
        <w:t xml:space="preserve"> od planiranog</w:t>
      </w:r>
      <w:r w:rsidR="00A86A04">
        <w:t xml:space="preserve">. Očito je da već sada imamo snažan konflikt interesa između poljoprivrede </w:t>
      </w:r>
      <w:r w:rsidR="004314EE">
        <w:t>i</w:t>
      </w:r>
      <w:r w:rsidR="00A86A04">
        <w:t xml:space="preserve"> mHE. Taj je konflikt još snažniji kada su loši hidrološki uslovi. </w:t>
      </w:r>
    </w:p>
    <w:p w:rsidR="002A3475" w:rsidRDefault="00BF2FC7" w:rsidP="00E6711F">
      <w:pPr>
        <w:spacing w:line="276" w:lineRule="auto"/>
        <w:jc w:val="both"/>
      </w:pPr>
      <w:r>
        <w:t xml:space="preserve">Dalje, od najstarijih vremena se vode rječica </w:t>
      </w:r>
      <w:r w:rsidR="008716AC">
        <w:t>i</w:t>
      </w:r>
      <w:r>
        <w:t xml:space="preserve"> mnogobrojnih drugih vodotoka u ovoj oblasti koriste za zalivanje </w:t>
      </w:r>
      <w:r w:rsidR="00761FCD">
        <w:t xml:space="preserve">obradivih </w:t>
      </w:r>
      <w:r>
        <w:t xml:space="preserve">poljoprivrednih </w:t>
      </w:r>
      <w:r w:rsidR="00761FCD">
        <w:t xml:space="preserve">površina, za lične potrebe mještana </w:t>
      </w:r>
      <w:r w:rsidR="008716AC">
        <w:t>i</w:t>
      </w:r>
      <w:r w:rsidR="00761FCD">
        <w:t xml:space="preserve"> za napajanje stoke. Redosled, način </w:t>
      </w:r>
      <w:r w:rsidR="008716AC">
        <w:t>i</w:t>
      </w:r>
      <w:r w:rsidR="00761FCD">
        <w:t xml:space="preserve"> pravila zahvatanja vode za navodnjavanje su već vjekovima regulisani običajnim pravom. Običajno pravo je starije pa se</w:t>
      </w:r>
      <w:r w:rsidR="00D20AA1">
        <w:t xml:space="preserve"> zato</w:t>
      </w:r>
      <w:r w:rsidR="00761FCD">
        <w:t xml:space="preserve"> treba tretirati </w:t>
      </w:r>
      <w:r w:rsidR="008716AC">
        <w:t>i</w:t>
      </w:r>
      <w:r w:rsidR="00761FCD">
        <w:t xml:space="preserve"> najvažnijim u regulisanju upotrebe resursa.</w:t>
      </w:r>
      <w:r w:rsidR="00696714">
        <w:rPr>
          <w:rStyle w:val="FootnoteReference"/>
        </w:rPr>
        <w:footnoteReference w:id="12"/>
      </w:r>
      <w:r w:rsidR="00D20AA1">
        <w:t xml:space="preserve"> Građanski Zakonik Crne Gore koji je uradio Valtazar Bogišić se upravo oslanjao na običajno pravo koje je zatekao kada je došao u Crnu Goru.</w:t>
      </w:r>
      <w:r w:rsidR="009A1407">
        <w:t xml:space="preserve">I posle drugog svjetskog rata nove vlasti su za sve ono što nijesu regulisali novim zakonima odlučili da se reguliše starim zakonom Valtazara Bogišića. </w:t>
      </w:r>
      <w:r w:rsidR="00761FCD">
        <w:t>Običajno pravo definiše</w:t>
      </w:r>
      <w:r w:rsidR="00D20AA1">
        <w:t xml:space="preserve"> de fakto</w:t>
      </w:r>
      <w:r w:rsidR="008716AC">
        <w:t>i</w:t>
      </w:r>
      <w:r w:rsidR="00761FCD">
        <w:t xml:space="preserve"> “vlasničko” pravo nad vodama. P</w:t>
      </w:r>
      <w:r w:rsidR="00D20AA1">
        <w:t>rvenstvo u pravu</w:t>
      </w:r>
      <w:r w:rsidR="00761FCD">
        <w:t xml:space="preserve"> plodouživanja vjekovima pripada mještanima uz ove vodotoke. </w:t>
      </w:r>
      <w:r w:rsidR="009A1407">
        <w:t xml:space="preserve">Takva situacija je svuda na sjeveru Crne Gore </w:t>
      </w:r>
      <w:r w:rsidR="008716AC">
        <w:t>i</w:t>
      </w:r>
      <w:r w:rsidR="009A1407">
        <w:t xml:space="preserve"> to dakako nije crnogorska </w:t>
      </w:r>
      <w:r w:rsidR="009A1407">
        <w:lastRenderedPageBreak/>
        <w:t xml:space="preserve">specijalnost već je svjetska tekovina. I to važi bez obzira što ovo pravo “vlasništva” nije unijeto u katastre. Ali gle čuda, naša Vlada nije našla za potrebno da konsultuje vlasnike ovog prava ili da zahtijeva od investitora da po ovom pitanju postigne nagodbu sa njima. Naša ministrica je samo konstatovala da </w:t>
      </w:r>
      <w:r w:rsidR="00696714">
        <w:t xml:space="preserve">su </w:t>
      </w:r>
      <w:r w:rsidR="009A1407">
        <w:t>“</w:t>
      </w:r>
      <w:r w:rsidR="00696714">
        <w:t>…</w:t>
      </w:r>
      <w:r w:rsidR="008716AC">
        <w:t>eto</w:t>
      </w:r>
      <w:r w:rsidR="009A1407">
        <w:t>ti ljudi navikli da koriste vodu za napajanje</w:t>
      </w:r>
      <w:r w:rsidR="00525FDD">
        <w:t>stoke, zalivanje</w:t>
      </w:r>
      <w:r w:rsidR="009A1407">
        <w:t xml:space="preserve"> zemlje </w:t>
      </w:r>
      <w:r w:rsidR="008716AC">
        <w:t>i</w:t>
      </w:r>
      <w:r w:rsidR="009A1407">
        <w:t xml:space="preserve"> za svoje potrebe”. </w:t>
      </w:r>
      <w:r w:rsidR="006773F0">
        <w:t>Valjda joj je čudo da nju ni</w:t>
      </w:r>
      <w:r w:rsidR="00A231FA">
        <w:t>je</w:t>
      </w:r>
      <w:r w:rsidR="002815AF">
        <w:t>su pitali dali imaju pravo da koriste vodu</w:t>
      </w:r>
      <w:r w:rsidR="006773F0">
        <w:t xml:space="preserve">. </w:t>
      </w:r>
      <w:r w:rsidR="006773F0" w:rsidRPr="006773F0">
        <w:rPr>
          <w:i/>
        </w:rPr>
        <w:t>O tempora o mores</w:t>
      </w:r>
      <w:r w:rsidR="006773F0">
        <w:t xml:space="preserve">. </w:t>
      </w:r>
    </w:p>
    <w:p w:rsidR="003C372D" w:rsidRDefault="002815AF" w:rsidP="00E6711F">
      <w:pPr>
        <w:spacing w:line="276" w:lineRule="auto"/>
        <w:jc w:val="both"/>
      </w:pPr>
      <w:r>
        <w:t xml:space="preserve">Zahvaljujući ovakvom pristupu Vlade Crne Gore, ne samo da je otvoren konflikt između raznih djelatnosti </w:t>
      </w:r>
      <w:r w:rsidR="008716AC">
        <w:t>i</w:t>
      </w:r>
      <w:r>
        <w:t xml:space="preserve"> njihovih stakeholder</w:t>
      </w:r>
      <w:r w:rsidR="008716AC">
        <w:t>a</w:t>
      </w:r>
      <w:r>
        <w:t xml:space="preserve">, već je </w:t>
      </w:r>
      <w:r w:rsidR="00B11DAB">
        <w:t xml:space="preserve">u samoj gradnji dvije mHE </w:t>
      </w:r>
      <w:r>
        <w:t xml:space="preserve">došlo </w:t>
      </w:r>
      <w:r w:rsidR="00B11DAB">
        <w:t xml:space="preserve">do devastacije nekih resursa važnih za poljoprivredu </w:t>
      </w:r>
      <w:r w:rsidR="008716AC">
        <w:t>i</w:t>
      </w:r>
      <w:r w:rsidR="00B11DAB">
        <w:t xml:space="preserve"> blagostanje domaćinstava. O većini njih ćemo detaljnije govoriti u narednom poglavlju. Ovdje je važno ukazati na činjenicu da je teško oštećen </w:t>
      </w:r>
      <w:r w:rsidR="008716AC">
        <w:t>jaz za</w:t>
      </w:r>
      <w:r w:rsidR="00B11DAB">
        <w:t xml:space="preserve"> navodnjavanje okolnih imanja dug nekih 20 kilometara. </w:t>
      </w:r>
      <w:r w:rsidR="00EE0ACA">
        <w:t xml:space="preserve">Kreće se od Bogaića do Plavske rijeke. Elektrana Jara već sada prekida Jaz na par mjesta a očekuje se da planirana mHE u M. Z. Meteh ispresijeca Jaz na dodatnih 20 mjesta. </w:t>
      </w:r>
      <w:r w:rsidR="00B11DAB">
        <w:t>Ovaj jaz se, inače, smatra najdužim jazom u Evropi napravljen</w:t>
      </w:r>
      <w:r w:rsidR="008716AC">
        <w:t>im</w:t>
      </w:r>
      <w:r w:rsidR="00B11DAB">
        <w:t xml:space="preserve"> za svrhe navodnjavanja na tradicionalan način. On, kao takav, predstavlja </w:t>
      </w:r>
      <w:r w:rsidR="008716AC">
        <w:t>i</w:t>
      </w:r>
      <w:r w:rsidR="00B11DAB">
        <w:t xml:space="preserve"> turističku atrakciju. N</w:t>
      </w:r>
      <w:r w:rsidR="001F3065">
        <w:t xml:space="preserve">jegovo oštećenje bi posebno moglo imati negativnog efekta na dalji razvoj </w:t>
      </w:r>
      <w:r w:rsidR="008716AC">
        <w:t>i</w:t>
      </w:r>
      <w:r w:rsidR="001F3065">
        <w:t xml:space="preserve"> rast poljoprivredne proizvodnje. </w:t>
      </w:r>
    </w:p>
    <w:p w:rsidR="009B145B" w:rsidRDefault="00E2033E" w:rsidP="007A76D6">
      <w:pPr>
        <w:spacing w:line="276" w:lineRule="auto"/>
        <w:jc w:val="both"/>
      </w:pPr>
      <w:r>
        <w:rPr>
          <w:b/>
        </w:rPr>
        <w:t>3</w:t>
      </w:r>
      <w:r w:rsidR="007A76D6" w:rsidRPr="007A76D6">
        <w:rPr>
          <w:b/>
        </w:rPr>
        <w:t>.</w:t>
      </w:r>
      <w:r w:rsidR="007A76D6">
        <w:t xml:space="preserve"> O</w:t>
      </w:r>
      <w:r w:rsidR="009B145B">
        <w:t xml:space="preserve">čigledno je da se efekti koje razmatramo ne kreću izvan okvira Plavsko-Gusinjske oblasti. </w:t>
      </w:r>
      <w:r w:rsidR="00F5753F">
        <w:t xml:space="preserve">Riječ je dakle o lokalnim efektima. Naš pokušaj mjerenja tih efekata će se zato fokusirati na moguće efekte u ovoj oblasti. Šta više, vrlo je dobro a </w:t>
      </w:r>
      <w:r w:rsidR="007A76D6">
        <w:t>i</w:t>
      </w:r>
      <w:r w:rsidR="00F5753F">
        <w:t xml:space="preserve"> potrebno fokusirati se dalje u još ve</w:t>
      </w:r>
      <w:r w:rsidR="007A76D6">
        <w:t>ćoj mjeri na M. Z. Prnjavor u ko</w:t>
      </w:r>
      <w:r w:rsidR="00F5753F">
        <w:t xml:space="preserve">joj su </w:t>
      </w:r>
      <w:r w:rsidR="007A76D6">
        <w:t>i</w:t>
      </w:r>
      <w:r w:rsidR="00F5753F">
        <w:t xml:space="preserve"> locirane dvije elektrane. Vidjećemo da </w:t>
      </w:r>
      <w:r w:rsidR="007A76D6">
        <w:t>su ovdje locirani i</w:t>
      </w:r>
      <w:r w:rsidR="00F5753F">
        <w:t xml:space="preserve"> važni poljoprivredni </w:t>
      </w:r>
      <w:r w:rsidR="007A76D6">
        <w:t>i</w:t>
      </w:r>
      <w:r w:rsidR="00F5753F">
        <w:t xml:space="preserve"> turistički kapaciteti što je vrlo dobro jer olakš</w:t>
      </w:r>
      <w:r w:rsidR="00126C9F">
        <w:t>ava mjerenje prethodno analiziranih</w:t>
      </w:r>
      <w:r w:rsidR="00F5753F">
        <w:t xml:space="preserve"> efekata. </w:t>
      </w:r>
    </w:p>
    <w:p w:rsidR="000B6EDE" w:rsidRDefault="00126C9F" w:rsidP="00834695">
      <w:pPr>
        <w:jc w:val="both"/>
      </w:pPr>
      <w:r>
        <w:t xml:space="preserve">Nažalost, ono što otežava kvantifikaciju ovih eksternih efekata je činjenica da na ovako visokom nivou dezagregiranja ima vrlo malo podataka koji bi omogućili da primjenimo neki pouzdaniji </w:t>
      </w:r>
      <w:r w:rsidR="00F121C4">
        <w:t>i precizniji matematički ili ekonometrijski</w:t>
      </w:r>
      <w:r>
        <w:t xml:space="preserve"> modela mjerenja. Bićemo zato prinuđeni da se držimo pojednostavljenog pristupa</w:t>
      </w:r>
      <w:r w:rsidR="00C95CEC">
        <w:t xml:space="preserve"> mjerenja</w:t>
      </w:r>
      <w:r>
        <w:t xml:space="preserve"> zasnovanog često na</w:t>
      </w:r>
      <w:r w:rsidR="00C95CEC">
        <w:t xml:space="preserve">procjeni podataka koja polazi od dosta </w:t>
      </w:r>
      <w:r w:rsidR="00DE3630">
        <w:t>“</w:t>
      </w:r>
      <w:r w:rsidR="00C95CEC">
        <w:t>hrabrih</w:t>
      </w:r>
      <w:r w:rsidR="00DE3630">
        <w:t>”</w:t>
      </w:r>
      <w:r w:rsidR="00C95CEC">
        <w:t xml:space="preserve"> pretpostavki. Mnoge procjene od kojih ćemo poći su zasnovane na podacima datim u dodatku ovom odeljku. </w:t>
      </w:r>
      <w:r w:rsidR="00DE3630">
        <w:t xml:space="preserve">Da bi mjerenje bilo što vjerodostojnije potrudićemo se da naše pretpostavke budu </w:t>
      </w:r>
      <w:r w:rsidR="00F121C4">
        <w:t>i</w:t>
      </w:r>
      <w:r w:rsidR="00DE3630">
        <w:t xml:space="preserve"> što “konzervativnije” </w:t>
      </w:r>
      <w:r w:rsidR="00834695">
        <w:t xml:space="preserve">na način koji garantuje da nećemo precijeniti apsolutnu vrijednost negativnih efekata. </w:t>
      </w:r>
    </w:p>
    <w:p w:rsidR="00C95CEC" w:rsidRDefault="00834695" w:rsidP="00834695">
      <w:pPr>
        <w:jc w:val="both"/>
      </w:pPr>
      <w:r>
        <w:t xml:space="preserve">Imajući </w:t>
      </w:r>
      <w:r w:rsidR="000B6EDE">
        <w:t>uz sve ovo</w:t>
      </w:r>
      <w:r>
        <w:t xml:space="preserve"> u vidu</w:t>
      </w:r>
      <w:r w:rsidR="000B6EDE">
        <w:t>, prvo,</w:t>
      </w:r>
      <w:r>
        <w:t xml:space="preserve"> činjenicu da su razmatranja u prethodnom poglavlju pokazala da se projekat ne isplati ni sa stanovišta </w:t>
      </w:r>
      <w:r w:rsidR="000B6EDE">
        <w:t xml:space="preserve">stockholder (investitora </w:t>
      </w:r>
      <w:r w:rsidR="00F121C4">
        <w:t>i</w:t>
      </w:r>
      <w:r w:rsidR="000B6EDE">
        <w:t xml:space="preserve"> banke)</w:t>
      </w:r>
      <w:r>
        <w:t xml:space="preserve"> a ni sa stanovišta </w:t>
      </w:r>
      <w:r w:rsidR="000B6EDE">
        <w:t xml:space="preserve">ostalih </w:t>
      </w:r>
      <w:r w:rsidR="00F121C4">
        <w:t>stakeholdera</w:t>
      </w:r>
      <w:r w:rsidR="000B6EDE">
        <w:t xml:space="preserve">(državni trezor, lokalna samouprava, zaposleni) </w:t>
      </w:r>
      <w:r w:rsidR="00F121C4">
        <w:t>i</w:t>
      </w:r>
      <w:r w:rsidR="000B6EDE">
        <w:t xml:space="preserve">, drugo, znajući da je negativan uticaj projekta na turizam </w:t>
      </w:r>
      <w:r w:rsidR="00F121C4">
        <w:t>i</w:t>
      </w:r>
      <w:r w:rsidR="000B6EDE">
        <w:t xml:space="preserve"> poljoprivredu neupitan, možemo sa sigurnošću zaključiti da je projekat neisplativ sa stanovišta društva. </w:t>
      </w:r>
    </w:p>
    <w:p w:rsidR="002A3475" w:rsidRDefault="002A3475" w:rsidP="00E6711F">
      <w:pPr>
        <w:spacing w:line="276" w:lineRule="auto"/>
        <w:jc w:val="both"/>
      </w:pPr>
    </w:p>
    <w:p w:rsidR="00EE0ACA" w:rsidRDefault="00EE0ACA">
      <w:r>
        <w:br w:type="page"/>
      </w:r>
    </w:p>
    <w:p w:rsidR="002A3475" w:rsidRDefault="002A3475" w:rsidP="00E6711F">
      <w:pPr>
        <w:spacing w:line="276" w:lineRule="auto"/>
        <w:jc w:val="both"/>
      </w:pPr>
    </w:p>
    <w:p w:rsidR="002A3475" w:rsidRDefault="002A3475" w:rsidP="00E6711F">
      <w:pPr>
        <w:spacing w:line="276" w:lineRule="auto"/>
        <w:jc w:val="both"/>
      </w:pPr>
    </w:p>
    <w:p w:rsidR="00611349" w:rsidRDefault="00EE0ACA" w:rsidP="00611349">
      <w:pPr>
        <w:spacing w:line="276" w:lineRule="auto"/>
        <w:jc w:val="both"/>
        <w:rPr>
          <w:b/>
          <w:sz w:val="28"/>
          <w:szCs w:val="28"/>
        </w:rPr>
      </w:pPr>
      <w:r w:rsidRPr="00EE46A5">
        <w:rPr>
          <w:b/>
          <w:sz w:val="28"/>
          <w:szCs w:val="28"/>
        </w:rPr>
        <w:t xml:space="preserve">4.2. </w:t>
      </w:r>
      <w:r w:rsidR="00726724">
        <w:rPr>
          <w:b/>
          <w:sz w:val="28"/>
          <w:szCs w:val="28"/>
        </w:rPr>
        <w:t>Mogući g</w:t>
      </w:r>
      <w:r w:rsidRPr="00EE46A5">
        <w:rPr>
          <w:b/>
          <w:sz w:val="28"/>
          <w:szCs w:val="28"/>
        </w:rPr>
        <w:t xml:space="preserve">ubici u </w:t>
      </w:r>
      <w:r w:rsidR="00EE46A5" w:rsidRPr="00EE46A5">
        <w:rPr>
          <w:b/>
          <w:sz w:val="28"/>
          <w:szCs w:val="28"/>
        </w:rPr>
        <w:t xml:space="preserve">turizmu </w:t>
      </w:r>
    </w:p>
    <w:p w:rsidR="00611349" w:rsidRPr="00D51073" w:rsidRDefault="00E07F85" w:rsidP="00414B65">
      <w:pPr>
        <w:autoSpaceDE w:val="0"/>
        <w:autoSpaceDN w:val="0"/>
        <w:adjustRightInd w:val="0"/>
        <w:spacing w:line="276" w:lineRule="auto"/>
        <w:jc w:val="both"/>
        <w:rPr>
          <w:rFonts w:cs="Calibri"/>
          <w:color w:val="000000"/>
        </w:rPr>
      </w:pPr>
      <w:r w:rsidRPr="00E07F85">
        <w:rPr>
          <w:rFonts w:cs="Calibri"/>
          <w:b/>
          <w:color w:val="000000"/>
        </w:rPr>
        <w:t>1.</w:t>
      </w:r>
      <w:r w:rsidR="00611349" w:rsidRPr="00A0069A">
        <w:rPr>
          <w:rFonts w:cs="Calibri"/>
          <w:i/>
          <w:color w:val="000000"/>
        </w:rPr>
        <w:t>Primarne turističke zone</w:t>
      </w:r>
      <w:r w:rsidR="00611349" w:rsidRPr="00D51073">
        <w:rPr>
          <w:rFonts w:cs="Calibri"/>
          <w:color w:val="000000"/>
        </w:rPr>
        <w:t xml:space="preserve"> Plava</w:t>
      </w:r>
      <w:r w:rsidR="00D51073">
        <w:rPr>
          <w:rFonts w:cs="Calibri"/>
          <w:color w:val="000000"/>
        </w:rPr>
        <w:t>sko-Gusinjske oblasti</w:t>
      </w:r>
      <w:r w:rsidR="00611349" w:rsidRPr="00D51073">
        <w:rPr>
          <w:rFonts w:cs="Calibri"/>
          <w:color w:val="000000"/>
        </w:rPr>
        <w:t xml:space="preserve"> zahvataju prostore sa najbrojnijim </w:t>
      </w:r>
      <w:r w:rsidR="00BE27C8">
        <w:rPr>
          <w:rFonts w:cs="Calibri"/>
          <w:color w:val="000000"/>
        </w:rPr>
        <w:t>i</w:t>
      </w:r>
      <w:r w:rsidR="00611349" w:rsidRPr="00D51073">
        <w:rPr>
          <w:rFonts w:cs="Calibri"/>
          <w:color w:val="000000"/>
        </w:rPr>
        <w:t xml:space="preserve"> najvrijednijim turističkim </w:t>
      </w:r>
      <w:r w:rsidR="00D51073">
        <w:rPr>
          <w:rFonts w:cs="Calibri"/>
          <w:color w:val="000000"/>
        </w:rPr>
        <w:t>razvojnim pote</w:t>
      </w:r>
      <w:r w:rsidR="00414B65">
        <w:rPr>
          <w:rFonts w:cs="Calibri"/>
          <w:color w:val="000000"/>
        </w:rPr>
        <w:t xml:space="preserve">ncijalima </w:t>
      </w:r>
      <w:r w:rsidR="00611349" w:rsidRPr="00D51073">
        <w:rPr>
          <w:rFonts w:cs="Calibri"/>
          <w:color w:val="000000"/>
        </w:rPr>
        <w:t xml:space="preserve">(Opština Plav, 2013). </w:t>
      </w:r>
      <w:r w:rsidR="00636841">
        <w:rPr>
          <w:rFonts w:cs="Calibri"/>
          <w:color w:val="000000"/>
        </w:rPr>
        <w:t xml:space="preserve">Tri se primarne turističke zone izdvajaju: </w:t>
      </w:r>
    </w:p>
    <w:p w:rsidR="00611349" w:rsidRPr="00D51073" w:rsidRDefault="00611349" w:rsidP="007A76D6">
      <w:pPr>
        <w:pStyle w:val="Default"/>
        <w:numPr>
          <w:ilvl w:val="0"/>
          <w:numId w:val="19"/>
        </w:numPr>
        <w:spacing w:after="160" w:line="276" w:lineRule="auto"/>
        <w:jc w:val="both"/>
        <w:rPr>
          <w:rFonts w:asciiTheme="minorHAnsi" w:hAnsiTheme="minorHAnsi" w:cs="Calibri"/>
          <w:sz w:val="22"/>
          <w:szCs w:val="22"/>
        </w:rPr>
      </w:pPr>
      <w:r w:rsidRPr="00D51073">
        <w:rPr>
          <w:rFonts w:asciiTheme="minorHAnsi" w:hAnsiTheme="minorHAnsi" w:cs="Calibri"/>
          <w:i/>
          <w:iCs/>
          <w:sz w:val="22"/>
          <w:szCs w:val="22"/>
        </w:rPr>
        <w:t xml:space="preserve">Zona Plavsko jezero </w:t>
      </w:r>
      <w:r w:rsidR="00636841">
        <w:rPr>
          <w:rFonts w:asciiTheme="minorHAnsi" w:hAnsiTheme="minorHAnsi" w:cs="Calibri"/>
          <w:sz w:val="22"/>
          <w:szCs w:val="22"/>
        </w:rPr>
        <w:t xml:space="preserve">obuhvata </w:t>
      </w:r>
      <w:r w:rsidR="00BE27C8">
        <w:rPr>
          <w:rFonts w:asciiTheme="minorHAnsi" w:hAnsiTheme="minorHAnsi" w:cs="Calibri"/>
          <w:sz w:val="22"/>
          <w:szCs w:val="22"/>
        </w:rPr>
        <w:t>prosor</w:t>
      </w:r>
      <w:r w:rsidRPr="00D51073">
        <w:rPr>
          <w:rFonts w:asciiTheme="minorHAnsi" w:hAnsiTheme="minorHAnsi" w:cs="Calibri"/>
          <w:sz w:val="22"/>
          <w:szCs w:val="22"/>
        </w:rPr>
        <w:t xml:space="preserve"> koji okružuje gradsko naselje Plav, gdje Plav</w:t>
      </w:r>
      <w:r w:rsidR="00636841">
        <w:rPr>
          <w:rFonts w:asciiTheme="minorHAnsi" w:hAnsiTheme="minorHAnsi" w:cs="Calibri"/>
          <w:sz w:val="22"/>
          <w:szCs w:val="22"/>
        </w:rPr>
        <w:t>sko jezero</w:t>
      </w:r>
      <w:r w:rsidRPr="00D51073">
        <w:rPr>
          <w:rFonts w:asciiTheme="minorHAnsi" w:hAnsiTheme="minorHAnsi" w:cs="Calibri"/>
          <w:sz w:val="22"/>
          <w:szCs w:val="22"/>
        </w:rPr>
        <w:t xml:space="preserve"> predstavlja prvorazrednu</w:t>
      </w:r>
      <w:r w:rsidR="00636841">
        <w:rPr>
          <w:rFonts w:asciiTheme="minorHAnsi" w:hAnsiTheme="minorHAnsi" w:cs="Calibri"/>
          <w:sz w:val="22"/>
          <w:szCs w:val="22"/>
        </w:rPr>
        <w:t xml:space="preserve"> prirodnu </w:t>
      </w:r>
      <w:r w:rsidR="00BE27C8">
        <w:rPr>
          <w:rFonts w:asciiTheme="minorHAnsi" w:hAnsiTheme="minorHAnsi" w:cs="Calibri"/>
          <w:sz w:val="22"/>
          <w:szCs w:val="22"/>
        </w:rPr>
        <w:t>i</w:t>
      </w:r>
      <w:r w:rsidR="00636841">
        <w:rPr>
          <w:rFonts w:asciiTheme="minorHAnsi" w:hAnsiTheme="minorHAnsi" w:cs="Calibri"/>
          <w:sz w:val="22"/>
          <w:szCs w:val="22"/>
        </w:rPr>
        <w:t xml:space="preserve"> ekološku vrijednost. </w:t>
      </w:r>
    </w:p>
    <w:p w:rsidR="00611349" w:rsidRPr="00D51073" w:rsidRDefault="00611349" w:rsidP="007A76D6">
      <w:pPr>
        <w:pStyle w:val="ListParagraph"/>
        <w:numPr>
          <w:ilvl w:val="0"/>
          <w:numId w:val="19"/>
        </w:numPr>
        <w:autoSpaceDE w:val="0"/>
        <w:autoSpaceDN w:val="0"/>
        <w:adjustRightInd w:val="0"/>
        <w:spacing w:line="276" w:lineRule="auto"/>
        <w:jc w:val="both"/>
        <w:rPr>
          <w:rFonts w:cs="Calibri"/>
          <w:color w:val="000000"/>
        </w:rPr>
      </w:pPr>
      <w:r w:rsidRPr="00D51073">
        <w:rPr>
          <w:rFonts w:cs="Calibri"/>
          <w:i/>
          <w:iCs/>
          <w:color w:val="000000"/>
        </w:rPr>
        <w:t xml:space="preserve">Zona područja Gusinja </w:t>
      </w:r>
      <w:r w:rsidR="00636841">
        <w:rPr>
          <w:rFonts w:cs="Calibri"/>
          <w:color w:val="000000"/>
        </w:rPr>
        <w:t>koja</w:t>
      </w:r>
      <w:r w:rsidRPr="00D51073">
        <w:rPr>
          <w:rFonts w:cs="Calibri"/>
          <w:color w:val="000000"/>
        </w:rPr>
        <w:t xml:space="preserve"> Zahvata južni </w:t>
      </w:r>
      <w:r w:rsidR="00B37DF4">
        <w:rPr>
          <w:rFonts w:cs="Calibri"/>
          <w:color w:val="000000"/>
        </w:rPr>
        <w:t>I</w:t>
      </w:r>
      <w:r w:rsidRPr="00D51073">
        <w:rPr>
          <w:rFonts w:cs="Calibri"/>
          <w:color w:val="000000"/>
        </w:rPr>
        <w:t xml:space="preserve"> jugoistočni obod plavsko-gusinjske kotline, koji u graničnom prostoru prema Albaniji završava grupom najviših c</w:t>
      </w:r>
      <w:r w:rsidR="00733BB6">
        <w:rPr>
          <w:rFonts w:cs="Calibri"/>
          <w:color w:val="000000"/>
        </w:rPr>
        <w:t>r</w:t>
      </w:r>
      <w:r w:rsidR="00CD3146">
        <w:rPr>
          <w:rFonts w:cs="Calibri"/>
          <w:color w:val="000000"/>
        </w:rPr>
        <w:t>n</w:t>
      </w:r>
      <w:r w:rsidRPr="00D51073">
        <w:rPr>
          <w:rFonts w:cs="Calibri"/>
          <w:color w:val="000000"/>
        </w:rPr>
        <w:t xml:space="preserve">ogorskih vrhova. </w:t>
      </w:r>
    </w:p>
    <w:p w:rsidR="00611349" w:rsidRPr="00D51073" w:rsidRDefault="00611349" w:rsidP="007A76D6">
      <w:pPr>
        <w:pStyle w:val="ListParagraph"/>
        <w:numPr>
          <w:ilvl w:val="0"/>
          <w:numId w:val="19"/>
        </w:numPr>
        <w:autoSpaceDE w:val="0"/>
        <w:autoSpaceDN w:val="0"/>
        <w:adjustRightInd w:val="0"/>
        <w:spacing w:line="276" w:lineRule="auto"/>
        <w:jc w:val="both"/>
        <w:rPr>
          <w:rFonts w:cs="Calibri"/>
          <w:color w:val="000000"/>
        </w:rPr>
      </w:pPr>
      <w:r w:rsidRPr="00D51073">
        <w:rPr>
          <w:rFonts w:cs="Calibri"/>
          <w:i/>
          <w:iCs/>
          <w:color w:val="000000"/>
        </w:rPr>
        <w:t>Zona Babino polje</w:t>
      </w:r>
      <w:r w:rsidR="00B37DF4">
        <w:rPr>
          <w:rFonts w:cs="Calibri"/>
          <w:i/>
          <w:iCs/>
          <w:color w:val="000000"/>
        </w:rPr>
        <w:t>–</w:t>
      </w:r>
      <w:r w:rsidR="00414B65">
        <w:rPr>
          <w:rFonts w:cs="Calibri"/>
          <w:i/>
          <w:iCs/>
          <w:color w:val="000000"/>
        </w:rPr>
        <w:t xml:space="preserve"> Bogićevica</w:t>
      </w:r>
      <w:r w:rsidR="00414B65">
        <w:rPr>
          <w:rFonts w:cs="Calibri"/>
          <w:iCs/>
          <w:color w:val="000000"/>
        </w:rPr>
        <w:t xml:space="preserve"> u kojoj se nalaze sadržaji koji su predmet našeg razmatranja. </w:t>
      </w:r>
    </w:p>
    <w:p w:rsidR="00A0069A" w:rsidRDefault="00A0069A" w:rsidP="00414B65">
      <w:pPr>
        <w:autoSpaceDE w:val="0"/>
        <w:autoSpaceDN w:val="0"/>
        <w:adjustRightInd w:val="0"/>
        <w:spacing w:line="276" w:lineRule="auto"/>
        <w:jc w:val="both"/>
        <w:rPr>
          <w:rFonts w:cs="Calibri"/>
          <w:color w:val="000000"/>
        </w:rPr>
      </w:pPr>
      <w:r>
        <w:rPr>
          <w:rFonts w:cs="Calibri"/>
          <w:color w:val="000000"/>
        </w:rPr>
        <w:t>Sekundarne turističke zone obuhvataju</w:t>
      </w:r>
      <w:r w:rsidR="00611349" w:rsidRPr="00D51073">
        <w:rPr>
          <w:rFonts w:cs="Calibri"/>
          <w:color w:val="000000"/>
        </w:rPr>
        <w:t xml:space="preserve">: </w:t>
      </w:r>
    </w:p>
    <w:p w:rsidR="00A0069A" w:rsidRDefault="00A0069A" w:rsidP="00A0069A">
      <w:pPr>
        <w:pStyle w:val="ListParagraph"/>
        <w:numPr>
          <w:ilvl w:val="0"/>
          <w:numId w:val="21"/>
        </w:numPr>
        <w:autoSpaceDE w:val="0"/>
        <w:autoSpaceDN w:val="0"/>
        <w:adjustRightInd w:val="0"/>
        <w:spacing w:line="276" w:lineRule="auto"/>
        <w:jc w:val="both"/>
        <w:rPr>
          <w:rFonts w:cs="Calibri"/>
          <w:color w:val="000000"/>
        </w:rPr>
      </w:pPr>
      <w:r w:rsidRPr="00A0069A">
        <w:rPr>
          <w:rFonts w:cs="Calibri"/>
          <w:color w:val="000000"/>
        </w:rPr>
        <w:t xml:space="preserve">Visitor, </w:t>
      </w:r>
      <w:r>
        <w:rPr>
          <w:rFonts w:cs="Calibri"/>
          <w:color w:val="000000"/>
        </w:rPr>
        <w:t xml:space="preserve">kao </w:t>
      </w:r>
      <w:r w:rsidR="00F121C4">
        <w:rPr>
          <w:rFonts w:cs="Calibri"/>
          <w:color w:val="000000"/>
        </w:rPr>
        <w:t>i</w:t>
      </w:r>
    </w:p>
    <w:p w:rsidR="00611349" w:rsidRPr="00A0069A" w:rsidRDefault="00A0069A" w:rsidP="00A0069A">
      <w:pPr>
        <w:pStyle w:val="ListParagraph"/>
        <w:numPr>
          <w:ilvl w:val="0"/>
          <w:numId w:val="21"/>
        </w:numPr>
        <w:autoSpaceDE w:val="0"/>
        <w:autoSpaceDN w:val="0"/>
        <w:adjustRightInd w:val="0"/>
        <w:spacing w:line="276" w:lineRule="auto"/>
        <w:jc w:val="both"/>
        <w:rPr>
          <w:rFonts w:cs="Calibri"/>
          <w:color w:val="000000"/>
        </w:rPr>
      </w:pPr>
      <w:r w:rsidRPr="00A0069A">
        <w:rPr>
          <w:rFonts w:cs="Calibri"/>
          <w:color w:val="000000"/>
        </w:rPr>
        <w:t xml:space="preserve">Murino-Velika-Čakor </w:t>
      </w:r>
    </w:p>
    <w:p w:rsidR="002A3475" w:rsidRDefault="00525FDD" w:rsidP="00C41E3B">
      <w:pPr>
        <w:spacing w:after="0" w:line="240" w:lineRule="auto"/>
        <w:jc w:val="center"/>
      </w:pPr>
      <w:r>
        <w:rPr>
          <w:noProof/>
        </w:rPr>
        <w:drawing>
          <wp:inline distT="0" distB="0" distL="0" distR="0">
            <wp:extent cx="5285634" cy="3812147"/>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5634" cy="3812147"/>
                    </a:xfrm>
                    <a:prstGeom prst="rect">
                      <a:avLst/>
                    </a:prstGeom>
                    <a:noFill/>
                  </pic:spPr>
                </pic:pic>
              </a:graphicData>
            </a:graphic>
          </wp:inline>
        </w:drawing>
      </w:r>
    </w:p>
    <w:p w:rsidR="002A3475" w:rsidRDefault="00C41E3B" w:rsidP="00C41E3B">
      <w:pPr>
        <w:spacing w:line="276" w:lineRule="auto"/>
        <w:jc w:val="center"/>
      </w:pPr>
      <w:r>
        <w:t xml:space="preserve">M. Z. Prnjavor (slika sa web sitea mjesne zajednice) </w:t>
      </w:r>
    </w:p>
    <w:p w:rsidR="001F1F1D" w:rsidRPr="001F1F1D" w:rsidRDefault="00726724" w:rsidP="00726724">
      <w:pPr>
        <w:spacing w:line="276" w:lineRule="auto"/>
        <w:jc w:val="both"/>
        <w:rPr>
          <w:rFonts w:cs="Calibri"/>
        </w:rPr>
      </w:pPr>
      <w:r w:rsidRPr="00AD7857">
        <w:rPr>
          <w:rFonts w:cs="Calibri"/>
          <w:iCs/>
        </w:rPr>
        <w:t>Zona</w:t>
      </w:r>
      <w:r w:rsidRPr="00AD7857">
        <w:rPr>
          <w:rFonts w:cs="Calibri"/>
          <w:i/>
          <w:iCs/>
        </w:rPr>
        <w:t xml:space="preserve"> Babino Polje </w:t>
      </w:r>
      <w:r w:rsidR="00AD7857" w:rsidRPr="00AD7857">
        <w:rPr>
          <w:rFonts w:cs="Calibri"/>
          <w:i/>
          <w:iCs/>
        </w:rPr>
        <w:t>–</w:t>
      </w:r>
      <w:r w:rsidRPr="00AD7857">
        <w:rPr>
          <w:rFonts w:cs="Calibri"/>
          <w:i/>
          <w:iCs/>
        </w:rPr>
        <w:t xml:space="preserve"> Bogićevica</w:t>
      </w:r>
      <w:r w:rsidR="00AD7857" w:rsidRPr="00AD7857">
        <w:rPr>
          <w:rFonts w:cs="Calibri"/>
          <w:i/>
          <w:iCs/>
        </w:rPr>
        <w:t xml:space="preserve">, </w:t>
      </w:r>
      <w:r w:rsidR="00AD7857" w:rsidRPr="00AD7857">
        <w:rPr>
          <w:rFonts w:cs="Calibri"/>
          <w:iCs/>
        </w:rPr>
        <w:t>koja je najviše izložena uticaji dveju mHE,</w:t>
      </w:r>
      <w:r w:rsidR="00AD7857" w:rsidRPr="00AD7857">
        <w:rPr>
          <w:rFonts w:cs="Calibri"/>
        </w:rPr>
        <w:t>predstavlja</w:t>
      </w:r>
      <w:r w:rsidRPr="00AD7857">
        <w:rPr>
          <w:rFonts w:cs="Calibri"/>
        </w:rPr>
        <w:t xml:space="preserve"> visoko</w:t>
      </w:r>
      <w:r w:rsidR="00AD7857" w:rsidRPr="00AD7857">
        <w:rPr>
          <w:rFonts w:cs="Calibri"/>
        </w:rPr>
        <w:t>-</w:t>
      </w:r>
      <w:r w:rsidRPr="00AD7857">
        <w:rPr>
          <w:rFonts w:cs="Calibri"/>
        </w:rPr>
        <w:t>planinsk</w:t>
      </w:r>
      <w:r w:rsidR="00AD7857" w:rsidRPr="00AD7857">
        <w:rPr>
          <w:rFonts w:cs="Calibri"/>
        </w:rPr>
        <w:t xml:space="preserve">i </w:t>
      </w:r>
      <w:r w:rsidR="0045776D">
        <w:rPr>
          <w:rFonts w:cs="Calibri"/>
        </w:rPr>
        <w:t>prostor</w:t>
      </w:r>
      <w:r w:rsidR="00AD7857" w:rsidRPr="00AD7857">
        <w:rPr>
          <w:rFonts w:cs="Calibri"/>
        </w:rPr>
        <w:t xml:space="preserve"> koji zauzima središnju</w:t>
      </w:r>
      <w:r w:rsidRPr="00AD7857">
        <w:rPr>
          <w:rFonts w:cs="Calibri"/>
        </w:rPr>
        <w:t xml:space="preserve"> poziciju u okviru</w:t>
      </w:r>
      <w:r w:rsidR="00AD7857" w:rsidRPr="00AD7857">
        <w:rPr>
          <w:rFonts w:cs="Calibri"/>
        </w:rPr>
        <w:t xml:space="preserve"> dijel</w:t>
      </w:r>
      <w:r w:rsidR="00CD3146">
        <w:rPr>
          <w:rFonts w:cs="Calibri"/>
        </w:rPr>
        <w:t>aP</w:t>
      </w:r>
      <w:r w:rsidR="00AD7857" w:rsidRPr="00AD7857">
        <w:rPr>
          <w:rFonts w:cs="Calibri"/>
        </w:rPr>
        <w:t>rokletija koji pripada Crnoj Gori</w:t>
      </w:r>
      <w:r w:rsidRPr="00AD7857">
        <w:rPr>
          <w:rFonts w:cs="Calibri"/>
        </w:rPr>
        <w:t xml:space="preserve">. </w:t>
      </w:r>
      <w:r w:rsidR="00AD7857" w:rsidRPr="00AD7857">
        <w:rPr>
          <w:rFonts w:cs="Calibri"/>
        </w:rPr>
        <w:t xml:space="preserve">Locirana je u istočnom dijelu </w:t>
      </w:r>
      <w:r w:rsidRPr="00AD7857">
        <w:rPr>
          <w:rFonts w:cs="Calibri"/>
        </w:rPr>
        <w:t>Plav</w:t>
      </w:r>
      <w:r w:rsidR="00AD7857" w:rsidRPr="00AD7857">
        <w:rPr>
          <w:rFonts w:cs="Calibri"/>
        </w:rPr>
        <w:t>sko-Gusinjske oblasti</w:t>
      </w:r>
      <w:r w:rsidR="00F81A8B">
        <w:rPr>
          <w:rFonts w:cs="Calibri"/>
        </w:rPr>
        <w:t>i</w:t>
      </w:r>
      <w:r w:rsidR="00AD7857" w:rsidRPr="00AD7857">
        <w:rPr>
          <w:rFonts w:cs="Calibri"/>
        </w:rPr>
        <w:t>graniči se sa</w:t>
      </w:r>
      <w:r w:rsidRPr="00AD7857">
        <w:rPr>
          <w:rFonts w:cs="Calibri"/>
        </w:rPr>
        <w:t>susjedn</w:t>
      </w:r>
      <w:r w:rsidR="00AD7857" w:rsidRPr="00AD7857">
        <w:rPr>
          <w:rFonts w:cs="Calibri"/>
        </w:rPr>
        <w:t xml:space="preserve">om Albanijom </w:t>
      </w:r>
      <w:r w:rsidR="00F81A8B">
        <w:rPr>
          <w:rFonts w:cs="Calibri"/>
        </w:rPr>
        <w:t>i</w:t>
      </w:r>
      <w:r w:rsidR="00AD7857" w:rsidRPr="00AD7857">
        <w:rPr>
          <w:rFonts w:cs="Calibri"/>
        </w:rPr>
        <w:t xml:space="preserve"> planinskim </w:t>
      </w:r>
      <w:r w:rsidR="00AD7857" w:rsidRPr="00AD7857">
        <w:rPr>
          <w:rFonts w:cs="Calibri"/>
        </w:rPr>
        <w:lastRenderedPageBreak/>
        <w:t>vrhovima</w:t>
      </w:r>
      <w:r w:rsidRPr="00AD7857">
        <w:rPr>
          <w:rFonts w:cs="Calibri"/>
        </w:rPr>
        <w:t xml:space="preserve">Kosova. </w:t>
      </w:r>
      <w:r w:rsidRPr="001F1F1D">
        <w:rPr>
          <w:rFonts w:cs="Calibri"/>
        </w:rPr>
        <w:t xml:space="preserve">U ovoj </w:t>
      </w:r>
      <w:r w:rsidR="00AD7857" w:rsidRPr="001F1F1D">
        <w:rPr>
          <w:rFonts w:cs="Calibri"/>
        </w:rPr>
        <w:t>je zoni formirano više većih</w:t>
      </w:r>
      <w:r w:rsidRPr="001F1F1D">
        <w:rPr>
          <w:rFonts w:cs="Calibri"/>
        </w:rPr>
        <w:t xml:space="preserve"> visokoplaninskih lanaca alpskog izgleda </w:t>
      </w:r>
      <w:r w:rsidR="00F81A8B">
        <w:rPr>
          <w:rFonts w:cs="Calibri"/>
        </w:rPr>
        <w:t>i</w:t>
      </w:r>
      <w:r w:rsidRPr="001F1F1D">
        <w:rPr>
          <w:rFonts w:cs="Calibri"/>
        </w:rPr>
        <w:t xml:space="preserve"> karakteristika na sjeveroistoku</w:t>
      </w:r>
      <w:r w:rsidR="00AD7857" w:rsidRPr="001F1F1D">
        <w:rPr>
          <w:rFonts w:cs="Calibri"/>
        </w:rPr>
        <w:t xml:space="preserve"> a na njih se nadovezuju vrhovi Bogićevice na jugu i jugoistoku. U </w:t>
      </w:r>
      <w:r w:rsidRPr="001F1F1D">
        <w:rPr>
          <w:rFonts w:cs="Calibri"/>
        </w:rPr>
        <w:t>u centralnom</w:t>
      </w:r>
      <w:r w:rsidR="00B37DF4">
        <w:rPr>
          <w:rFonts w:cs="Calibri"/>
        </w:rPr>
        <w:t>I</w:t>
      </w:r>
      <w:r w:rsidR="00AD7857" w:rsidRPr="001F1F1D">
        <w:rPr>
          <w:rFonts w:cs="Calibri"/>
        </w:rPr>
        <w:t xml:space="preserve"> zapadnom dijelu nalazi </w:t>
      </w:r>
      <w:r w:rsidRPr="001F1F1D">
        <w:rPr>
          <w:rFonts w:cs="Calibri"/>
        </w:rPr>
        <w:t xml:space="preserve">planinski masiv Krš Bogićevica (2.374 m) </w:t>
      </w:r>
      <w:r w:rsidR="00B37DF4">
        <w:rPr>
          <w:rFonts w:cs="Calibri"/>
        </w:rPr>
        <w:t>I</w:t>
      </w:r>
      <w:r w:rsidRPr="001F1F1D">
        <w:rPr>
          <w:rFonts w:cs="Calibri"/>
        </w:rPr>
        <w:t xml:space="preserve"> Hridsko jeze</w:t>
      </w:r>
      <w:r w:rsidR="001F1F1D" w:rsidRPr="001F1F1D">
        <w:rPr>
          <w:rFonts w:cs="Calibri"/>
        </w:rPr>
        <w:t>ro, smješteno u prostranom krugu</w:t>
      </w:r>
      <w:r w:rsidRPr="001F1F1D">
        <w:rPr>
          <w:rFonts w:cs="Calibri"/>
        </w:rPr>
        <w:t xml:space="preserve"> na padinama pomenute p</w:t>
      </w:r>
      <w:r w:rsidR="001F1F1D" w:rsidRPr="001F1F1D">
        <w:rPr>
          <w:rFonts w:cs="Calibri"/>
        </w:rPr>
        <w:t xml:space="preserve">lanine, na </w:t>
      </w:r>
      <w:r w:rsidRPr="001F1F1D">
        <w:rPr>
          <w:rFonts w:cs="Calibri"/>
        </w:rPr>
        <w:t>1.970 m</w:t>
      </w:r>
      <w:r w:rsidR="001F1F1D" w:rsidRPr="001F1F1D">
        <w:rPr>
          <w:rFonts w:cs="Calibri"/>
        </w:rPr>
        <w:t xml:space="preserve"> nadmorske visine</w:t>
      </w:r>
      <w:r w:rsidRPr="001F1F1D">
        <w:rPr>
          <w:rFonts w:cs="Calibri"/>
        </w:rPr>
        <w:t xml:space="preserve">. </w:t>
      </w:r>
    </w:p>
    <w:p w:rsidR="00726724" w:rsidRPr="00B37DF4" w:rsidRDefault="00726724" w:rsidP="00726724">
      <w:pPr>
        <w:spacing w:line="276" w:lineRule="auto"/>
        <w:jc w:val="both"/>
      </w:pPr>
      <w:r w:rsidRPr="00B37DF4">
        <w:rPr>
          <w:rFonts w:cs="Calibri"/>
        </w:rPr>
        <w:t xml:space="preserve">Prirodni uslovi ove zone omogućavaju izgradnju vrlo moćnog visinskog zimsko-sportskog centra. </w:t>
      </w:r>
      <w:r w:rsidR="001F1F1D" w:rsidRPr="00B37DF4">
        <w:rPr>
          <w:rFonts w:cs="Calibri"/>
        </w:rPr>
        <w:t>Još je davne 1968</w:t>
      </w:r>
      <w:r w:rsidR="00CD3146">
        <w:rPr>
          <w:rFonts w:cs="Calibri"/>
        </w:rPr>
        <w:t>.</w:t>
      </w:r>
      <w:r w:rsidR="001F1F1D" w:rsidRPr="00B37DF4">
        <w:rPr>
          <w:rFonts w:cs="Calibri"/>
        </w:rPr>
        <w:t xml:space="preserve">godine u poznatoj i često citiranoj studiji OECD-a (1968) ukazano na značajne mogućnosti za razvoj zimskog turizma koji se zasniva na skijanju u okviru Prokletija. </w:t>
      </w:r>
      <w:r w:rsidRPr="00B37DF4">
        <w:rPr>
          <w:rFonts w:cs="Calibri"/>
        </w:rPr>
        <w:t>Prokletije</w:t>
      </w:r>
      <w:r w:rsidR="00B37DF4" w:rsidRPr="00B37DF4">
        <w:rPr>
          <w:rFonts w:cs="Calibri"/>
        </w:rPr>
        <w:t>, prema ovoj studiji,</w:t>
      </w:r>
      <w:r w:rsidRPr="00B37DF4">
        <w:rPr>
          <w:rFonts w:cs="Calibri"/>
        </w:rPr>
        <w:t xml:space="preserve"> posjeduju ukupnu denivelaciju staza za skijanje u dužini od 105.950 m. Od ukupnog zbira denivelacija </w:t>
      </w:r>
      <w:r w:rsidR="00CD3146">
        <w:rPr>
          <w:rFonts w:cs="Calibri"/>
        </w:rPr>
        <w:t xml:space="preserve">skijaških </w:t>
      </w:r>
      <w:r w:rsidRPr="00B37DF4">
        <w:rPr>
          <w:rFonts w:cs="Calibri"/>
        </w:rPr>
        <w:t>staza na plavski di</w:t>
      </w:r>
      <w:r w:rsidR="00B37DF4" w:rsidRPr="00B37DF4">
        <w:rPr>
          <w:rFonts w:cs="Calibri"/>
        </w:rPr>
        <w:t xml:space="preserve">o Prokletija otpada 46.525 m. Ovome treba dodati planinarenje, obrazovni </w:t>
      </w:r>
      <w:r w:rsidR="00F81A8B">
        <w:rPr>
          <w:rFonts w:cs="Calibri"/>
        </w:rPr>
        <w:t>i</w:t>
      </w:r>
      <w:r w:rsidR="00CD3146">
        <w:rPr>
          <w:rFonts w:cs="Calibri"/>
        </w:rPr>
        <w:t xml:space="preserve">istraživački </w:t>
      </w:r>
      <w:r w:rsidR="00F81A8B">
        <w:rPr>
          <w:rFonts w:cs="Calibri"/>
        </w:rPr>
        <w:t>turizam, adrenalinski turizam i</w:t>
      </w:r>
      <w:r w:rsidR="00B37DF4" w:rsidRPr="00B37DF4">
        <w:rPr>
          <w:rFonts w:cs="Calibri"/>
        </w:rPr>
        <w:t xml:space="preserve"> ostale oblike ljetnjeg turizma. Naravno, </w:t>
      </w:r>
      <w:r w:rsidR="00B37DF4">
        <w:rPr>
          <w:rFonts w:cs="Calibri"/>
        </w:rPr>
        <w:t xml:space="preserve">turistički potencijali ove primarne zone su povezani sa onima koji postoje u drugim zonama pa i to treba imati u vidu kada se govori o potencijalima razvoja turizma na ovoj primarnoj zoni i </w:t>
      </w:r>
      <w:r w:rsidR="00CD3146">
        <w:rPr>
          <w:rFonts w:cs="Calibri"/>
        </w:rPr>
        <w:t>m</w:t>
      </w:r>
      <w:r w:rsidR="00B37DF4">
        <w:rPr>
          <w:rFonts w:cs="Calibri"/>
        </w:rPr>
        <w:t xml:space="preserve">jesnoj </w:t>
      </w:r>
      <w:r w:rsidR="00CD3146">
        <w:rPr>
          <w:rFonts w:cs="Calibri"/>
        </w:rPr>
        <w:t>z</w:t>
      </w:r>
      <w:r w:rsidR="00B37DF4">
        <w:rPr>
          <w:rFonts w:cs="Calibri"/>
        </w:rPr>
        <w:t xml:space="preserve">ajednici kojoj ona dominantno pripada. </w:t>
      </w:r>
    </w:p>
    <w:p w:rsidR="00C41E3B" w:rsidRDefault="00C41E3B" w:rsidP="00C41E3B">
      <w:pPr>
        <w:spacing w:after="0" w:line="240" w:lineRule="auto"/>
        <w:jc w:val="center"/>
      </w:pPr>
      <w:r>
        <w:rPr>
          <w:noProof/>
        </w:rPr>
        <w:drawing>
          <wp:inline distT="0" distB="0" distL="0" distR="0">
            <wp:extent cx="5254580" cy="3707563"/>
            <wp:effectExtent l="0" t="0" r="381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2997" cy="3713502"/>
                    </a:xfrm>
                    <a:prstGeom prst="rect">
                      <a:avLst/>
                    </a:prstGeom>
                    <a:noFill/>
                  </pic:spPr>
                </pic:pic>
              </a:graphicData>
            </a:graphic>
          </wp:inline>
        </w:drawing>
      </w:r>
    </w:p>
    <w:p w:rsidR="00611349" w:rsidRDefault="00611349" w:rsidP="00611349">
      <w:pPr>
        <w:spacing w:line="276" w:lineRule="auto"/>
        <w:jc w:val="center"/>
      </w:pPr>
      <w:r>
        <w:t xml:space="preserve">M. Z. Prnjavor (slika sa web sitea mjesne zajednice) </w:t>
      </w:r>
    </w:p>
    <w:p w:rsidR="00342994" w:rsidRDefault="00B37DF4" w:rsidP="00FA46CF">
      <w:pPr>
        <w:spacing w:line="276" w:lineRule="auto"/>
        <w:jc w:val="both"/>
        <w:rPr>
          <w:rFonts w:cs="Calibri"/>
          <w:iCs/>
          <w:color w:val="000000"/>
        </w:rPr>
      </w:pPr>
      <w:r>
        <w:t>Mjesna</w:t>
      </w:r>
      <w:r>
        <w:rPr>
          <w:rFonts w:cs="Calibri"/>
          <w:iCs/>
          <w:color w:val="000000"/>
        </w:rPr>
        <w:t>Z</w:t>
      </w:r>
      <w:r w:rsidRPr="00B37DF4">
        <w:rPr>
          <w:rFonts w:cs="Calibri"/>
          <w:iCs/>
          <w:color w:val="000000"/>
        </w:rPr>
        <w:t xml:space="preserve">ajednica </w:t>
      </w:r>
      <w:r>
        <w:rPr>
          <w:rFonts w:cs="Calibri"/>
          <w:iCs/>
          <w:color w:val="000000"/>
        </w:rPr>
        <w:t>Prnjavor</w:t>
      </w:r>
      <w:r w:rsidR="00FA46CF">
        <w:rPr>
          <w:rFonts w:cs="Calibri"/>
          <w:iCs/>
          <w:color w:val="000000"/>
        </w:rPr>
        <w:t xml:space="preserve"> predstavlja jednu od najvećih m</w:t>
      </w:r>
      <w:r>
        <w:rPr>
          <w:rFonts w:cs="Calibri"/>
          <w:iCs/>
          <w:color w:val="000000"/>
        </w:rPr>
        <w:t xml:space="preserve">jesnih zajednica </w:t>
      </w:r>
      <w:r w:rsidR="00FA46CF">
        <w:rPr>
          <w:rFonts w:cs="Calibri"/>
          <w:iCs/>
          <w:color w:val="000000"/>
        </w:rPr>
        <w:t xml:space="preserve">na teritoriji cijele Crne Gore. </w:t>
      </w:r>
      <w:r w:rsidR="00342994">
        <w:rPr>
          <w:rFonts w:cs="Calibri"/>
          <w:iCs/>
          <w:color w:val="000000"/>
        </w:rPr>
        <w:t>Ova Mjesna Zajednica inače predstavlja jedan od najljepših krajeva u cijeloj Plavsko-Gusinjskoj oblasti. Tu se nalazi Plavska Rijeka, Kofiljača, Polja, Treskavica, Treskavica Bab</w:t>
      </w:r>
      <w:r w:rsidR="00C40FF4">
        <w:rPr>
          <w:rFonts w:cs="Calibri"/>
          <w:iCs/>
          <w:color w:val="000000"/>
        </w:rPr>
        <w:t xml:space="preserve">inog Polja, Hridi, Hridski Krš. Posebno treba istaći da se ovdje nalazi Hridsko Jezero koje predstavlja jedan od najljepših turističkih sadržaja u cijeloj ovoj oblasti, koja </w:t>
      </w:r>
      <w:r w:rsidR="004F1B06">
        <w:rPr>
          <w:rFonts w:cs="Calibri"/>
          <w:iCs/>
          <w:color w:val="000000"/>
        </w:rPr>
        <w:t xml:space="preserve">sa svoje strane </w:t>
      </w:r>
      <w:r w:rsidR="00C40FF4">
        <w:rPr>
          <w:rFonts w:cs="Calibri"/>
          <w:iCs/>
          <w:color w:val="000000"/>
        </w:rPr>
        <w:t xml:space="preserve">u cjelini predstavlja najljepši dio planinske Crne Gore. </w:t>
      </w:r>
      <w:r w:rsidR="004F1B06">
        <w:rPr>
          <w:rFonts w:cs="Calibri"/>
          <w:iCs/>
          <w:color w:val="000000"/>
        </w:rPr>
        <w:t xml:space="preserve">Mještani ove zajednice, svojom marljivošću i spremnošću na samoodricanje za interese šire zajednice, takođe predstavljaju važan resurs za razvoj Prnjavora. Posebno treba istaći njihovo učešće u realizaciji </w:t>
      </w:r>
      <w:r w:rsidR="004F1B06">
        <w:rPr>
          <w:rFonts w:cs="Calibri"/>
          <w:iCs/>
          <w:color w:val="000000"/>
        </w:rPr>
        <w:lastRenderedPageBreak/>
        <w:t xml:space="preserve">projekata postavljanja </w:t>
      </w:r>
      <w:r w:rsidR="00B60C3D">
        <w:rPr>
          <w:rFonts w:cs="Calibri"/>
          <w:iCs/>
          <w:color w:val="000000"/>
        </w:rPr>
        <w:t xml:space="preserve">mjesne </w:t>
      </w:r>
      <w:r w:rsidR="004F1B06">
        <w:rPr>
          <w:rFonts w:cs="Calibri"/>
          <w:iCs/>
          <w:color w:val="000000"/>
        </w:rPr>
        <w:t>r</w:t>
      </w:r>
      <w:r w:rsidR="00B60C3D">
        <w:rPr>
          <w:rFonts w:cs="Calibri"/>
          <w:iCs/>
          <w:color w:val="000000"/>
        </w:rPr>
        <w:t>a</w:t>
      </w:r>
      <w:r w:rsidR="004F1B06">
        <w:rPr>
          <w:rFonts w:cs="Calibri"/>
          <w:iCs/>
          <w:color w:val="000000"/>
        </w:rPr>
        <w:t>svjete, asfaltiranja puteva u Mjesnoj Zajednici, izgradnji više</w:t>
      </w:r>
      <w:r w:rsidR="00B60C3D">
        <w:rPr>
          <w:rFonts w:cs="Calibri"/>
          <w:iCs/>
          <w:color w:val="000000"/>
        </w:rPr>
        <w:t>-</w:t>
      </w:r>
      <w:r w:rsidR="004F1B06">
        <w:rPr>
          <w:rFonts w:cs="Calibri"/>
          <w:iCs/>
          <w:color w:val="000000"/>
        </w:rPr>
        <w:t xml:space="preserve">namjenskog mjesnog centra </w:t>
      </w:r>
      <w:r w:rsidR="00B60C3D">
        <w:rPr>
          <w:rFonts w:cs="Calibri"/>
          <w:iCs/>
          <w:color w:val="000000"/>
        </w:rPr>
        <w:t xml:space="preserve">i slično. </w:t>
      </w:r>
    </w:p>
    <w:p w:rsidR="00C40FF4" w:rsidRDefault="00FA46CF" w:rsidP="00FA46CF">
      <w:pPr>
        <w:spacing w:line="276" w:lineRule="auto"/>
        <w:jc w:val="both"/>
        <w:rPr>
          <w:rFonts w:cs="Calibri"/>
          <w:iCs/>
          <w:color w:val="000000"/>
        </w:rPr>
      </w:pPr>
      <w:r>
        <w:rPr>
          <w:rFonts w:cs="Calibri"/>
          <w:iCs/>
          <w:color w:val="000000"/>
        </w:rPr>
        <w:t xml:space="preserve">Poseban kuriozitet ove mjesne zajednice, a slično je i sa cijelom ovom oblašću, da ogroman broj ljudi iz nje živi i radi u inostranstvu, prvenstveno u Sjedinjenim Američkim Državama. Računa se da bar </w:t>
      </w:r>
      <w:r w:rsidR="00342994">
        <w:rPr>
          <w:rFonts w:cs="Calibri"/>
          <w:iCs/>
          <w:color w:val="000000"/>
        </w:rPr>
        <w:t xml:space="preserve">polovina stanovništva ove Mjesne Zajednice živi u SAD. Dijaspora ovog kraja je snažno povezana sa svojom starim krajem o čemu svjedoči činjenica da je uvijek bila široke ruke kada je trebalo pomoći realizaciju različitih zajedničkih </w:t>
      </w:r>
      <w:r w:rsidR="00C40FF4">
        <w:rPr>
          <w:rFonts w:cs="Calibri"/>
          <w:iCs/>
          <w:color w:val="000000"/>
        </w:rPr>
        <w:t xml:space="preserve">projekata. </w:t>
      </w:r>
      <w:r w:rsidR="00B60C3D">
        <w:rPr>
          <w:rFonts w:cs="Calibri"/>
          <w:iCs/>
          <w:color w:val="000000"/>
        </w:rPr>
        <w:t xml:space="preserve">Iako već dugo rade i žive u SAD njihova spremnost da se vrate u stari kraj čim se stvore uslovi za investiranje i zapošljavanje je neupitna. O tome najbolje svjedoči činjenica da je u Plavu </w:t>
      </w:r>
      <w:r w:rsidR="00CD3146">
        <w:rPr>
          <w:rFonts w:cs="Calibri"/>
          <w:iCs/>
          <w:color w:val="000000"/>
        </w:rPr>
        <w:t xml:space="preserve">zemlja </w:t>
      </w:r>
      <w:r w:rsidR="00B60C3D">
        <w:rPr>
          <w:rFonts w:cs="Calibri"/>
          <w:iCs/>
          <w:color w:val="000000"/>
        </w:rPr>
        <w:t xml:space="preserve">već tradicionalno skupa kao u primorskim opštinama. Jedno vrijeme se samo Budva mogla upoređivati sa Plavom po cijeni kvadratnog metra zemljišta. </w:t>
      </w:r>
    </w:p>
    <w:p w:rsidR="00C40FF4" w:rsidRDefault="00E07F85" w:rsidP="00FA46CF">
      <w:pPr>
        <w:spacing w:line="276" w:lineRule="auto"/>
        <w:jc w:val="both"/>
        <w:rPr>
          <w:lang w:val="hr-HR"/>
        </w:rPr>
      </w:pPr>
      <w:r w:rsidRPr="00E07F85">
        <w:rPr>
          <w:b/>
        </w:rPr>
        <w:t>2</w:t>
      </w:r>
      <w:r>
        <w:t xml:space="preserve">. </w:t>
      </w:r>
      <w:r w:rsidR="000A64AB">
        <w:t>Kada je rije</w:t>
      </w:r>
      <w:r w:rsidR="000A64AB">
        <w:rPr>
          <w:lang w:val="hr-HR"/>
        </w:rPr>
        <w:t>č o identifikaciji mogućih tokova gubitaka u turizmu prvo smo utvr</w:t>
      </w:r>
      <w:r w:rsidR="00004271">
        <w:rPr>
          <w:lang w:val="hr-HR"/>
        </w:rPr>
        <w:t xml:space="preserve">dili dimenzije očekivanog toka vrijednosti u turizmu (mjerenih dodatom vrijednošću i BDP-om) pod pretpostavkom da nema mHE projekata. Potom je ista takva projekcija napravljena za scenarij kada imamo dvije mHE. Konačno razlika između vrijednosti dobijenih u ova dva toka utvrdili smo vrijednost gubitaka u turizmu. </w:t>
      </w:r>
    </w:p>
    <w:p w:rsidR="00ED7D67" w:rsidRDefault="00677B61" w:rsidP="00FA46CF">
      <w:pPr>
        <w:spacing w:line="276" w:lineRule="auto"/>
        <w:jc w:val="both"/>
        <w:rPr>
          <w:lang w:val="hr-HR"/>
        </w:rPr>
      </w:pPr>
      <w:r>
        <w:rPr>
          <w:lang w:val="hr-HR"/>
        </w:rPr>
        <w:t>Mjesnu Zajednicu Prnjavor smo, kao što je već rečeno, uzeli kao aproksimaciju domena na kojem bi dve mHE mogle imati negativnog uticaja na turizam i poljoprivredu. Na osnovu, ne baš recentnih, lokalnih podataka o zaposlenosti u turizmu u Plava, procijenili smo i mogući nivo zaposlenih u turizmu u oblasti Mjesne Zajednice Prnjavor</w:t>
      </w:r>
      <w:r w:rsidR="00CD3146">
        <w:rPr>
          <w:lang w:val="hr-HR"/>
        </w:rPr>
        <w:t>,</w:t>
      </w:r>
      <w:r w:rsidR="00ED7D67">
        <w:rPr>
          <w:lang w:val="hr-HR"/>
        </w:rPr>
        <w:t xml:space="preserve"> a na osnovu ove procjene smo izračunali i moguću vrijednost BDP-a u turizmu ovog kraja</w:t>
      </w:r>
      <w:r>
        <w:rPr>
          <w:lang w:val="hr-HR"/>
        </w:rPr>
        <w:t xml:space="preserve">. </w:t>
      </w:r>
    </w:p>
    <w:p w:rsidR="00531F0B" w:rsidRDefault="00677B61" w:rsidP="00FA46CF">
      <w:pPr>
        <w:spacing w:line="276" w:lineRule="auto"/>
        <w:jc w:val="both"/>
        <w:rPr>
          <w:lang w:val="hr-HR"/>
        </w:rPr>
      </w:pPr>
      <w:r>
        <w:rPr>
          <w:lang w:val="hr-HR"/>
        </w:rPr>
        <w:t>Prema toj procjeni, koja polazi od toga da oko 200 ljudi radi stal</w:t>
      </w:r>
      <w:r w:rsidR="00ED7D67">
        <w:rPr>
          <w:lang w:val="hr-HR"/>
        </w:rPr>
        <w:t>no</w:t>
      </w:r>
      <w:r w:rsidR="00CD3146">
        <w:rPr>
          <w:lang w:val="hr-HR"/>
        </w:rPr>
        <w:t>,</w:t>
      </w:r>
      <w:r w:rsidR="00ED7D67">
        <w:rPr>
          <w:lang w:val="hr-HR"/>
        </w:rPr>
        <w:t xml:space="preserve"> a oko 90 sezonski u turizmu Plava, ispada da o</w:t>
      </w:r>
      <w:r w:rsidR="00531F0B">
        <w:rPr>
          <w:lang w:val="hr-HR"/>
        </w:rPr>
        <w:t>ko 20 ljudi radi stalno</w:t>
      </w:r>
      <w:r w:rsidR="00CD3146">
        <w:rPr>
          <w:lang w:val="hr-HR"/>
        </w:rPr>
        <w:t>,</w:t>
      </w:r>
      <w:r w:rsidR="00531F0B">
        <w:rPr>
          <w:lang w:val="hr-HR"/>
        </w:rPr>
        <w:t xml:space="preserve"> a 10</w:t>
      </w:r>
      <w:r w:rsidR="00ED7D67">
        <w:rPr>
          <w:lang w:val="hr-HR"/>
        </w:rPr>
        <w:t xml:space="preserve"> sezonski (4 mjeseca godišnje) u turitmu M. Z. Prnjavora. Prema tome možemo zaključiti da se </w:t>
      </w:r>
      <w:r w:rsidR="00531F0B">
        <w:rPr>
          <w:lang w:val="hr-HR"/>
        </w:rPr>
        <w:t xml:space="preserve">ukupni godišnji </w:t>
      </w:r>
      <w:r w:rsidR="00ED7D67">
        <w:rPr>
          <w:lang w:val="hr-HR"/>
        </w:rPr>
        <w:t xml:space="preserve">prinosi ostvareni </w:t>
      </w:r>
      <w:r w:rsidR="00531F0B">
        <w:rPr>
          <w:lang w:val="hr-HR"/>
        </w:rPr>
        <w:t xml:space="preserve">po osnovu od rada mogu ocijeniti kao bruto plate za </w:t>
      </w:r>
      <w:r w:rsidR="007C5DE2">
        <w:rPr>
          <w:lang w:val="hr-HR"/>
        </w:rPr>
        <w:t>280 mjesečnih zarada u turizmu</w:t>
      </w:r>
      <w:r w:rsidR="00531F0B">
        <w:rPr>
          <w:lang w:val="hr-HR"/>
        </w:rPr>
        <w:t xml:space="preserve"> (20 radnika x 12 mjeseci + 10 radnika x 4 mjeseca). Vrijednost ovog broja zarada ostvarenih u turizmu predstavlja dio BDP-a koji predstavlja radne dohodke. Njima trreba dodati dohodke od kapitala i dohodke ostalih stakeholdera da bi aproksimirali BDP turizma u ovoj mjesnoj zajednici. </w:t>
      </w:r>
    </w:p>
    <w:p w:rsidR="00BC6A0E" w:rsidRDefault="007C5DE2" w:rsidP="00FA46CF">
      <w:pPr>
        <w:spacing w:line="276" w:lineRule="auto"/>
        <w:jc w:val="both"/>
        <w:rPr>
          <w:lang w:val="hr-HR"/>
        </w:rPr>
      </w:pPr>
      <w:r>
        <w:rPr>
          <w:lang w:val="hr-HR"/>
        </w:rPr>
        <w:t>I</w:t>
      </w:r>
      <w:r w:rsidR="00ED7D67">
        <w:rPr>
          <w:lang w:val="hr-HR"/>
        </w:rPr>
        <w:t>majući u vidu da je prosječna plata u Plavu 2018</w:t>
      </w:r>
      <w:r w:rsidR="00CD3146">
        <w:rPr>
          <w:lang w:val="hr-HR"/>
        </w:rPr>
        <w:t>.</w:t>
      </w:r>
      <w:r w:rsidR="003F70E5">
        <w:rPr>
          <w:lang w:val="hr-HR"/>
        </w:rPr>
        <w:t xml:space="preserve"> iznosila</w:t>
      </w:r>
      <w:r w:rsidR="00ED7D67">
        <w:rPr>
          <w:lang w:val="hr-HR"/>
        </w:rPr>
        <w:t>, prema podacima Monstata, o</w:t>
      </w:r>
      <w:r w:rsidR="003F70E5">
        <w:rPr>
          <w:lang w:val="hr-HR"/>
        </w:rPr>
        <w:t>ko 500 eura neto, odnosno oko 75</w:t>
      </w:r>
      <w:r w:rsidR="00ED7D67">
        <w:rPr>
          <w:lang w:val="hr-HR"/>
        </w:rPr>
        <w:t xml:space="preserve">0 eura </w:t>
      </w:r>
      <w:r>
        <w:rPr>
          <w:lang w:val="hr-HR"/>
        </w:rPr>
        <w:t>mjereno u bruto iznosu</w:t>
      </w:r>
      <w:r w:rsidR="003F70E5">
        <w:rPr>
          <w:lang w:val="hr-HR"/>
        </w:rPr>
        <w:t>,</w:t>
      </w:r>
      <w:r>
        <w:rPr>
          <w:lang w:val="hr-HR"/>
        </w:rPr>
        <w:t xml:space="preserve"> zaključujemo, znajući da su u Crnoj Gori za</w:t>
      </w:r>
      <w:r w:rsidR="00CD3146">
        <w:rPr>
          <w:lang w:val="hr-HR"/>
        </w:rPr>
        <w:t>r</w:t>
      </w:r>
      <w:r>
        <w:rPr>
          <w:lang w:val="hr-HR"/>
        </w:rPr>
        <w:t xml:space="preserve">ade </w:t>
      </w:r>
      <w:r w:rsidR="003F70E5">
        <w:rPr>
          <w:lang w:val="hr-HR"/>
        </w:rPr>
        <w:t>u turizmu</w:t>
      </w:r>
      <w:r>
        <w:rPr>
          <w:lang w:val="hr-HR"/>
        </w:rPr>
        <w:t xml:space="preserve"> na nivou od </w:t>
      </w:r>
      <w:r w:rsidR="00B64A59">
        <w:rPr>
          <w:lang w:val="hr-HR"/>
        </w:rPr>
        <w:t xml:space="preserve">oko </w:t>
      </w:r>
      <w:r>
        <w:rPr>
          <w:lang w:val="hr-HR"/>
        </w:rPr>
        <w:t xml:space="preserve">85% od prosječnih, da je bruto zarada u turizmu Plava iznosila </w:t>
      </w:r>
      <w:r w:rsidR="001408F1">
        <w:rPr>
          <w:lang w:val="hr-HR"/>
        </w:rPr>
        <w:t>oko 640</w:t>
      </w:r>
      <w:r w:rsidR="003F70E5">
        <w:rPr>
          <w:lang w:val="hr-HR"/>
        </w:rPr>
        <w:t xml:space="preserve"> eura mjesečno. Pretpostavljajući da je bruto zarada turizma u Prnjavoru bila na tom istom nivou zaključujemo da je ukupan fond bruto zarada, odnosno dio BDP-a koji čini radne dohodke iznosio </w:t>
      </w:r>
      <w:r w:rsidR="001408F1">
        <w:rPr>
          <w:lang w:val="hr-HR"/>
        </w:rPr>
        <w:t xml:space="preserve">oko </w:t>
      </w:r>
      <w:r w:rsidR="00B64A59">
        <w:rPr>
          <w:lang w:val="hr-HR"/>
        </w:rPr>
        <w:t>180,000 eura</w:t>
      </w:r>
      <w:r w:rsidR="001408F1">
        <w:rPr>
          <w:lang w:val="hr-HR"/>
        </w:rPr>
        <w:t xml:space="preserve"> (640 eura x 280 zarada). </w:t>
      </w:r>
    </w:p>
    <w:p w:rsidR="00677B61" w:rsidRDefault="00B64A59" w:rsidP="00FA46CF">
      <w:pPr>
        <w:spacing w:line="276" w:lineRule="auto"/>
        <w:jc w:val="both"/>
        <w:rPr>
          <w:lang w:val="hr-HR"/>
        </w:rPr>
      </w:pPr>
      <w:r>
        <w:rPr>
          <w:lang w:val="hr-HR"/>
        </w:rPr>
        <w:t>Obično se neradni dohodci</w:t>
      </w:r>
      <w:r w:rsidR="00BC6A0E">
        <w:rPr>
          <w:lang w:val="hr-HR"/>
        </w:rPr>
        <w:t xml:space="preserve"> (dohodci od fizičkog i prirodnog kapitala)</w:t>
      </w:r>
      <w:r>
        <w:rPr>
          <w:lang w:val="hr-HR"/>
        </w:rPr>
        <w:t xml:space="preserve"> kreću od 30% do 40% od ukupnog BDP-a, s tim što </w:t>
      </w:r>
      <w:r w:rsidR="00BC6A0E">
        <w:rPr>
          <w:lang w:val="hr-HR"/>
        </w:rPr>
        <w:t>je u poslednjih par dekada to učešće mnogo bliže većoj od dvije veličine</w:t>
      </w:r>
      <w:r>
        <w:rPr>
          <w:lang w:val="hr-HR"/>
        </w:rPr>
        <w:t>. Imajući u vidu visoku kapitalnu intezivnost turizma</w:t>
      </w:r>
      <w:r w:rsidR="00CD3146">
        <w:rPr>
          <w:lang w:val="hr-HR"/>
        </w:rPr>
        <w:t>,</w:t>
      </w:r>
      <w:r>
        <w:rPr>
          <w:lang w:val="hr-HR"/>
        </w:rPr>
        <w:t xml:space="preserve"> a i druge stakehodere </w:t>
      </w:r>
      <w:r w:rsidR="00BC6A0E">
        <w:rPr>
          <w:lang w:val="hr-HR"/>
        </w:rPr>
        <w:t>koji su ovdje involvirani možemo zaključiti da ostali djelovi BDP-a čine 48%, što predstavlja iznos od 170,000 eura. Sumiranjem dolazimo do zaklučka da bi u ovom času BDP koji se ostvari</w:t>
      </w:r>
      <w:r w:rsidR="005A1F0D">
        <w:rPr>
          <w:lang w:val="hr-HR"/>
        </w:rPr>
        <w:t xml:space="preserve"> u turizmu</w:t>
      </w:r>
      <w:r w:rsidR="00BC6A0E">
        <w:rPr>
          <w:lang w:val="hr-HR"/>
        </w:rPr>
        <w:t xml:space="preserve"> na teritoriji M. Z. Prnjavor trebao biti na nivou od </w:t>
      </w:r>
      <w:r w:rsidR="00BC6A0E">
        <w:rPr>
          <w:lang w:val="hr-HR"/>
        </w:rPr>
        <w:lastRenderedPageBreak/>
        <w:t>350,000 eura. Imajući u vidu konzervativne pretpostavke od kojih smo pošli, mogli bi reći da je to, zapravo, na</w:t>
      </w:r>
      <w:r w:rsidR="005A1F0D">
        <w:rPr>
          <w:lang w:val="hr-HR"/>
        </w:rPr>
        <w:t xml:space="preserve">jmanja moguća vrijednost BDP-a koji se ovdje stvara. </w:t>
      </w:r>
    </w:p>
    <w:p w:rsidR="005A1F0D" w:rsidRDefault="005A1F0D" w:rsidP="00FA46CF">
      <w:pPr>
        <w:spacing w:line="276" w:lineRule="auto"/>
        <w:jc w:val="both"/>
        <w:rPr>
          <w:lang w:val="hr-HR"/>
        </w:rPr>
      </w:pPr>
      <w:r>
        <w:rPr>
          <w:lang w:val="hr-HR"/>
        </w:rPr>
        <w:t xml:space="preserve">Imajući u vidu ranije opisane razloge za pozitivna očekivanja o kretanju turističke privrede u Plavsko-Gusinjskoj oblasti, možemo sa velikom izvesnošću tvrditi da stopa rasta turističkog BDP-a u ovoj oblasti ne može biti manja od 5% godišnje. Obratimo pažnju da je ova stopa znatno ispod one od koje polaze ne samo domaći eksperti, već i renomirane strane konsultantske kuće. </w:t>
      </w:r>
      <w:r w:rsidR="00CF76B9">
        <w:rPr>
          <w:lang w:val="hr-HR"/>
        </w:rPr>
        <w:t>Tako</w:t>
      </w:r>
      <w:r w:rsidR="00CD3146">
        <w:rPr>
          <w:lang w:val="hr-HR"/>
        </w:rPr>
        <w:t>đ</w:t>
      </w:r>
      <w:r w:rsidR="00CF76B9">
        <w:rPr>
          <w:lang w:val="hr-HR"/>
        </w:rPr>
        <w:t>e ona je manja i od stope rasta broja no</w:t>
      </w:r>
      <w:r w:rsidR="00CD3146">
        <w:rPr>
          <w:lang w:val="hr-HR"/>
        </w:rPr>
        <w:t>ć</w:t>
      </w:r>
      <w:r w:rsidR="00CF76B9">
        <w:rPr>
          <w:lang w:val="hr-HR"/>
        </w:rPr>
        <w:t xml:space="preserve">enja u minulim godinama. </w:t>
      </w:r>
      <w:r w:rsidR="00725535">
        <w:rPr>
          <w:lang w:val="hr-HR"/>
        </w:rPr>
        <w:t>Ako bi se stvari i u Prnjavoru kretale na isti način, što bi i bio slučaj kada nebi bilo elektrana, tada bi NP</w:t>
      </w:r>
      <w:r w:rsidR="00CF76B9">
        <w:rPr>
          <w:lang w:val="hr-HR"/>
        </w:rPr>
        <w:t>V ovako definisanih tokova, polazeći od diskontne stope od 9% primjerene turizmu</w:t>
      </w:r>
      <w:r w:rsidR="00B3341C">
        <w:rPr>
          <w:lang w:val="hr-HR"/>
        </w:rPr>
        <w:t xml:space="preserve"> i stope rasta od 5%</w:t>
      </w:r>
      <w:r w:rsidR="00CF76B9">
        <w:rPr>
          <w:lang w:val="hr-HR"/>
        </w:rPr>
        <w:t xml:space="preserve">, imale sledeću vrijednost </w:t>
      </w:r>
    </w:p>
    <w:p w:rsidR="00725535" w:rsidRDefault="00CF76B9" w:rsidP="00CF76B9">
      <w:pPr>
        <w:spacing w:line="276" w:lineRule="auto"/>
        <w:jc w:val="center"/>
        <w:rPr>
          <w:lang w:val="hr-HR"/>
        </w:rPr>
      </w:pPr>
      <w:r>
        <w:rPr>
          <w:lang w:val="hr-HR"/>
        </w:rPr>
        <w:t>NPV</w:t>
      </w:r>
      <w:r w:rsidR="00B95CCD">
        <w:rPr>
          <w:lang w:val="hr-HR"/>
        </w:rPr>
        <w:t>t</w:t>
      </w:r>
      <w:r>
        <w:rPr>
          <w:lang w:val="hr-HR"/>
        </w:rPr>
        <w:t xml:space="preserve"> = 350,000 / (9%-5%) = 350,000 / 4% = </w:t>
      </w:r>
      <w:r w:rsidR="00B3341C" w:rsidRPr="00B3341C">
        <w:rPr>
          <w:b/>
          <w:lang w:val="hr-HR"/>
        </w:rPr>
        <w:t>8,750,000</w:t>
      </w:r>
      <w:r w:rsidR="00B3341C">
        <w:rPr>
          <w:lang w:val="hr-HR"/>
        </w:rPr>
        <w:t xml:space="preserve"> eura. </w:t>
      </w:r>
    </w:p>
    <w:p w:rsidR="00DB04EB" w:rsidRDefault="00DB04EB" w:rsidP="00DB04EB">
      <w:pPr>
        <w:spacing w:line="276" w:lineRule="auto"/>
        <w:jc w:val="both"/>
        <w:rPr>
          <w:lang w:val="hr-HR"/>
        </w:rPr>
      </w:pPr>
      <w:r>
        <w:rPr>
          <w:lang w:val="hr-HR"/>
        </w:rPr>
        <w:t xml:space="preserve">Ako bi sada zbog već pomenutog konflikta između dvije djelatnosti, rast vrijednosti koje stvara turistička djelatnost, zbog postojanja mHE, bio sporiji za samo jedan procentni poen, tada bi NPV iznosio </w:t>
      </w:r>
    </w:p>
    <w:p w:rsidR="00DB04EB" w:rsidRPr="000A64AB" w:rsidRDefault="00DB04EB" w:rsidP="00DB04EB">
      <w:pPr>
        <w:spacing w:line="276" w:lineRule="auto"/>
        <w:jc w:val="center"/>
        <w:rPr>
          <w:lang w:val="hr-HR"/>
        </w:rPr>
      </w:pPr>
      <w:r>
        <w:rPr>
          <w:lang w:val="hr-HR"/>
        </w:rPr>
        <w:t>NPV</w:t>
      </w:r>
      <w:r w:rsidR="00F8547A">
        <w:rPr>
          <w:lang w:val="hr-HR"/>
        </w:rPr>
        <w:t>e</w:t>
      </w:r>
      <w:r>
        <w:rPr>
          <w:lang w:val="hr-HR"/>
        </w:rPr>
        <w:t xml:space="preserve"> = 350,000 / (9%-4%) = 350,000 / 5% = </w:t>
      </w:r>
      <w:r w:rsidR="00017627">
        <w:rPr>
          <w:b/>
          <w:lang w:val="hr-HR"/>
        </w:rPr>
        <w:t>7,000,000</w:t>
      </w:r>
      <w:r>
        <w:rPr>
          <w:lang w:val="hr-HR"/>
        </w:rPr>
        <w:t xml:space="preserve"> eura. </w:t>
      </w:r>
    </w:p>
    <w:p w:rsidR="00E07F85" w:rsidRDefault="00DB04EB" w:rsidP="00FA46CF">
      <w:pPr>
        <w:spacing w:line="276" w:lineRule="auto"/>
        <w:jc w:val="both"/>
      </w:pPr>
      <w:r>
        <w:t xml:space="preserve">Ako bi, međutim, rast turizma bio manji za dva procentna poena, što je bliže realnosti, tada bi NPV vrijednosti koje stvara turizam iznosio </w:t>
      </w:r>
    </w:p>
    <w:p w:rsidR="00DB04EB" w:rsidRDefault="00DB04EB" w:rsidP="00DB04EB">
      <w:pPr>
        <w:spacing w:line="276" w:lineRule="auto"/>
        <w:jc w:val="center"/>
        <w:rPr>
          <w:lang w:val="hr-HR"/>
        </w:rPr>
      </w:pPr>
      <w:r>
        <w:rPr>
          <w:lang w:val="hr-HR"/>
        </w:rPr>
        <w:t>NPV</w:t>
      </w:r>
      <w:r w:rsidR="00F8547A">
        <w:rPr>
          <w:lang w:val="hr-HR"/>
        </w:rPr>
        <w:t>e</w:t>
      </w:r>
      <w:r>
        <w:rPr>
          <w:lang w:val="hr-HR"/>
        </w:rPr>
        <w:t xml:space="preserve"> = 350,000 / (9%-3%) = 350,000 / 6% = </w:t>
      </w:r>
      <w:r w:rsidR="00F8547A">
        <w:rPr>
          <w:b/>
          <w:lang w:val="hr-HR"/>
        </w:rPr>
        <w:t>5,833,333</w:t>
      </w:r>
      <w:r>
        <w:rPr>
          <w:lang w:val="hr-HR"/>
        </w:rPr>
        <w:t xml:space="preserve"> eura. </w:t>
      </w:r>
    </w:p>
    <w:p w:rsidR="00E07F85" w:rsidRDefault="00F8547A" w:rsidP="00F8547A">
      <w:pPr>
        <w:spacing w:line="276" w:lineRule="auto"/>
        <w:jc w:val="both"/>
      </w:pPr>
      <w:r>
        <w:t xml:space="preserve">U oba slučaja je razlika izrazito velika što upućuje na zaklučak da su potencijalni gubici turizma zbog izgradnje mHE izrazito visoki. U prvom slučaju ta razlika iznosi </w:t>
      </w:r>
    </w:p>
    <w:p w:rsidR="00F8547A" w:rsidRDefault="00F8547A" w:rsidP="00F8547A">
      <w:pPr>
        <w:spacing w:line="276" w:lineRule="auto"/>
        <w:jc w:val="center"/>
      </w:pPr>
      <w:r>
        <w:t xml:space="preserve">NPVe – NPVt = 7,000,000 – 8,750,000 = </w:t>
      </w:r>
      <w:r w:rsidRPr="00F8547A">
        <w:rPr>
          <w:b/>
        </w:rPr>
        <w:t xml:space="preserve">- 1,750,000 </w:t>
      </w:r>
      <w:r>
        <w:t xml:space="preserve">eura, </w:t>
      </w:r>
    </w:p>
    <w:p w:rsidR="00F8547A" w:rsidRDefault="00F8547A" w:rsidP="00F8547A">
      <w:pPr>
        <w:spacing w:line="276" w:lineRule="auto"/>
      </w:pPr>
      <w:r>
        <w:t xml:space="preserve">dok su u drugom slučaju potencijalni gubici na nivou od </w:t>
      </w:r>
    </w:p>
    <w:p w:rsidR="00F8547A" w:rsidRDefault="00F8547A" w:rsidP="00F8547A">
      <w:pPr>
        <w:spacing w:line="276" w:lineRule="auto"/>
        <w:jc w:val="center"/>
      </w:pPr>
      <w:r>
        <w:t xml:space="preserve">NPVe – NPVt = 5,833,333 – 8,750,000 = </w:t>
      </w:r>
      <w:r>
        <w:rPr>
          <w:b/>
        </w:rPr>
        <w:t xml:space="preserve">- </w:t>
      </w:r>
      <w:r w:rsidR="00E5628F">
        <w:rPr>
          <w:b/>
        </w:rPr>
        <w:t>2,916,667</w:t>
      </w:r>
      <w:r>
        <w:t xml:space="preserve">eura, </w:t>
      </w:r>
    </w:p>
    <w:p w:rsidR="00FA46CF" w:rsidRPr="00E5628F" w:rsidRDefault="003336BD" w:rsidP="00E5628F">
      <w:pPr>
        <w:jc w:val="both"/>
      </w:pPr>
      <w:r>
        <w:t>Riječ je očito o značajnim neg</w:t>
      </w:r>
      <w:r w:rsidR="00E5628F" w:rsidRPr="00E5628F">
        <w:t>ativnim stavkama, odnosno društvenim gubicima, koje bi kada bi ih oduzeli od</w:t>
      </w:r>
      <w:r w:rsidR="00E5628F">
        <w:t xml:space="preserve">NPV-a društvenog toka iz prethodne glave znatno uticale na njegovo smanjenje vrijednosti. </w:t>
      </w:r>
      <w:r>
        <w:t>U tom smislu, apsolutna vrijednost prve, manje</w:t>
      </w:r>
      <w:r w:rsidR="0061532E">
        <w:t xml:space="preserve"> od dvije mjera društvenih gubitika </w:t>
      </w:r>
      <w:r>
        <w:t>ve</w:t>
      </w:r>
      <w:r w:rsidR="00CD3146">
        <w:t>ć</w:t>
      </w:r>
      <w:r>
        <w:t xml:space="preserve">a </w:t>
      </w:r>
      <w:r w:rsidR="00104B7D">
        <w:t xml:space="preserve">je </w:t>
      </w:r>
      <w:r>
        <w:t>od kompletne vrijednosti društvenog toka</w:t>
      </w:r>
      <w:r w:rsidR="00104B7D">
        <w:t xml:space="preserve"> prinosa iz prethodne glave</w:t>
      </w:r>
      <w:r>
        <w:t xml:space="preserve"> u dva poslednja scenarija koji, kao što znamo, predstavlja sumu prinosa svih stakeholdera involviranih direktno u projekat. </w:t>
      </w:r>
    </w:p>
    <w:p w:rsidR="00F8547A" w:rsidRDefault="00F8547A"/>
    <w:p w:rsidR="00EE46A5" w:rsidRDefault="00EE46A5">
      <w:r>
        <w:br w:type="page"/>
      </w:r>
    </w:p>
    <w:p w:rsidR="00EE46A5" w:rsidRDefault="00EE46A5" w:rsidP="00E6711F">
      <w:pPr>
        <w:spacing w:line="276" w:lineRule="auto"/>
        <w:jc w:val="both"/>
      </w:pPr>
    </w:p>
    <w:p w:rsidR="00EE46A5" w:rsidRDefault="00EE46A5" w:rsidP="00E6711F">
      <w:pPr>
        <w:spacing w:line="276" w:lineRule="auto"/>
        <w:jc w:val="both"/>
      </w:pPr>
    </w:p>
    <w:p w:rsidR="00EE46A5" w:rsidRPr="00EE46A5" w:rsidRDefault="00EE46A5" w:rsidP="00E6711F">
      <w:pPr>
        <w:spacing w:line="276" w:lineRule="auto"/>
        <w:jc w:val="both"/>
        <w:rPr>
          <w:b/>
          <w:sz w:val="28"/>
          <w:szCs w:val="28"/>
        </w:rPr>
      </w:pPr>
      <w:r w:rsidRPr="00EE46A5">
        <w:rPr>
          <w:b/>
          <w:sz w:val="28"/>
          <w:szCs w:val="28"/>
        </w:rPr>
        <w:t xml:space="preserve">4.3. </w:t>
      </w:r>
      <w:r w:rsidR="00BB47ED">
        <w:rPr>
          <w:b/>
          <w:sz w:val="28"/>
          <w:szCs w:val="28"/>
        </w:rPr>
        <w:t>Mogući g</w:t>
      </w:r>
      <w:r w:rsidRPr="00EE46A5">
        <w:rPr>
          <w:b/>
          <w:sz w:val="28"/>
          <w:szCs w:val="28"/>
        </w:rPr>
        <w:t>ub</w:t>
      </w:r>
      <w:r w:rsidR="00C415F4">
        <w:rPr>
          <w:b/>
          <w:sz w:val="28"/>
          <w:szCs w:val="28"/>
        </w:rPr>
        <w:t>ic</w:t>
      </w:r>
      <w:r w:rsidR="00BB47ED">
        <w:rPr>
          <w:b/>
          <w:sz w:val="28"/>
          <w:szCs w:val="28"/>
        </w:rPr>
        <w:t xml:space="preserve">i u poljoprivredi </w:t>
      </w:r>
    </w:p>
    <w:p w:rsidR="009D2B1B" w:rsidRDefault="00557175" w:rsidP="009D2B1B">
      <w:pPr>
        <w:spacing w:line="276" w:lineRule="auto"/>
        <w:jc w:val="both"/>
        <w:rPr>
          <w:lang w:val="hr-HR"/>
        </w:rPr>
      </w:pPr>
      <w:r>
        <w:t>I</w:t>
      </w:r>
      <w:r w:rsidR="009D2B1B">
        <w:rPr>
          <w:lang w:val="hr-HR"/>
        </w:rPr>
        <w:t>dentifikaciji m</w:t>
      </w:r>
      <w:r>
        <w:rPr>
          <w:lang w:val="hr-HR"/>
        </w:rPr>
        <w:t xml:space="preserve">ogućih tokova gubitaka u poljoprivredi smo prišli na sličan način kao i kod turizma.Dakle, </w:t>
      </w:r>
      <w:r w:rsidR="009D2B1B">
        <w:rPr>
          <w:lang w:val="hr-HR"/>
        </w:rPr>
        <w:t>prvo smo utvrdili dimenzije očeki</w:t>
      </w:r>
      <w:r>
        <w:rPr>
          <w:lang w:val="hr-HR"/>
        </w:rPr>
        <w:t>vanog toka vrijednosti u poljoprivredi</w:t>
      </w:r>
      <w:r w:rsidR="009D2B1B">
        <w:rPr>
          <w:lang w:val="hr-HR"/>
        </w:rPr>
        <w:t xml:space="preserve"> pod pretpostavkom da nema mHE projekata. Potom je ista takva projekcija napravljena za scenar</w:t>
      </w:r>
      <w:r>
        <w:rPr>
          <w:lang w:val="hr-HR"/>
        </w:rPr>
        <w:t>ij kada imamo dvije mHE. R</w:t>
      </w:r>
      <w:r w:rsidR="009D2B1B">
        <w:rPr>
          <w:lang w:val="hr-HR"/>
        </w:rPr>
        <w:t xml:space="preserve">azlika između vrijednosti dobijenih u ova dva toka utvrdili smo vrijednost </w:t>
      </w:r>
      <w:r>
        <w:rPr>
          <w:lang w:val="hr-HR"/>
        </w:rPr>
        <w:t>toka gubitaka u poljoprivredi</w:t>
      </w:r>
      <w:r w:rsidR="009D2B1B">
        <w:rPr>
          <w:lang w:val="hr-HR"/>
        </w:rPr>
        <w:t xml:space="preserve">. </w:t>
      </w:r>
    </w:p>
    <w:p w:rsidR="009D2B1B" w:rsidRDefault="00045678" w:rsidP="009D2B1B">
      <w:pPr>
        <w:spacing w:line="276" w:lineRule="auto"/>
        <w:jc w:val="both"/>
        <w:rPr>
          <w:lang w:val="hr-HR"/>
        </w:rPr>
      </w:pPr>
      <w:r>
        <w:rPr>
          <w:lang w:val="hr-HR"/>
        </w:rPr>
        <w:t xml:space="preserve">I ovdje smo </w:t>
      </w:r>
      <w:r w:rsidR="009D2B1B">
        <w:rPr>
          <w:lang w:val="hr-HR"/>
        </w:rPr>
        <w:t xml:space="preserve">Mjesnu </w:t>
      </w:r>
      <w:r w:rsidR="00E00C61">
        <w:rPr>
          <w:lang w:val="hr-HR"/>
        </w:rPr>
        <w:t>z</w:t>
      </w:r>
      <w:r w:rsidR="009D2B1B">
        <w:rPr>
          <w:lang w:val="hr-HR"/>
        </w:rPr>
        <w:t>ajednicu Prnj</w:t>
      </w:r>
      <w:r>
        <w:rPr>
          <w:lang w:val="hr-HR"/>
        </w:rPr>
        <w:t>avor</w:t>
      </w:r>
      <w:r w:rsidR="009D2B1B">
        <w:rPr>
          <w:lang w:val="hr-HR"/>
        </w:rPr>
        <w:t xml:space="preserve"> uzeli kao aproksimaciju domena na kojem bi dve mHE mogle imati </w:t>
      </w:r>
      <w:r>
        <w:rPr>
          <w:lang w:val="hr-HR"/>
        </w:rPr>
        <w:t xml:space="preserve">negativnog uticaja na </w:t>
      </w:r>
      <w:r w:rsidR="009D2B1B">
        <w:rPr>
          <w:lang w:val="hr-HR"/>
        </w:rPr>
        <w:t>poljoprivre</w:t>
      </w:r>
      <w:r>
        <w:rPr>
          <w:lang w:val="hr-HR"/>
        </w:rPr>
        <w:t>du. Na osnovu</w:t>
      </w:r>
      <w:r w:rsidR="009D2B1B">
        <w:rPr>
          <w:lang w:val="hr-HR"/>
        </w:rPr>
        <w:t xml:space="preserve"> lokalnih podataka</w:t>
      </w:r>
      <w:r w:rsidR="004615E6">
        <w:rPr>
          <w:lang w:val="hr-HR"/>
        </w:rPr>
        <w:t xml:space="preserve"> i podataka iz pop</w:t>
      </w:r>
      <w:r>
        <w:rPr>
          <w:lang w:val="hr-HR"/>
        </w:rPr>
        <w:t>isa</w:t>
      </w:r>
      <w:r w:rsidR="004615E6">
        <w:rPr>
          <w:lang w:val="hr-HR"/>
        </w:rPr>
        <w:t xml:space="preserve"> stanovništva i popisa poljoprivrede</w:t>
      </w:r>
      <w:r w:rsidR="00E03DC2">
        <w:rPr>
          <w:lang w:val="hr-HR"/>
        </w:rPr>
        <w:t>, od kojih je dobar dio dat u dodatku na kraju odelka,</w:t>
      </w:r>
      <w:r>
        <w:rPr>
          <w:lang w:val="hr-HR"/>
        </w:rPr>
        <w:t xml:space="preserve"> napravili smo procjenu ljudi anažovanih i zaposlenih u poljoprivredi </w:t>
      </w:r>
      <w:r w:rsidR="009D2B1B">
        <w:rPr>
          <w:lang w:val="hr-HR"/>
        </w:rPr>
        <w:t>Mjesne Zajednice Prnjavor</w:t>
      </w:r>
      <w:r w:rsidR="00E00C61">
        <w:rPr>
          <w:lang w:val="hr-HR"/>
        </w:rPr>
        <w:t>,</w:t>
      </w:r>
      <w:r w:rsidR="009D2B1B">
        <w:rPr>
          <w:lang w:val="hr-HR"/>
        </w:rPr>
        <w:t xml:space="preserve"> a na osnovu ove procjene smo</w:t>
      </w:r>
      <w:r>
        <w:rPr>
          <w:lang w:val="hr-HR"/>
        </w:rPr>
        <w:t>, na sličan način kao u prethodnom slučaju,</w:t>
      </w:r>
      <w:r w:rsidR="009D2B1B">
        <w:rPr>
          <w:lang w:val="hr-HR"/>
        </w:rPr>
        <w:t xml:space="preserve"> izračunali i m</w:t>
      </w:r>
      <w:r>
        <w:rPr>
          <w:lang w:val="hr-HR"/>
        </w:rPr>
        <w:t>oguću vrijednost BDP-a u poljoprivredi</w:t>
      </w:r>
      <w:r w:rsidR="009D2B1B">
        <w:rPr>
          <w:lang w:val="hr-HR"/>
        </w:rPr>
        <w:t xml:space="preserve"> ovog kraja. </w:t>
      </w:r>
    </w:p>
    <w:p w:rsidR="0055240B" w:rsidRPr="0055240B" w:rsidRDefault="0055240B" w:rsidP="009D2B1B">
      <w:pPr>
        <w:spacing w:line="276" w:lineRule="auto"/>
        <w:jc w:val="both"/>
        <w:rPr>
          <w:lang w:val="hr-HR"/>
        </w:rPr>
      </w:pPr>
      <w:r>
        <w:rPr>
          <w:lang w:val="hr-HR"/>
        </w:rPr>
        <w:t>Polazeći od podataka u dodatku ovom odeljku</w:t>
      </w:r>
      <w:r w:rsidR="007251BB">
        <w:rPr>
          <w:lang w:val="hr-HR"/>
        </w:rPr>
        <w:t>, vidimo</w:t>
      </w:r>
      <w:r>
        <w:rPr>
          <w:lang w:val="hr-HR"/>
        </w:rPr>
        <w:t xml:space="preserve"> da u M. Z. Prnjavor živi oko 965 stanovnika u </w:t>
      </w:r>
      <w:r w:rsidR="007251BB">
        <w:rPr>
          <w:lang w:val="hr-HR"/>
        </w:rPr>
        <w:t>245 domaćinstava. Broj zaposlenih koji rade puno radno vrijeme u poljoprivredi je teško odrediti pošto je ovdje, zbog dobro poznatih razloga, dobar dio ljudi u manjoj ili većoj mjeri angažovan na poslovima u poljoprivrednoj aktivnosti. S jedne strane, i oni koji su zaposleni u drugoj djelatnosti rade pomalo u poljoprrivredi. S druge strane, i oni koji formalno rade samo u poljoprivredi, zbog sezonskog karaktera ove djelatnosti a i zbog drugih razloga, angažuju se na drugim aktivnostima. Kona</w:t>
      </w:r>
      <w:r w:rsidR="00E00C61">
        <w:rPr>
          <w:lang w:val="hr-HR"/>
        </w:rPr>
        <w:t>č</w:t>
      </w:r>
      <w:r w:rsidR="007251BB">
        <w:rPr>
          <w:lang w:val="hr-HR"/>
        </w:rPr>
        <w:t xml:space="preserve">no, oni koji se tretiraju kao nezaposleni su posebno skloni angažovanju u poljoprivredi. Isto se </w:t>
      </w:r>
      <w:r w:rsidR="000B4885">
        <w:rPr>
          <w:lang w:val="hr-HR"/>
        </w:rPr>
        <w:t xml:space="preserve">odnosi i na kategoriju domaćica, pa i penzionera. Polazeći od podataka za Prnjavor i Plav o napred navedenim obeležjima, datim u dodatku ovog odeljka, moglo bi se zaključiti da je u oblasti izloženoj uticaju mHE na poljoprivredu (preko smanjenog navodnjavanja) </w:t>
      </w:r>
      <w:r w:rsidR="009B3B88">
        <w:rPr>
          <w:lang w:val="hr-HR"/>
        </w:rPr>
        <w:t>angažovanonajmanje 70</w:t>
      </w:r>
      <w:r w:rsidR="000B4885">
        <w:rPr>
          <w:lang w:val="hr-HR"/>
        </w:rPr>
        <w:t xml:space="preserve"> uslovno zaposlenih ranika (onih koji rade 8 sati dnevno)</w:t>
      </w:r>
      <w:r w:rsidR="00E5191A">
        <w:rPr>
          <w:lang w:val="hr-HR"/>
        </w:rPr>
        <w:t xml:space="preserve"> mada je broj involviranih (bilo da su u kategoriji aktivnog ili neaktivnog) znatno veći</w:t>
      </w:r>
      <w:r w:rsidR="000B4885">
        <w:rPr>
          <w:lang w:val="hr-HR"/>
        </w:rPr>
        <w:t xml:space="preserve">. </w:t>
      </w:r>
    </w:p>
    <w:p w:rsidR="009D2B1B" w:rsidRPr="00E5191A" w:rsidRDefault="00E5191A" w:rsidP="009D2B1B">
      <w:pPr>
        <w:spacing w:line="276" w:lineRule="auto"/>
        <w:jc w:val="both"/>
        <w:rPr>
          <w:lang w:val="hr-HR"/>
        </w:rPr>
      </w:pPr>
      <w:r w:rsidRPr="00E5191A">
        <w:rPr>
          <w:lang w:val="hr-HR"/>
        </w:rPr>
        <w:t>Na osnovu naprijed rečenog, možem</w:t>
      </w:r>
      <w:r w:rsidR="009D2B1B" w:rsidRPr="00E5191A">
        <w:rPr>
          <w:lang w:val="hr-HR"/>
        </w:rPr>
        <w:t>o zaključiti da se ukupni godi</w:t>
      </w:r>
      <w:r w:rsidRPr="00E5191A">
        <w:rPr>
          <w:lang w:val="hr-HR"/>
        </w:rPr>
        <w:t>šnji prinosi ostvareni</w:t>
      </w:r>
      <w:r w:rsidR="009D2B1B" w:rsidRPr="00E5191A">
        <w:rPr>
          <w:lang w:val="hr-HR"/>
        </w:rPr>
        <w:t xml:space="preserve"> od rada</w:t>
      </w:r>
      <w:r w:rsidRPr="00E5191A">
        <w:rPr>
          <w:lang w:val="hr-HR"/>
        </w:rPr>
        <w:t xml:space="preserve"> u poljoprivredi</w:t>
      </w:r>
      <w:r w:rsidR="009D2B1B" w:rsidRPr="00E5191A">
        <w:rPr>
          <w:lang w:val="hr-HR"/>
        </w:rPr>
        <w:t xml:space="preserve"> mogu </w:t>
      </w:r>
      <w:r w:rsidR="009B3B88">
        <w:rPr>
          <w:lang w:val="hr-HR"/>
        </w:rPr>
        <w:t>ocijeniti kao bruto plate za 8</w:t>
      </w:r>
      <w:r w:rsidRPr="00E5191A">
        <w:rPr>
          <w:lang w:val="hr-HR"/>
        </w:rPr>
        <w:t>40</w:t>
      </w:r>
      <w:r w:rsidR="009D2B1B" w:rsidRPr="00E5191A">
        <w:rPr>
          <w:lang w:val="hr-HR"/>
        </w:rPr>
        <w:t xml:space="preserve"> mjesečnih zarada u turizmu (</w:t>
      </w:r>
      <w:r w:rsidR="009B3B88">
        <w:rPr>
          <w:lang w:val="hr-HR"/>
        </w:rPr>
        <w:t>70</w:t>
      </w:r>
      <w:r w:rsidR="009D2B1B" w:rsidRPr="00E5191A">
        <w:rPr>
          <w:lang w:val="hr-HR"/>
        </w:rPr>
        <w:t xml:space="preserve"> radnika x 12 </w:t>
      </w:r>
      <w:r w:rsidRPr="00E5191A">
        <w:rPr>
          <w:lang w:val="hr-HR"/>
        </w:rPr>
        <w:t>mjeseci</w:t>
      </w:r>
      <w:r w:rsidR="009D2B1B" w:rsidRPr="00E5191A">
        <w:rPr>
          <w:lang w:val="hr-HR"/>
        </w:rPr>
        <w:t>). Vrijednost ovog broja zarada ostvarenih u turizmu predstavlja</w:t>
      </w:r>
      <w:r w:rsidRPr="00E5191A">
        <w:rPr>
          <w:lang w:val="hr-HR"/>
        </w:rPr>
        <w:t>, kao što znamo,</w:t>
      </w:r>
      <w:r w:rsidR="009D2B1B" w:rsidRPr="00E5191A">
        <w:rPr>
          <w:lang w:val="hr-HR"/>
        </w:rPr>
        <w:t xml:space="preserve"> dio BDP-a koji predstavlja radne dohodke. Njima</w:t>
      </w:r>
      <w:r w:rsidRPr="00E5191A">
        <w:rPr>
          <w:lang w:val="hr-HR"/>
        </w:rPr>
        <w:t>, kao i ranije,</w:t>
      </w:r>
      <w:r w:rsidR="009D2B1B" w:rsidRPr="00E5191A">
        <w:rPr>
          <w:lang w:val="hr-HR"/>
        </w:rPr>
        <w:t xml:space="preserve"> trreba dodati dohodke od kapitala i dohodke ostalih stakeholdera</w:t>
      </w:r>
      <w:r w:rsidRPr="00E5191A">
        <w:rPr>
          <w:lang w:val="hr-HR"/>
        </w:rPr>
        <w:t xml:space="preserve"> da bi aproksimirali BDP poljoprivredi u ovoj </w:t>
      </w:r>
      <w:r w:rsidR="009D2B1B" w:rsidRPr="00E5191A">
        <w:rPr>
          <w:lang w:val="hr-HR"/>
        </w:rPr>
        <w:t>zajednici</w:t>
      </w:r>
      <w:r>
        <w:rPr>
          <w:lang w:val="hr-HR"/>
        </w:rPr>
        <w:t xml:space="preserve"> izloženoj uticaju</w:t>
      </w:r>
      <w:r w:rsidR="009D2B1B" w:rsidRPr="00E5191A">
        <w:rPr>
          <w:lang w:val="hr-HR"/>
        </w:rPr>
        <w:t xml:space="preserve">. </w:t>
      </w:r>
    </w:p>
    <w:p w:rsidR="009D2B1B" w:rsidRPr="003228AF" w:rsidRDefault="009B3B88" w:rsidP="009D2B1B">
      <w:pPr>
        <w:spacing w:line="276" w:lineRule="auto"/>
        <w:jc w:val="both"/>
        <w:rPr>
          <w:lang w:val="hr-HR"/>
        </w:rPr>
      </w:pPr>
      <w:r w:rsidRPr="009B3B88">
        <w:rPr>
          <w:lang w:val="hr-HR"/>
        </w:rPr>
        <w:t>Vidjeli smo</w:t>
      </w:r>
      <w:r w:rsidR="009D2B1B" w:rsidRPr="009B3B88">
        <w:rPr>
          <w:lang w:val="hr-HR"/>
        </w:rPr>
        <w:t xml:space="preserve"> da je prosječna plata u Plavu 2018</w:t>
      </w:r>
      <w:r w:rsidR="00E00C61">
        <w:rPr>
          <w:lang w:val="hr-HR"/>
        </w:rPr>
        <w:t>.</w:t>
      </w:r>
      <w:r w:rsidR="009D2B1B" w:rsidRPr="009B3B88">
        <w:rPr>
          <w:lang w:val="hr-HR"/>
        </w:rPr>
        <w:t xml:space="preserve"> iznosila, prema podacima Monstata, oko 500 eura neto, odnosno oko 750 eura</w:t>
      </w:r>
      <w:r w:rsidRPr="009B3B88">
        <w:rPr>
          <w:lang w:val="hr-HR"/>
        </w:rPr>
        <w:t xml:space="preserve"> bruto. Z</w:t>
      </w:r>
      <w:r w:rsidR="009D2B1B" w:rsidRPr="009B3B88">
        <w:rPr>
          <w:lang w:val="hr-HR"/>
        </w:rPr>
        <w:t xml:space="preserve">najući da </w:t>
      </w:r>
      <w:r w:rsidRPr="009B3B88">
        <w:rPr>
          <w:lang w:val="hr-HR"/>
        </w:rPr>
        <w:t>su u Crnoj Gori za</w:t>
      </w:r>
      <w:r w:rsidR="00E00C61">
        <w:rPr>
          <w:lang w:val="hr-HR"/>
        </w:rPr>
        <w:t>r</w:t>
      </w:r>
      <w:r w:rsidRPr="009B3B88">
        <w:rPr>
          <w:lang w:val="hr-HR"/>
        </w:rPr>
        <w:t>ade u poljoprivredi na nivou od oko 103</w:t>
      </w:r>
      <w:r w:rsidR="009D2B1B" w:rsidRPr="009B3B88">
        <w:rPr>
          <w:lang w:val="hr-HR"/>
        </w:rPr>
        <w:t xml:space="preserve">% od prosječnih, </w:t>
      </w:r>
      <w:r w:rsidRPr="009B3B88">
        <w:rPr>
          <w:lang w:val="hr-HR"/>
        </w:rPr>
        <w:t>zaključujemo da je bruto zarada u poljoprivredi Plava iznosila oko 760</w:t>
      </w:r>
      <w:r w:rsidR="009D2B1B" w:rsidRPr="009B3B88">
        <w:rPr>
          <w:lang w:val="hr-HR"/>
        </w:rPr>
        <w:t xml:space="preserve"> eura mjesečno. Pretpostavljajući</w:t>
      </w:r>
      <w:r w:rsidRPr="009B3B88">
        <w:rPr>
          <w:lang w:val="hr-HR"/>
        </w:rPr>
        <w:t>, kao i prije, da je bruto zarada poljoprivrede</w:t>
      </w:r>
      <w:r w:rsidR="009D2B1B" w:rsidRPr="009B3B88">
        <w:rPr>
          <w:lang w:val="hr-HR"/>
        </w:rPr>
        <w:t xml:space="preserve"> u Prnjavoru bila na tom istom nivou zaključujemo da je ukupan fond bruto zarada, odnosno dio BDP-a koji čini radne dohod</w:t>
      </w:r>
      <w:r w:rsidRPr="009B3B88">
        <w:rPr>
          <w:lang w:val="hr-HR"/>
        </w:rPr>
        <w:t>ke iznosio oko 638,400 eura (760 eura x 840</w:t>
      </w:r>
      <w:r w:rsidR="009D2B1B" w:rsidRPr="009B3B88">
        <w:rPr>
          <w:lang w:val="hr-HR"/>
        </w:rPr>
        <w:t xml:space="preserve"> zarada). </w:t>
      </w:r>
    </w:p>
    <w:p w:rsidR="009D2B1B" w:rsidRPr="003228AF" w:rsidRDefault="003228AF" w:rsidP="009D2B1B">
      <w:pPr>
        <w:spacing w:line="276" w:lineRule="auto"/>
        <w:jc w:val="both"/>
        <w:rPr>
          <w:lang w:val="hr-HR"/>
        </w:rPr>
      </w:pPr>
      <w:r w:rsidRPr="003228AF">
        <w:rPr>
          <w:lang w:val="hr-HR"/>
        </w:rPr>
        <w:t>N</w:t>
      </w:r>
      <w:r w:rsidR="009D2B1B" w:rsidRPr="003228AF">
        <w:rPr>
          <w:lang w:val="hr-HR"/>
        </w:rPr>
        <w:t>eradni dohodci (dohodci od fizičkog i prirodnog kapitala)</w:t>
      </w:r>
      <w:r w:rsidRPr="003228AF">
        <w:rPr>
          <w:lang w:val="hr-HR"/>
        </w:rPr>
        <w:t>,u slučaju poljoprivrede koja se praktikuje u ovom kraju, bi trebala biti oko 20% od ukupnog BDP-a. M</w:t>
      </w:r>
      <w:r w:rsidR="009D2B1B" w:rsidRPr="003228AF">
        <w:rPr>
          <w:lang w:val="hr-HR"/>
        </w:rPr>
        <w:t>ožemo</w:t>
      </w:r>
      <w:r w:rsidRPr="003228AF">
        <w:rPr>
          <w:lang w:val="hr-HR"/>
        </w:rPr>
        <w:t>, prema tome,</w:t>
      </w:r>
      <w:r w:rsidR="009D2B1B" w:rsidRPr="003228AF">
        <w:rPr>
          <w:lang w:val="hr-HR"/>
        </w:rPr>
        <w:t xml:space="preserve"> zaključiti da os</w:t>
      </w:r>
      <w:r w:rsidRPr="003228AF">
        <w:rPr>
          <w:lang w:val="hr-HR"/>
        </w:rPr>
        <w:t>tali djelovi BDP-a</w:t>
      </w:r>
      <w:r w:rsidR="009D2B1B" w:rsidRPr="003228AF">
        <w:rPr>
          <w:lang w:val="hr-HR"/>
        </w:rPr>
        <w:t xml:space="preserve"> predstavlja izno</w:t>
      </w:r>
      <w:r w:rsidRPr="003228AF">
        <w:rPr>
          <w:lang w:val="hr-HR"/>
        </w:rPr>
        <w:t>s od 159,600</w:t>
      </w:r>
      <w:r w:rsidR="009D2B1B" w:rsidRPr="003228AF">
        <w:rPr>
          <w:lang w:val="hr-HR"/>
        </w:rPr>
        <w:t xml:space="preserve"> eura. Sumiranjem dolazimo do zakl</w:t>
      </w:r>
      <w:r w:rsidR="00E00C61">
        <w:rPr>
          <w:lang w:val="hr-HR"/>
        </w:rPr>
        <w:t>j</w:t>
      </w:r>
      <w:r w:rsidR="009D2B1B" w:rsidRPr="003228AF">
        <w:rPr>
          <w:lang w:val="hr-HR"/>
        </w:rPr>
        <w:t xml:space="preserve">učka da bi u ovom času BDP koji </w:t>
      </w:r>
      <w:r w:rsidRPr="003228AF">
        <w:rPr>
          <w:lang w:val="hr-HR"/>
        </w:rPr>
        <w:lastRenderedPageBreak/>
        <w:t>se ostvari u poljoprivredi</w:t>
      </w:r>
      <w:r w:rsidR="009D2B1B" w:rsidRPr="003228AF">
        <w:rPr>
          <w:lang w:val="hr-HR"/>
        </w:rPr>
        <w:t xml:space="preserve"> na </w:t>
      </w:r>
      <w:r w:rsidRPr="003228AF">
        <w:rPr>
          <w:lang w:val="hr-HR"/>
        </w:rPr>
        <w:t>ovoj teritoriji trebao biti na nivou od 798</w:t>
      </w:r>
      <w:r w:rsidR="009D2B1B" w:rsidRPr="003228AF">
        <w:rPr>
          <w:lang w:val="hr-HR"/>
        </w:rPr>
        <w:t>,000 eura. Imajući u vidu konzervativne pretpostavke od kojih smo pošli, mogli bi reći da je to, zapravo, najmanja moguć</w:t>
      </w:r>
      <w:r w:rsidRPr="003228AF">
        <w:rPr>
          <w:lang w:val="hr-HR"/>
        </w:rPr>
        <w:t>a vrijednost BDP-a koji se u poljoprivredi</w:t>
      </w:r>
      <w:r w:rsidR="009D2B1B" w:rsidRPr="003228AF">
        <w:rPr>
          <w:lang w:val="hr-HR"/>
        </w:rPr>
        <w:t xml:space="preserve"> stvara</w:t>
      </w:r>
      <w:r w:rsidRPr="003228AF">
        <w:rPr>
          <w:lang w:val="hr-HR"/>
        </w:rPr>
        <w:t xml:space="preserve"> u toku godine u ovom kraju</w:t>
      </w:r>
      <w:r w:rsidR="009D2B1B" w:rsidRPr="003228AF">
        <w:rPr>
          <w:lang w:val="hr-HR"/>
        </w:rPr>
        <w:t xml:space="preserve">. </w:t>
      </w:r>
    </w:p>
    <w:p w:rsidR="009D2B1B" w:rsidRPr="00315F01" w:rsidRDefault="00315F01" w:rsidP="009D2B1B">
      <w:pPr>
        <w:spacing w:line="276" w:lineRule="auto"/>
        <w:jc w:val="both"/>
        <w:rPr>
          <w:lang w:val="hr-HR"/>
        </w:rPr>
      </w:pPr>
      <w:r w:rsidRPr="00315F01">
        <w:rPr>
          <w:lang w:val="hr-HR"/>
        </w:rPr>
        <w:t>Imajući u vidu ranije razmatrane</w:t>
      </w:r>
      <w:r w:rsidR="009D2B1B" w:rsidRPr="00315F01">
        <w:rPr>
          <w:lang w:val="hr-HR"/>
        </w:rPr>
        <w:t xml:space="preserve"> razloge za pozitivna očekivanja o kretanju turističke privrede u Plavsko-Gusinjskoj oblasti</w:t>
      </w:r>
      <w:r w:rsidRPr="00315F01">
        <w:rPr>
          <w:lang w:val="hr-HR"/>
        </w:rPr>
        <w:t xml:space="preserve"> kao i činjenicu da će to povećati tražnju za poljoprivrednim proizvodima koji će se djelimično zadovoljiti iz lokalnih izvora</w:t>
      </w:r>
      <w:r w:rsidR="009D2B1B" w:rsidRPr="00315F01">
        <w:rPr>
          <w:lang w:val="hr-HR"/>
        </w:rPr>
        <w:t>, možemo sa velikom izvesnošću tv</w:t>
      </w:r>
      <w:r w:rsidRPr="00315F01">
        <w:rPr>
          <w:lang w:val="hr-HR"/>
        </w:rPr>
        <w:t>rditi da stopa rasta BDP-a poljoprivrede</w:t>
      </w:r>
      <w:r w:rsidR="009D2B1B" w:rsidRPr="00315F01">
        <w:rPr>
          <w:lang w:val="hr-HR"/>
        </w:rPr>
        <w:t xml:space="preserve"> u ovoj</w:t>
      </w:r>
      <w:r w:rsidRPr="00315F01">
        <w:rPr>
          <w:lang w:val="hr-HR"/>
        </w:rPr>
        <w:t xml:space="preserve"> oblasti ne može biti manja od 2</w:t>
      </w:r>
      <w:r w:rsidR="009D2B1B" w:rsidRPr="00315F01">
        <w:rPr>
          <w:lang w:val="hr-HR"/>
        </w:rPr>
        <w:t>% godišnje. Ako bi se stvari i u Prnjavoru kretale na isti način, što bi i bio slučaj kada nebi bilo elektrana, tada bi NPV ovako definisanih tokova, polazeći od diskontn</w:t>
      </w:r>
      <w:r w:rsidRPr="00315F01">
        <w:rPr>
          <w:lang w:val="hr-HR"/>
        </w:rPr>
        <w:t>e stope od 9% i stope rasta od 2</w:t>
      </w:r>
      <w:r w:rsidR="009D2B1B" w:rsidRPr="00315F01">
        <w:rPr>
          <w:lang w:val="hr-HR"/>
        </w:rPr>
        <w:t xml:space="preserve">%, imale sledeću vrijednost </w:t>
      </w:r>
    </w:p>
    <w:p w:rsidR="009D2B1B" w:rsidRPr="00315F01" w:rsidRDefault="00315F01" w:rsidP="009D2B1B">
      <w:pPr>
        <w:spacing w:line="276" w:lineRule="auto"/>
        <w:jc w:val="center"/>
        <w:rPr>
          <w:lang w:val="hr-HR"/>
        </w:rPr>
      </w:pPr>
      <w:r w:rsidRPr="00315F01">
        <w:rPr>
          <w:lang w:val="hr-HR"/>
        </w:rPr>
        <w:t>NPVt = 798,000 / (9%-2%) = 798,000 / 7</w:t>
      </w:r>
      <w:r w:rsidR="009D2B1B" w:rsidRPr="00315F01">
        <w:rPr>
          <w:lang w:val="hr-HR"/>
        </w:rPr>
        <w:t xml:space="preserve">% = </w:t>
      </w:r>
      <w:r w:rsidRPr="00315F01">
        <w:rPr>
          <w:b/>
          <w:lang w:val="hr-HR"/>
        </w:rPr>
        <w:t>11,400,000</w:t>
      </w:r>
      <w:r w:rsidR="009D2B1B" w:rsidRPr="00315F01">
        <w:rPr>
          <w:lang w:val="hr-HR"/>
        </w:rPr>
        <w:t xml:space="preserve"> eura. </w:t>
      </w:r>
    </w:p>
    <w:p w:rsidR="009D2B1B" w:rsidRDefault="004C5F9A" w:rsidP="009D2B1B">
      <w:pPr>
        <w:spacing w:line="276" w:lineRule="auto"/>
        <w:jc w:val="both"/>
        <w:rPr>
          <w:lang w:val="hr-HR"/>
        </w:rPr>
      </w:pPr>
      <w:r>
        <w:rPr>
          <w:lang w:val="hr-HR"/>
        </w:rPr>
        <w:t>Ako bi sada</w:t>
      </w:r>
      <w:r w:rsidR="009D2B1B" w:rsidRPr="004C5F9A">
        <w:rPr>
          <w:lang w:val="hr-HR"/>
        </w:rPr>
        <w:t xml:space="preserve"> rast vr</w:t>
      </w:r>
      <w:r w:rsidR="00315F01" w:rsidRPr="004C5F9A">
        <w:rPr>
          <w:lang w:val="hr-HR"/>
        </w:rPr>
        <w:t>ijednosti koje stvara poljoprivredna</w:t>
      </w:r>
      <w:r w:rsidR="009D2B1B" w:rsidRPr="004C5F9A">
        <w:rPr>
          <w:lang w:val="hr-HR"/>
        </w:rPr>
        <w:t xml:space="preserve"> djelatnost</w:t>
      </w:r>
      <w:r w:rsidRPr="004C5F9A">
        <w:rPr>
          <w:lang w:val="hr-HR"/>
        </w:rPr>
        <w:t xml:space="preserve"> bio isti kao i ranije ali bi</w:t>
      </w:r>
      <w:r w:rsidR="009D2B1B" w:rsidRPr="004C5F9A">
        <w:rPr>
          <w:lang w:val="hr-HR"/>
        </w:rPr>
        <w:t>, zbog postojanja mHE</w:t>
      </w:r>
      <w:r>
        <w:rPr>
          <w:lang w:val="hr-HR"/>
        </w:rPr>
        <w:t xml:space="preserve"> i konflikta sa poljoprivredom</w:t>
      </w:r>
      <w:r w:rsidR="009D2B1B" w:rsidRPr="004C5F9A">
        <w:rPr>
          <w:lang w:val="hr-HR"/>
        </w:rPr>
        <w:t xml:space="preserve">, </w:t>
      </w:r>
      <w:r w:rsidRPr="004C5F9A">
        <w:rPr>
          <w:lang w:val="hr-HR"/>
        </w:rPr>
        <w:t xml:space="preserve">apsolutni nivo proizvodnje od početka do kraja </w:t>
      </w:r>
      <w:r w:rsidR="009D2B1B" w:rsidRPr="004C5F9A">
        <w:rPr>
          <w:lang w:val="hr-HR"/>
        </w:rPr>
        <w:t xml:space="preserve">bio </w:t>
      </w:r>
      <w:r>
        <w:rPr>
          <w:lang w:val="hr-HR"/>
        </w:rPr>
        <w:t xml:space="preserve">manji za </w:t>
      </w:r>
      <w:r w:rsidR="00C079A6">
        <w:rPr>
          <w:lang w:val="hr-HR"/>
        </w:rPr>
        <w:t xml:space="preserve">samo </w:t>
      </w:r>
      <w:r>
        <w:rPr>
          <w:lang w:val="hr-HR"/>
        </w:rPr>
        <w:t>10 procentnih poena</w:t>
      </w:r>
      <w:r w:rsidR="009D2B1B" w:rsidRPr="004C5F9A">
        <w:rPr>
          <w:lang w:val="hr-HR"/>
        </w:rPr>
        <w:t xml:space="preserve">, tada bi NPV iznosio </w:t>
      </w:r>
    </w:p>
    <w:p w:rsidR="004C5F9A" w:rsidRPr="00315F01" w:rsidRDefault="004C5F9A" w:rsidP="004C5F9A">
      <w:pPr>
        <w:spacing w:line="276" w:lineRule="auto"/>
        <w:jc w:val="center"/>
        <w:rPr>
          <w:lang w:val="hr-HR"/>
        </w:rPr>
      </w:pPr>
      <w:r w:rsidRPr="00315F01">
        <w:rPr>
          <w:lang w:val="hr-HR"/>
        </w:rPr>
        <w:t xml:space="preserve">NPVt = </w:t>
      </w:r>
      <w:r>
        <w:rPr>
          <w:lang w:val="hr-HR"/>
        </w:rPr>
        <w:t>0,9 x 798,000 / (9%-2%) = 718,2</w:t>
      </w:r>
      <w:r w:rsidRPr="00315F01">
        <w:rPr>
          <w:lang w:val="hr-HR"/>
        </w:rPr>
        <w:t xml:space="preserve">00 / 7% = </w:t>
      </w:r>
      <w:r>
        <w:rPr>
          <w:b/>
          <w:lang w:val="hr-HR"/>
        </w:rPr>
        <w:t>10,260</w:t>
      </w:r>
      <w:r w:rsidRPr="00315F01">
        <w:rPr>
          <w:b/>
          <w:lang w:val="hr-HR"/>
        </w:rPr>
        <w:t>,000</w:t>
      </w:r>
      <w:r w:rsidRPr="00315F01">
        <w:rPr>
          <w:lang w:val="hr-HR"/>
        </w:rPr>
        <w:t xml:space="preserve"> eura. </w:t>
      </w:r>
    </w:p>
    <w:p w:rsidR="009D2B1B" w:rsidRPr="00C079A6" w:rsidRDefault="00C079A6" w:rsidP="009D2B1B">
      <w:pPr>
        <w:spacing w:line="276" w:lineRule="auto"/>
        <w:jc w:val="both"/>
      </w:pPr>
      <w:r w:rsidRPr="00C079A6">
        <w:t>R</w:t>
      </w:r>
      <w:r w:rsidR="009D2B1B" w:rsidRPr="00C079A6">
        <w:t>azlika</w:t>
      </w:r>
      <w:r w:rsidRPr="00C079A6">
        <w:t xml:space="preserve"> kao što vidimo</w:t>
      </w:r>
      <w:r w:rsidR="009D2B1B" w:rsidRPr="00C079A6">
        <w:t xml:space="preserve"> izrazito velika što upućuje na zaklučak da</w:t>
      </w:r>
      <w:r w:rsidRPr="00C079A6">
        <w:t xml:space="preserve"> su potencijalni gubici poljoprivrede </w:t>
      </w:r>
      <w:r w:rsidR="009D2B1B" w:rsidRPr="00C079A6">
        <w:t>zbog i</w:t>
      </w:r>
      <w:r w:rsidRPr="00C079A6">
        <w:t xml:space="preserve">zgradnje mHE izrazito visoki. Oni iznose najmanje </w:t>
      </w:r>
    </w:p>
    <w:p w:rsidR="009D2B1B" w:rsidRPr="00C079A6" w:rsidRDefault="00C079A6" w:rsidP="009D2B1B">
      <w:pPr>
        <w:spacing w:line="276" w:lineRule="auto"/>
        <w:jc w:val="center"/>
      </w:pPr>
      <w:r>
        <w:t>NPVe – NPVt = 11,400,000 – 10,260</w:t>
      </w:r>
      <w:r w:rsidR="009D2B1B" w:rsidRPr="00C079A6">
        <w:t xml:space="preserve">,000 = </w:t>
      </w:r>
      <w:r>
        <w:rPr>
          <w:b/>
        </w:rPr>
        <w:t>- 1,140,000</w:t>
      </w:r>
      <w:r>
        <w:t xml:space="preserve">eura. </w:t>
      </w:r>
    </w:p>
    <w:p w:rsidR="009D2B1B" w:rsidRPr="00C079A6" w:rsidRDefault="00C079A6" w:rsidP="009D2B1B">
      <w:pPr>
        <w:jc w:val="both"/>
      </w:pPr>
      <w:r w:rsidRPr="00C079A6">
        <w:t>Riječ je očito o značajnoj negativnim stavki</w:t>
      </w:r>
      <w:r w:rsidR="009D2B1B" w:rsidRPr="00C079A6">
        <w:t>, odnosno društvenim gubicima, koje bi kada bi ih oduzeli od NPV-a društvenog toka</w:t>
      </w:r>
      <w:r w:rsidRPr="00C079A6">
        <w:t xml:space="preserve"> iz poslednjeg scenarija sami po sebi učinili taj tok negativnim. </w:t>
      </w:r>
    </w:p>
    <w:p w:rsidR="009D2B1B" w:rsidRDefault="009D2B1B" w:rsidP="009D2B1B"/>
    <w:p w:rsidR="00EE46A5" w:rsidRDefault="00EE46A5" w:rsidP="00E6711F">
      <w:pPr>
        <w:spacing w:line="276" w:lineRule="auto"/>
        <w:jc w:val="both"/>
      </w:pPr>
    </w:p>
    <w:p w:rsidR="00EE46A5" w:rsidRDefault="00EE46A5">
      <w:r>
        <w:br w:type="page"/>
      </w:r>
    </w:p>
    <w:p w:rsidR="00EE46A5" w:rsidRDefault="00EE46A5" w:rsidP="006F3539">
      <w:pPr>
        <w:spacing w:line="276" w:lineRule="auto"/>
        <w:jc w:val="both"/>
      </w:pPr>
    </w:p>
    <w:p w:rsidR="00EE46A5" w:rsidRDefault="00EE46A5" w:rsidP="00E6711F">
      <w:pPr>
        <w:spacing w:line="276" w:lineRule="auto"/>
        <w:jc w:val="both"/>
      </w:pPr>
    </w:p>
    <w:p w:rsidR="00EE46A5" w:rsidRPr="00EE46A5" w:rsidRDefault="00EE46A5" w:rsidP="00E6711F">
      <w:pPr>
        <w:spacing w:line="276" w:lineRule="auto"/>
        <w:jc w:val="both"/>
        <w:rPr>
          <w:b/>
          <w:sz w:val="28"/>
          <w:szCs w:val="28"/>
        </w:rPr>
      </w:pPr>
      <w:r>
        <w:rPr>
          <w:b/>
          <w:sz w:val="28"/>
          <w:szCs w:val="28"/>
        </w:rPr>
        <w:t xml:space="preserve">4.4. Društveni tokovi korigovani za efekte u drugim </w:t>
      </w:r>
      <w:r w:rsidRPr="00EE46A5">
        <w:rPr>
          <w:b/>
          <w:sz w:val="28"/>
          <w:szCs w:val="28"/>
        </w:rPr>
        <w:t xml:space="preserve">djelatnostima </w:t>
      </w:r>
    </w:p>
    <w:p w:rsidR="00EE46A5" w:rsidRDefault="006F3539" w:rsidP="00E6711F">
      <w:pPr>
        <w:spacing w:line="276" w:lineRule="auto"/>
        <w:jc w:val="both"/>
      </w:pPr>
      <w:r>
        <w:rPr>
          <w:b/>
        </w:rPr>
        <w:t xml:space="preserve">1. </w:t>
      </w:r>
      <w:r w:rsidR="0035741A">
        <w:t>Na osnovu prethodnih, vrlo konzervativnih, procjena gubitaka u turizmu i poljoprivredi a uz, takođe konzervativnu, pretpostavku da u drugim djelatnostima, osim eko sektora o kojem će biti riječi u narednom poglavlju, neće biti šteta, možemo zaključiti da će se ukupni gubici</w:t>
      </w:r>
      <w:r w:rsidR="00EB54FD">
        <w:t>, mjereni kao NPV,</w:t>
      </w:r>
      <w:r w:rsidR="0035741A">
        <w:t xml:space="preserve"> u ostatku </w:t>
      </w:r>
      <w:r w:rsidR="00EB54FD">
        <w:t xml:space="preserve">ekonomije kretati u rasponu od </w:t>
      </w:r>
    </w:p>
    <w:p w:rsidR="0035741A" w:rsidRDefault="00EB54FD" w:rsidP="00EB54FD">
      <w:pPr>
        <w:spacing w:line="276" w:lineRule="auto"/>
        <w:jc w:val="center"/>
      </w:pPr>
      <w:r>
        <w:rPr>
          <w:b/>
        </w:rPr>
        <w:t>-</w:t>
      </w:r>
      <w:r w:rsidRPr="00EB54FD">
        <w:rPr>
          <w:b/>
        </w:rPr>
        <w:t xml:space="preserve">2,890,000 </w:t>
      </w:r>
      <w:r>
        <w:t>eura do</w:t>
      </w:r>
    </w:p>
    <w:p w:rsidR="00EB54FD" w:rsidRDefault="00EB54FD" w:rsidP="00EB54FD">
      <w:pPr>
        <w:spacing w:line="276" w:lineRule="auto"/>
        <w:jc w:val="center"/>
      </w:pPr>
      <w:r>
        <w:rPr>
          <w:b/>
        </w:rPr>
        <w:t>-</w:t>
      </w:r>
      <w:r w:rsidRPr="00EB54FD">
        <w:rPr>
          <w:b/>
        </w:rPr>
        <w:t>4,056,667</w:t>
      </w:r>
      <w:r>
        <w:t xml:space="preserve"> eura.</w:t>
      </w:r>
    </w:p>
    <w:p w:rsidR="00880246" w:rsidRDefault="00584CAD" w:rsidP="00880246">
      <w:pPr>
        <w:spacing w:line="276" w:lineRule="auto"/>
        <w:jc w:val="both"/>
      </w:pPr>
      <w:r>
        <w:t>Riječ je zaista o iznenađujućim iznosima gubitaka. Ovo poseb</w:t>
      </w:r>
      <w:r w:rsidR="00E00C61">
        <w:t>n</w:t>
      </w:r>
      <w:r>
        <w:t xml:space="preserve">o kada se ima u vidu da će se ti gubici realizovati na jednom vrlo uskom području Plavsko-Gusinjske oblasti koje će bitinajsnažnije izloženo negativnim uticajima dvije mHE. Podvlačimo opet da su ove procjene krajnje konzervativne. Konkretno to znači </w:t>
      </w:r>
      <w:r w:rsidR="00BB4008">
        <w:t>da je ogromna vjerovatnoća da s</w:t>
      </w:r>
      <w:r w:rsidR="00E00C61">
        <w:t>u</w:t>
      </w:r>
      <w:r w:rsidR="00BB4008">
        <w:t xml:space="preserve"> gubici bar toliki kako je dato u procjeni ili pak veći od procijenjenih. Imajući u vidu pretpostavke od kojih smo pošli, možemo reći da </w:t>
      </w:r>
      <w:r w:rsidR="006F3539">
        <w:t xml:space="preserve">je ukupna vrijednost ove vrste gubitaka, u stvari, znatno veća. </w:t>
      </w:r>
    </w:p>
    <w:p w:rsidR="006F3539" w:rsidRPr="006F3539" w:rsidRDefault="006F3539" w:rsidP="00880246">
      <w:pPr>
        <w:spacing w:line="276" w:lineRule="auto"/>
        <w:jc w:val="both"/>
      </w:pPr>
      <w:r>
        <w:rPr>
          <w:b/>
        </w:rPr>
        <w:t xml:space="preserve">2. </w:t>
      </w:r>
      <w:r>
        <w:t>Da bi značenje ovih rezultata bilo još jasnije dodaćemo ih rezultate za vrijednosti NPV-a društvenog toka koji smo utvrdili ranije</w:t>
      </w:r>
      <w:r w:rsidR="00E00C61">
        <w:t>,</w:t>
      </w:r>
      <w:r>
        <w:t xml:space="preserve"> a koji predstavljaju sumu svih stakeholder. Za prvi od gore data dva rezultata dobićemo sledeću tabelu. </w:t>
      </w:r>
    </w:p>
    <w:tbl>
      <w:tblPr>
        <w:tblW w:w="6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0"/>
        <w:gridCol w:w="1522"/>
        <w:gridCol w:w="1522"/>
        <w:gridCol w:w="1416"/>
      </w:tblGrid>
      <w:tr w:rsidR="001A51BD" w:rsidRPr="001A51BD" w:rsidTr="001A51BD">
        <w:trPr>
          <w:trHeight w:val="301"/>
          <w:jc w:val="center"/>
        </w:trPr>
        <w:tc>
          <w:tcPr>
            <w:tcW w:w="1620" w:type="dxa"/>
            <w:shd w:val="clear" w:color="auto" w:fill="auto"/>
            <w:noWrap/>
            <w:vAlign w:val="bottom"/>
            <w:hideMark/>
          </w:tcPr>
          <w:p w:rsidR="001A51BD" w:rsidRPr="001A51BD" w:rsidRDefault="001A51BD" w:rsidP="001A51BD">
            <w:pPr>
              <w:spacing w:after="0" w:line="240" w:lineRule="auto"/>
              <w:rPr>
                <w:rFonts w:ascii="Calibri" w:eastAsia="Times New Roman" w:hAnsi="Calibri" w:cs="Times New Roman"/>
                <w:color w:val="000000"/>
              </w:rPr>
            </w:pPr>
          </w:p>
        </w:tc>
        <w:tc>
          <w:tcPr>
            <w:tcW w:w="4460" w:type="dxa"/>
            <w:gridSpan w:val="3"/>
            <w:shd w:val="clear" w:color="auto" w:fill="auto"/>
            <w:vAlign w:val="bottom"/>
            <w:hideMark/>
          </w:tcPr>
          <w:p w:rsidR="001A51BD" w:rsidRPr="001A51BD" w:rsidRDefault="001A51BD" w:rsidP="001A51BD">
            <w:pPr>
              <w:spacing w:after="0" w:line="240" w:lineRule="auto"/>
              <w:jc w:val="center"/>
              <w:rPr>
                <w:rFonts w:ascii="Calibri" w:eastAsia="Times New Roman" w:hAnsi="Calibri" w:cs="Times New Roman"/>
                <w:b/>
                <w:bCs/>
                <w:color w:val="000000"/>
              </w:rPr>
            </w:pPr>
            <w:r w:rsidRPr="001A51BD">
              <w:rPr>
                <w:rFonts w:ascii="Calibri" w:eastAsia="Times New Roman" w:hAnsi="Calibri" w:cs="Times New Roman"/>
                <w:b/>
                <w:bCs/>
                <w:color w:val="000000"/>
              </w:rPr>
              <w:t>NPV društveni = Stakeholders + Drugi sektori</w:t>
            </w:r>
          </w:p>
        </w:tc>
      </w:tr>
      <w:tr w:rsidR="001A51BD" w:rsidRPr="001A51BD" w:rsidTr="001A51BD">
        <w:trPr>
          <w:trHeight w:val="301"/>
          <w:jc w:val="center"/>
        </w:trPr>
        <w:tc>
          <w:tcPr>
            <w:tcW w:w="1620" w:type="dxa"/>
            <w:shd w:val="clear" w:color="auto" w:fill="auto"/>
            <w:noWrap/>
            <w:vAlign w:val="bottom"/>
            <w:hideMark/>
          </w:tcPr>
          <w:p w:rsidR="001A51BD" w:rsidRPr="001A51BD" w:rsidRDefault="001A51BD" w:rsidP="001A51BD">
            <w:pPr>
              <w:spacing w:after="0" w:line="240" w:lineRule="auto"/>
              <w:jc w:val="center"/>
              <w:rPr>
                <w:rFonts w:ascii="Calibri" w:eastAsia="Times New Roman" w:hAnsi="Calibri" w:cs="Times New Roman"/>
                <w:b/>
                <w:bCs/>
                <w:color w:val="000000"/>
              </w:rPr>
            </w:pPr>
            <w:r w:rsidRPr="001A51BD">
              <w:rPr>
                <w:rFonts w:ascii="Calibri" w:eastAsia="Times New Roman" w:hAnsi="Calibri" w:cs="Times New Roman"/>
                <w:b/>
                <w:bCs/>
                <w:color w:val="000000"/>
              </w:rPr>
              <w:t xml:space="preserve">Scenarij </w:t>
            </w:r>
          </w:p>
        </w:tc>
        <w:tc>
          <w:tcPr>
            <w:tcW w:w="1522" w:type="dxa"/>
            <w:shd w:val="clear" w:color="auto" w:fill="auto"/>
            <w:noWrap/>
            <w:vAlign w:val="bottom"/>
            <w:hideMark/>
          </w:tcPr>
          <w:p w:rsidR="001A51BD" w:rsidRPr="001A51BD" w:rsidRDefault="001A51BD" w:rsidP="001A51BD">
            <w:pPr>
              <w:spacing w:after="0" w:line="240" w:lineRule="auto"/>
              <w:jc w:val="center"/>
              <w:rPr>
                <w:rFonts w:ascii="Calibri" w:eastAsia="Times New Roman" w:hAnsi="Calibri" w:cs="Times New Roman"/>
                <w:b/>
                <w:bCs/>
                <w:color w:val="000000"/>
              </w:rPr>
            </w:pPr>
            <w:r w:rsidRPr="001A51BD">
              <w:rPr>
                <w:rFonts w:ascii="Calibri" w:eastAsia="Times New Roman" w:hAnsi="Calibri" w:cs="Times New Roman"/>
                <w:b/>
                <w:bCs/>
                <w:color w:val="000000"/>
              </w:rPr>
              <w:t>8%</w:t>
            </w:r>
          </w:p>
        </w:tc>
        <w:tc>
          <w:tcPr>
            <w:tcW w:w="1522" w:type="dxa"/>
            <w:shd w:val="clear" w:color="auto" w:fill="auto"/>
            <w:noWrap/>
            <w:vAlign w:val="bottom"/>
            <w:hideMark/>
          </w:tcPr>
          <w:p w:rsidR="001A51BD" w:rsidRPr="001A51BD" w:rsidRDefault="001A51BD" w:rsidP="001A51BD">
            <w:pPr>
              <w:spacing w:after="0" w:line="240" w:lineRule="auto"/>
              <w:jc w:val="center"/>
              <w:rPr>
                <w:rFonts w:ascii="Calibri" w:eastAsia="Times New Roman" w:hAnsi="Calibri" w:cs="Times New Roman"/>
                <w:b/>
                <w:bCs/>
                <w:color w:val="000000"/>
              </w:rPr>
            </w:pPr>
            <w:r w:rsidRPr="001A51BD">
              <w:rPr>
                <w:rFonts w:ascii="Calibri" w:eastAsia="Times New Roman" w:hAnsi="Calibri" w:cs="Times New Roman"/>
                <w:b/>
                <w:bCs/>
                <w:color w:val="000000"/>
              </w:rPr>
              <w:t>9%</w:t>
            </w:r>
          </w:p>
        </w:tc>
        <w:tc>
          <w:tcPr>
            <w:tcW w:w="1416" w:type="dxa"/>
            <w:shd w:val="clear" w:color="auto" w:fill="auto"/>
            <w:noWrap/>
            <w:vAlign w:val="bottom"/>
            <w:hideMark/>
          </w:tcPr>
          <w:p w:rsidR="001A51BD" w:rsidRPr="001A51BD" w:rsidRDefault="001A51BD" w:rsidP="001A51BD">
            <w:pPr>
              <w:spacing w:after="0" w:line="240" w:lineRule="auto"/>
              <w:jc w:val="center"/>
              <w:rPr>
                <w:rFonts w:ascii="Calibri" w:eastAsia="Times New Roman" w:hAnsi="Calibri" w:cs="Times New Roman"/>
                <w:b/>
                <w:bCs/>
                <w:color w:val="000000"/>
              </w:rPr>
            </w:pPr>
            <w:r w:rsidRPr="001A51BD">
              <w:rPr>
                <w:rFonts w:ascii="Calibri" w:eastAsia="Times New Roman" w:hAnsi="Calibri" w:cs="Times New Roman"/>
                <w:b/>
                <w:bCs/>
                <w:color w:val="000000"/>
              </w:rPr>
              <w:t>5%</w:t>
            </w:r>
          </w:p>
        </w:tc>
      </w:tr>
      <w:tr w:rsidR="001A51BD" w:rsidRPr="001A51BD" w:rsidTr="001A51BD">
        <w:trPr>
          <w:trHeight w:val="301"/>
          <w:jc w:val="center"/>
        </w:trPr>
        <w:tc>
          <w:tcPr>
            <w:tcW w:w="1620" w:type="dxa"/>
            <w:shd w:val="clear" w:color="auto" w:fill="auto"/>
            <w:noWrap/>
            <w:vAlign w:val="bottom"/>
            <w:hideMark/>
          </w:tcPr>
          <w:p w:rsidR="001A51BD" w:rsidRPr="001A51BD" w:rsidRDefault="001A51BD" w:rsidP="001A51BD">
            <w:pPr>
              <w:spacing w:after="0" w:line="240" w:lineRule="auto"/>
              <w:jc w:val="center"/>
              <w:rPr>
                <w:rFonts w:ascii="Calibri" w:eastAsia="Times New Roman" w:hAnsi="Calibri" w:cs="Times New Roman"/>
                <w:b/>
                <w:bCs/>
                <w:color w:val="000000"/>
              </w:rPr>
            </w:pPr>
            <w:r w:rsidRPr="001A51BD">
              <w:rPr>
                <w:rFonts w:ascii="Calibri" w:eastAsia="Times New Roman" w:hAnsi="Calibri" w:cs="Times New Roman"/>
                <w:b/>
                <w:bCs/>
                <w:color w:val="000000"/>
              </w:rPr>
              <w:t>Sc 2018</w:t>
            </w:r>
          </w:p>
        </w:tc>
        <w:tc>
          <w:tcPr>
            <w:tcW w:w="1522" w:type="dxa"/>
            <w:shd w:val="clear" w:color="auto" w:fill="auto"/>
            <w:noWrap/>
            <w:vAlign w:val="bottom"/>
            <w:hideMark/>
          </w:tcPr>
          <w:p w:rsidR="001A51BD" w:rsidRPr="001A51BD" w:rsidRDefault="001A51BD" w:rsidP="001A51BD">
            <w:pPr>
              <w:spacing w:after="0" w:line="240" w:lineRule="auto"/>
              <w:jc w:val="right"/>
              <w:rPr>
                <w:rFonts w:ascii="Calibri" w:eastAsia="Times New Roman" w:hAnsi="Calibri" w:cs="Times New Roman"/>
                <w:b/>
                <w:bCs/>
                <w:color w:val="000000"/>
              </w:rPr>
            </w:pPr>
            <w:r w:rsidRPr="001A51BD">
              <w:rPr>
                <w:rFonts w:ascii="Calibri" w:eastAsia="Times New Roman" w:hAnsi="Calibri" w:cs="Times New Roman"/>
                <w:b/>
                <w:bCs/>
                <w:color w:val="000000"/>
              </w:rPr>
              <w:t>1.450.454</w:t>
            </w:r>
          </w:p>
        </w:tc>
        <w:tc>
          <w:tcPr>
            <w:tcW w:w="1522" w:type="dxa"/>
            <w:shd w:val="clear" w:color="auto" w:fill="auto"/>
            <w:noWrap/>
            <w:vAlign w:val="bottom"/>
            <w:hideMark/>
          </w:tcPr>
          <w:p w:rsidR="001A51BD" w:rsidRPr="001A51BD" w:rsidRDefault="001A51BD" w:rsidP="001A51BD">
            <w:pPr>
              <w:spacing w:after="0" w:line="240" w:lineRule="auto"/>
              <w:jc w:val="right"/>
              <w:rPr>
                <w:rFonts w:ascii="Calibri" w:eastAsia="Times New Roman" w:hAnsi="Calibri" w:cs="Times New Roman"/>
                <w:b/>
                <w:bCs/>
                <w:color w:val="000000"/>
              </w:rPr>
            </w:pPr>
            <w:r w:rsidRPr="001A51BD">
              <w:rPr>
                <w:rFonts w:ascii="Calibri" w:eastAsia="Times New Roman" w:hAnsi="Calibri" w:cs="Times New Roman"/>
                <w:b/>
                <w:bCs/>
                <w:color w:val="000000"/>
              </w:rPr>
              <w:t>412.457</w:t>
            </w:r>
          </w:p>
        </w:tc>
        <w:tc>
          <w:tcPr>
            <w:tcW w:w="1416" w:type="dxa"/>
            <w:shd w:val="clear" w:color="auto" w:fill="auto"/>
            <w:noWrap/>
            <w:vAlign w:val="bottom"/>
            <w:hideMark/>
          </w:tcPr>
          <w:p w:rsidR="001A51BD" w:rsidRPr="001A51BD" w:rsidRDefault="001A51BD" w:rsidP="001A51BD">
            <w:pPr>
              <w:spacing w:after="0" w:line="240" w:lineRule="auto"/>
              <w:jc w:val="right"/>
              <w:rPr>
                <w:rFonts w:ascii="Calibri" w:eastAsia="Times New Roman" w:hAnsi="Calibri" w:cs="Times New Roman"/>
                <w:b/>
                <w:bCs/>
                <w:color w:val="000000"/>
              </w:rPr>
            </w:pPr>
            <w:r w:rsidRPr="001A51BD">
              <w:rPr>
                <w:rFonts w:ascii="Calibri" w:eastAsia="Times New Roman" w:hAnsi="Calibri" w:cs="Times New Roman"/>
                <w:b/>
                <w:bCs/>
                <w:color w:val="000000"/>
              </w:rPr>
              <w:t>5.839.102</w:t>
            </w:r>
          </w:p>
        </w:tc>
      </w:tr>
      <w:tr w:rsidR="001A51BD" w:rsidRPr="001A51BD" w:rsidTr="001A51BD">
        <w:trPr>
          <w:trHeight w:val="301"/>
          <w:jc w:val="center"/>
        </w:trPr>
        <w:tc>
          <w:tcPr>
            <w:tcW w:w="1620" w:type="dxa"/>
            <w:shd w:val="clear" w:color="auto" w:fill="auto"/>
            <w:noWrap/>
            <w:vAlign w:val="bottom"/>
            <w:hideMark/>
          </w:tcPr>
          <w:p w:rsidR="001A51BD" w:rsidRPr="001A51BD" w:rsidRDefault="001A51BD" w:rsidP="001A51BD">
            <w:pPr>
              <w:spacing w:after="0" w:line="240" w:lineRule="auto"/>
              <w:jc w:val="center"/>
              <w:rPr>
                <w:rFonts w:ascii="Calibri" w:eastAsia="Times New Roman" w:hAnsi="Calibri" w:cs="Times New Roman"/>
                <w:b/>
                <w:bCs/>
                <w:color w:val="000000"/>
              </w:rPr>
            </w:pPr>
            <w:r w:rsidRPr="001A51BD">
              <w:rPr>
                <w:rFonts w:ascii="Calibri" w:eastAsia="Times New Roman" w:hAnsi="Calibri" w:cs="Times New Roman"/>
                <w:b/>
                <w:bCs/>
                <w:color w:val="000000"/>
              </w:rPr>
              <w:t>Sc 2018-10%</w:t>
            </w:r>
          </w:p>
        </w:tc>
        <w:tc>
          <w:tcPr>
            <w:tcW w:w="1522" w:type="dxa"/>
            <w:shd w:val="clear" w:color="auto" w:fill="auto"/>
            <w:noWrap/>
            <w:vAlign w:val="bottom"/>
            <w:hideMark/>
          </w:tcPr>
          <w:p w:rsidR="001A51BD" w:rsidRPr="001A51BD" w:rsidRDefault="001A51BD" w:rsidP="001A51BD">
            <w:pPr>
              <w:spacing w:after="0" w:line="240" w:lineRule="auto"/>
              <w:jc w:val="right"/>
              <w:rPr>
                <w:rFonts w:ascii="Calibri" w:eastAsia="Times New Roman" w:hAnsi="Calibri" w:cs="Times New Roman"/>
                <w:b/>
                <w:bCs/>
                <w:color w:val="000000"/>
              </w:rPr>
            </w:pPr>
            <w:r w:rsidRPr="001A51BD">
              <w:rPr>
                <w:rFonts w:ascii="Calibri" w:eastAsia="Times New Roman" w:hAnsi="Calibri" w:cs="Times New Roman"/>
                <w:b/>
                <w:bCs/>
                <w:color w:val="000000"/>
              </w:rPr>
              <w:t>1.705.308</w:t>
            </w:r>
          </w:p>
        </w:tc>
        <w:tc>
          <w:tcPr>
            <w:tcW w:w="1522" w:type="dxa"/>
            <w:shd w:val="clear" w:color="auto" w:fill="auto"/>
            <w:noWrap/>
            <w:vAlign w:val="bottom"/>
            <w:hideMark/>
          </w:tcPr>
          <w:p w:rsidR="001A51BD" w:rsidRPr="001A51BD" w:rsidRDefault="001A51BD" w:rsidP="001A51BD">
            <w:pPr>
              <w:spacing w:after="0" w:line="240" w:lineRule="auto"/>
              <w:jc w:val="right"/>
              <w:rPr>
                <w:rFonts w:ascii="Calibri" w:eastAsia="Times New Roman" w:hAnsi="Calibri" w:cs="Times New Roman"/>
                <w:b/>
                <w:bCs/>
                <w:color w:val="000000"/>
              </w:rPr>
            </w:pPr>
            <w:r w:rsidRPr="001A51BD">
              <w:rPr>
                <w:rFonts w:ascii="Calibri" w:eastAsia="Times New Roman" w:hAnsi="Calibri" w:cs="Times New Roman"/>
                <w:b/>
                <w:bCs/>
                <w:color w:val="000000"/>
              </w:rPr>
              <w:t>642.683</w:t>
            </w:r>
          </w:p>
        </w:tc>
        <w:tc>
          <w:tcPr>
            <w:tcW w:w="1416" w:type="dxa"/>
            <w:shd w:val="clear" w:color="auto" w:fill="auto"/>
            <w:noWrap/>
            <w:vAlign w:val="bottom"/>
            <w:hideMark/>
          </w:tcPr>
          <w:p w:rsidR="001A51BD" w:rsidRPr="001A51BD" w:rsidRDefault="001A51BD" w:rsidP="001A51BD">
            <w:pPr>
              <w:spacing w:after="0" w:line="240" w:lineRule="auto"/>
              <w:jc w:val="right"/>
              <w:rPr>
                <w:rFonts w:ascii="Calibri" w:eastAsia="Times New Roman" w:hAnsi="Calibri" w:cs="Times New Roman"/>
                <w:b/>
                <w:bCs/>
                <w:color w:val="000000"/>
              </w:rPr>
            </w:pPr>
            <w:r w:rsidRPr="001A51BD">
              <w:rPr>
                <w:rFonts w:ascii="Calibri" w:eastAsia="Times New Roman" w:hAnsi="Calibri" w:cs="Times New Roman"/>
                <w:b/>
                <w:bCs/>
                <w:color w:val="000000"/>
              </w:rPr>
              <w:t>6.195.090</w:t>
            </w:r>
          </w:p>
        </w:tc>
      </w:tr>
      <w:tr w:rsidR="001A51BD" w:rsidRPr="001A51BD" w:rsidTr="001A51BD">
        <w:trPr>
          <w:trHeight w:val="301"/>
          <w:jc w:val="center"/>
        </w:trPr>
        <w:tc>
          <w:tcPr>
            <w:tcW w:w="1620" w:type="dxa"/>
            <w:shd w:val="clear" w:color="auto" w:fill="auto"/>
            <w:noWrap/>
            <w:vAlign w:val="bottom"/>
            <w:hideMark/>
          </w:tcPr>
          <w:p w:rsidR="001A51BD" w:rsidRPr="001A51BD" w:rsidRDefault="001A51BD" w:rsidP="001A51BD">
            <w:pPr>
              <w:spacing w:after="0" w:line="240" w:lineRule="auto"/>
              <w:jc w:val="center"/>
              <w:rPr>
                <w:rFonts w:ascii="Calibri" w:eastAsia="Times New Roman" w:hAnsi="Calibri" w:cs="Times New Roman"/>
                <w:b/>
                <w:bCs/>
                <w:color w:val="000000"/>
              </w:rPr>
            </w:pPr>
            <w:r w:rsidRPr="001A51BD">
              <w:rPr>
                <w:rFonts w:ascii="Calibri" w:eastAsia="Times New Roman" w:hAnsi="Calibri" w:cs="Times New Roman"/>
                <w:b/>
                <w:bCs/>
                <w:color w:val="000000"/>
              </w:rPr>
              <w:t>Sc 2018-20%</w:t>
            </w:r>
          </w:p>
        </w:tc>
        <w:tc>
          <w:tcPr>
            <w:tcW w:w="1522" w:type="dxa"/>
            <w:shd w:val="clear" w:color="auto" w:fill="auto"/>
            <w:noWrap/>
            <w:vAlign w:val="bottom"/>
            <w:hideMark/>
          </w:tcPr>
          <w:p w:rsidR="001A51BD" w:rsidRPr="001A51BD" w:rsidRDefault="001A51BD" w:rsidP="001A51BD">
            <w:pPr>
              <w:spacing w:after="0" w:line="240" w:lineRule="auto"/>
              <w:jc w:val="right"/>
              <w:rPr>
                <w:rFonts w:ascii="Calibri" w:eastAsia="Times New Roman" w:hAnsi="Calibri" w:cs="Times New Roman"/>
                <w:b/>
                <w:bCs/>
                <w:color w:val="FF0000"/>
              </w:rPr>
            </w:pPr>
            <w:r w:rsidRPr="001A51BD">
              <w:rPr>
                <w:rFonts w:ascii="Calibri" w:eastAsia="Times New Roman" w:hAnsi="Calibri" w:cs="Times New Roman"/>
                <w:b/>
                <w:bCs/>
                <w:color w:val="FF0000"/>
              </w:rPr>
              <w:t>-1.353.780</w:t>
            </w:r>
          </w:p>
        </w:tc>
        <w:tc>
          <w:tcPr>
            <w:tcW w:w="1522" w:type="dxa"/>
            <w:shd w:val="clear" w:color="auto" w:fill="auto"/>
            <w:noWrap/>
            <w:vAlign w:val="bottom"/>
            <w:hideMark/>
          </w:tcPr>
          <w:p w:rsidR="001A51BD" w:rsidRPr="001A51BD" w:rsidRDefault="001A51BD" w:rsidP="001A51BD">
            <w:pPr>
              <w:spacing w:after="0" w:line="240" w:lineRule="auto"/>
              <w:jc w:val="right"/>
              <w:rPr>
                <w:rFonts w:ascii="Calibri" w:eastAsia="Times New Roman" w:hAnsi="Calibri" w:cs="Times New Roman"/>
                <w:b/>
                <w:bCs/>
                <w:color w:val="FF0000"/>
              </w:rPr>
            </w:pPr>
            <w:r w:rsidRPr="001A51BD">
              <w:rPr>
                <w:rFonts w:ascii="Calibri" w:eastAsia="Times New Roman" w:hAnsi="Calibri" w:cs="Times New Roman"/>
                <w:b/>
                <w:bCs/>
                <w:color w:val="FF0000"/>
              </w:rPr>
              <w:t>-3.287.445</w:t>
            </w:r>
          </w:p>
        </w:tc>
        <w:tc>
          <w:tcPr>
            <w:tcW w:w="1416" w:type="dxa"/>
            <w:shd w:val="clear" w:color="auto" w:fill="auto"/>
            <w:noWrap/>
            <w:vAlign w:val="bottom"/>
            <w:hideMark/>
          </w:tcPr>
          <w:p w:rsidR="001A51BD" w:rsidRPr="001A51BD" w:rsidRDefault="001A51BD" w:rsidP="001A51BD">
            <w:pPr>
              <w:spacing w:after="0" w:line="240" w:lineRule="auto"/>
              <w:jc w:val="right"/>
              <w:rPr>
                <w:rFonts w:ascii="Calibri" w:eastAsia="Times New Roman" w:hAnsi="Calibri" w:cs="Times New Roman"/>
                <w:b/>
                <w:bCs/>
              </w:rPr>
            </w:pPr>
            <w:r w:rsidRPr="001A51BD">
              <w:rPr>
                <w:rFonts w:ascii="Calibri" w:eastAsia="Times New Roman" w:hAnsi="Calibri" w:cs="Times New Roman"/>
                <w:b/>
                <w:bCs/>
              </w:rPr>
              <w:t>1.922.071</w:t>
            </w:r>
          </w:p>
        </w:tc>
      </w:tr>
      <w:tr w:rsidR="001A51BD" w:rsidRPr="001A51BD" w:rsidTr="001A51BD">
        <w:trPr>
          <w:trHeight w:val="301"/>
          <w:jc w:val="center"/>
        </w:trPr>
        <w:tc>
          <w:tcPr>
            <w:tcW w:w="1620" w:type="dxa"/>
            <w:shd w:val="clear" w:color="auto" w:fill="auto"/>
            <w:noWrap/>
            <w:vAlign w:val="bottom"/>
            <w:hideMark/>
          </w:tcPr>
          <w:p w:rsidR="001A51BD" w:rsidRPr="001A51BD" w:rsidRDefault="001A51BD" w:rsidP="001A51BD">
            <w:pPr>
              <w:spacing w:after="0" w:line="240" w:lineRule="auto"/>
              <w:jc w:val="center"/>
              <w:rPr>
                <w:rFonts w:ascii="Calibri" w:eastAsia="Times New Roman" w:hAnsi="Calibri" w:cs="Times New Roman"/>
                <w:b/>
                <w:bCs/>
                <w:color w:val="000000"/>
              </w:rPr>
            </w:pPr>
            <w:r w:rsidRPr="001A51BD">
              <w:rPr>
                <w:rFonts w:ascii="Calibri" w:eastAsia="Times New Roman" w:hAnsi="Calibri" w:cs="Times New Roman"/>
                <w:b/>
                <w:bCs/>
                <w:color w:val="000000"/>
              </w:rPr>
              <w:t>Sc 2018-25%</w:t>
            </w:r>
          </w:p>
        </w:tc>
        <w:tc>
          <w:tcPr>
            <w:tcW w:w="1522" w:type="dxa"/>
            <w:shd w:val="clear" w:color="auto" w:fill="auto"/>
            <w:noWrap/>
            <w:vAlign w:val="bottom"/>
            <w:hideMark/>
          </w:tcPr>
          <w:p w:rsidR="001A51BD" w:rsidRPr="001A51BD" w:rsidRDefault="001A51BD" w:rsidP="001A51BD">
            <w:pPr>
              <w:spacing w:after="0" w:line="240" w:lineRule="auto"/>
              <w:jc w:val="right"/>
              <w:rPr>
                <w:rFonts w:ascii="Calibri" w:eastAsia="Times New Roman" w:hAnsi="Calibri" w:cs="Times New Roman"/>
                <w:b/>
                <w:bCs/>
                <w:color w:val="FF0000"/>
              </w:rPr>
            </w:pPr>
            <w:r w:rsidRPr="001A51BD">
              <w:rPr>
                <w:rFonts w:ascii="Calibri" w:eastAsia="Times New Roman" w:hAnsi="Calibri" w:cs="Times New Roman"/>
                <w:b/>
                <w:bCs/>
                <w:color w:val="FF0000"/>
              </w:rPr>
              <w:t>-2.054.839</w:t>
            </w:r>
          </w:p>
        </w:tc>
        <w:tc>
          <w:tcPr>
            <w:tcW w:w="1522" w:type="dxa"/>
            <w:shd w:val="clear" w:color="auto" w:fill="auto"/>
            <w:noWrap/>
            <w:vAlign w:val="bottom"/>
            <w:hideMark/>
          </w:tcPr>
          <w:p w:rsidR="001A51BD" w:rsidRPr="001A51BD" w:rsidRDefault="001A51BD" w:rsidP="001A51BD">
            <w:pPr>
              <w:spacing w:after="0" w:line="240" w:lineRule="auto"/>
              <w:jc w:val="right"/>
              <w:rPr>
                <w:rFonts w:ascii="Calibri" w:eastAsia="Times New Roman" w:hAnsi="Calibri" w:cs="Times New Roman"/>
                <w:b/>
                <w:bCs/>
                <w:color w:val="FF0000"/>
              </w:rPr>
            </w:pPr>
            <w:r w:rsidRPr="001A51BD">
              <w:rPr>
                <w:rFonts w:ascii="Calibri" w:eastAsia="Times New Roman" w:hAnsi="Calibri" w:cs="Times New Roman"/>
                <w:b/>
                <w:bCs/>
                <w:color w:val="FF0000"/>
              </w:rPr>
              <w:t>-2.754.087</w:t>
            </w:r>
          </w:p>
        </w:tc>
        <w:tc>
          <w:tcPr>
            <w:tcW w:w="1416" w:type="dxa"/>
            <w:shd w:val="clear" w:color="auto" w:fill="auto"/>
            <w:noWrap/>
            <w:vAlign w:val="bottom"/>
            <w:hideMark/>
          </w:tcPr>
          <w:p w:rsidR="001A51BD" w:rsidRPr="001A51BD" w:rsidRDefault="001A51BD" w:rsidP="001A51BD">
            <w:pPr>
              <w:spacing w:after="0" w:line="240" w:lineRule="auto"/>
              <w:jc w:val="right"/>
              <w:rPr>
                <w:rFonts w:ascii="Calibri" w:eastAsia="Times New Roman" w:hAnsi="Calibri" w:cs="Times New Roman"/>
                <w:b/>
                <w:bCs/>
              </w:rPr>
            </w:pPr>
            <w:r w:rsidRPr="001A51BD">
              <w:rPr>
                <w:rFonts w:ascii="Calibri" w:eastAsia="Times New Roman" w:hAnsi="Calibri" w:cs="Times New Roman"/>
                <w:b/>
                <w:bCs/>
              </w:rPr>
              <w:t>942.813</w:t>
            </w:r>
          </w:p>
        </w:tc>
      </w:tr>
    </w:tbl>
    <w:p w:rsidR="00EE46A5" w:rsidRDefault="001A51BD" w:rsidP="001A51BD">
      <w:pPr>
        <w:spacing w:before="240" w:line="276" w:lineRule="auto"/>
        <w:jc w:val="both"/>
      </w:pPr>
      <w:r>
        <w:t xml:space="preserve">Za drugi od gore data dva rezultata dobijamo sledeću tabelu. </w:t>
      </w:r>
    </w:p>
    <w:tbl>
      <w:tblPr>
        <w:tblW w:w="6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0"/>
        <w:gridCol w:w="1522"/>
        <w:gridCol w:w="1522"/>
        <w:gridCol w:w="1416"/>
      </w:tblGrid>
      <w:tr w:rsidR="001A51BD" w:rsidRPr="001A51BD" w:rsidTr="001A51BD">
        <w:trPr>
          <w:trHeight w:val="301"/>
          <w:jc w:val="center"/>
        </w:trPr>
        <w:tc>
          <w:tcPr>
            <w:tcW w:w="1620" w:type="dxa"/>
            <w:shd w:val="clear" w:color="auto" w:fill="auto"/>
            <w:noWrap/>
            <w:vAlign w:val="bottom"/>
            <w:hideMark/>
          </w:tcPr>
          <w:p w:rsidR="001A51BD" w:rsidRPr="001A51BD" w:rsidRDefault="001A51BD" w:rsidP="001A51BD">
            <w:pPr>
              <w:spacing w:after="0" w:line="240" w:lineRule="auto"/>
              <w:rPr>
                <w:rFonts w:ascii="Calibri" w:eastAsia="Times New Roman" w:hAnsi="Calibri" w:cs="Times New Roman"/>
                <w:color w:val="000000"/>
              </w:rPr>
            </w:pPr>
          </w:p>
        </w:tc>
        <w:tc>
          <w:tcPr>
            <w:tcW w:w="4460" w:type="dxa"/>
            <w:gridSpan w:val="3"/>
            <w:shd w:val="clear" w:color="auto" w:fill="auto"/>
            <w:vAlign w:val="bottom"/>
            <w:hideMark/>
          </w:tcPr>
          <w:p w:rsidR="001A51BD" w:rsidRPr="001A51BD" w:rsidRDefault="001A51BD" w:rsidP="001A51BD">
            <w:pPr>
              <w:spacing w:after="0" w:line="240" w:lineRule="auto"/>
              <w:jc w:val="center"/>
              <w:rPr>
                <w:rFonts w:ascii="Calibri" w:eastAsia="Times New Roman" w:hAnsi="Calibri" w:cs="Times New Roman"/>
                <w:b/>
                <w:bCs/>
                <w:color w:val="000000"/>
              </w:rPr>
            </w:pPr>
            <w:r w:rsidRPr="001A51BD">
              <w:rPr>
                <w:rFonts w:ascii="Calibri" w:eastAsia="Times New Roman" w:hAnsi="Calibri" w:cs="Times New Roman"/>
                <w:b/>
                <w:bCs/>
                <w:color w:val="000000"/>
              </w:rPr>
              <w:t>NPV društveni = Stakeholders + Drugi sektori</w:t>
            </w:r>
          </w:p>
        </w:tc>
      </w:tr>
      <w:tr w:rsidR="001A51BD" w:rsidRPr="001A51BD" w:rsidTr="001A51BD">
        <w:trPr>
          <w:trHeight w:val="301"/>
          <w:jc w:val="center"/>
        </w:trPr>
        <w:tc>
          <w:tcPr>
            <w:tcW w:w="1620" w:type="dxa"/>
            <w:shd w:val="clear" w:color="auto" w:fill="auto"/>
            <w:noWrap/>
            <w:vAlign w:val="bottom"/>
            <w:hideMark/>
          </w:tcPr>
          <w:p w:rsidR="001A51BD" w:rsidRPr="001A51BD" w:rsidRDefault="001A51BD" w:rsidP="001A51BD">
            <w:pPr>
              <w:spacing w:after="0" w:line="240" w:lineRule="auto"/>
              <w:jc w:val="center"/>
              <w:rPr>
                <w:rFonts w:ascii="Calibri" w:eastAsia="Times New Roman" w:hAnsi="Calibri" w:cs="Times New Roman"/>
                <w:b/>
                <w:bCs/>
                <w:color w:val="000000"/>
              </w:rPr>
            </w:pPr>
            <w:r w:rsidRPr="001A51BD">
              <w:rPr>
                <w:rFonts w:ascii="Calibri" w:eastAsia="Times New Roman" w:hAnsi="Calibri" w:cs="Times New Roman"/>
                <w:b/>
                <w:bCs/>
                <w:color w:val="000000"/>
              </w:rPr>
              <w:t xml:space="preserve">Scenarij </w:t>
            </w:r>
          </w:p>
        </w:tc>
        <w:tc>
          <w:tcPr>
            <w:tcW w:w="1522" w:type="dxa"/>
            <w:shd w:val="clear" w:color="auto" w:fill="auto"/>
            <w:noWrap/>
            <w:vAlign w:val="bottom"/>
            <w:hideMark/>
          </w:tcPr>
          <w:p w:rsidR="001A51BD" w:rsidRPr="001A51BD" w:rsidRDefault="001A51BD" w:rsidP="001A51BD">
            <w:pPr>
              <w:spacing w:after="0" w:line="240" w:lineRule="auto"/>
              <w:jc w:val="center"/>
              <w:rPr>
                <w:rFonts w:ascii="Calibri" w:eastAsia="Times New Roman" w:hAnsi="Calibri" w:cs="Times New Roman"/>
                <w:b/>
                <w:bCs/>
                <w:color w:val="000000"/>
              </w:rPr>
            </w:pPr>
            <w:r w:rsidRPr="001A51BD">
              <w:rPr>
                <w:rFonts w:ascii="Calibri" w:eastAsia="Times New Roman" w:hAnsi="Calibri" w:cs="Times New Roman"/>
                <w:b/>
                <w:bCs/>
                <w:color w:val="000000"/>
              </w:rPr>
              <w:t>8%</w:t>
            </w:r>
          </w:p>
        </w:tc>
        <w:tc>
          <w:tcPr>
            <w:tcW w:w="1522" w:type="dxa"/>
            <w:shd w:val="clear" w:color="auto" w:fill="auto"/>
            <w:noWrap/>
            <w:vAlign w:val="bottom"/>
            <w:hideMark/>
          </w:tcPr>
          <w:p w:rsidR="001A51BD" w:rsidRPr="001A51BD" w:rsidRDefault="001A51BD" w:rsidP="001A51BD">
            <w:pPr>
              <w:spacing w:after="0" w:line="240" w:lineRule="auto"/>
              <w:jc w:val="center"/>
              <w:rPr>
                <w:rFonts w:ascii="Calibri" w:eastAsia="Times New Roman" w:hAnsi="Calibri" w:cs="Times New Roman"/>
                <w:b/>
                <w:bCs/>
                <w:color w:val="000000"/>
              </w:rPr>
            </w:pPr>
            <w:r w:rsidRPr="001A51BD">
              <w:rPr>
                <w:rFonts w:ascii="Calibri" w:eastAsia="Times New Roman" w:hAnsi="Calibri" w:cs="Times New Roman"/>
                <w:b/>
                <w:bCs/>
                <w:color w:val="000000"/>
              </w:rPr>
              <w:t>9%</w:t>
            </w:r>
          </w:p>
        </w:tc>
        <w:tc>
          <w:tcPr>
            <w:tcW w:w="1416" w:type="dxa"/>
            <w:shd w:val="clear" w:color="auto" w:fill="auto"/>
            <w:noWrap/>
            <w:vAlign w:val="bottom"/>
            <w:hideMark/>
          </w:tcPr>
          <w:p w:rsidR="001A51BD" w:rsidRPr="001A51BD" w:rsidRDefault="001A51BD" w:rsidP="001A51BD">
            <w:pPr>
              <w:spacing w:after="0" w:line="240" w:lineRule="auto"/>
              <w:jc w:val="center"/>
              <w:rPr>
                <w:rFonts w:ascii="Calibri" w:eastAsia="Times New Roman" w:hAnsi="Calibri" w:cs="Times New Roman"/>
                <w:b/>
                <w:bCs/>
                <w:color w:val="000000"/>
              </w:rPr>
            </w:pPr>
            <w:r w:rsidRPr="001A51BD">
              <w:rPr>
                <w:rFonts w:ascii="Calibri" w:eastAsia="Times New Roman" w:hAnsi="Calibri" w:cs="Times New Roman"/>
                <w:b/>
                <w:bCs/>
                <w:color w:val="000000"/>
              </w:rPr>
              <w:t>5%</w:t>
            </w:r>
          </w:p>
        </w:tc>
      </w:tr>
      <w:tr w:rsidR="001A51BD" w:rsidRPr="001A51BD" w:rsidTr="001A51BD">
        <w:trPr>
          <w:trHeight w:val="301"/>
          <w:jc w:val="center"/>
        </w:trPr>
        <w:tc>
          <w:tcPr>
            <w:tcW w:w="1620" w:type="dxa"/>
            <w:shd w:val="clear" w:color="auto" w:fill="auto"/>
            <w:noWrap/>
            <w:vAlign w:val="bottom"/>
            <w:hideMark/>
          </w:tcPr>
          <w:p w:rsidR="001A51BD" w:rsidRPr="001A51BD" w:rsidRDefault="001A51BD" w:rsidP="001A51BD">
            <w:pPr>
              <w:spacing w:after="0" w:line="240" w:lineRule="auto"/>
              <w:jc w:val="center"/>
              <w:rPr>
                <w:rFonts w:ascii="Calibri" w:eastAsia="Times New Roman" w:hAnsi="Calibri" w:cs="Times New Roman"/>
                <w:b/>
                <w:bCs/>
                <w:color w:val="000000"/>
              </w:rPr>
            </w:pPr>
            <w:r w:rsidRPr="001A51BD">
              <w:rPr>
                <w:rFonts w:ascii="Calibri" w:eastAsia="Times New Roman" w:hAnsi="Calibri" w:cs="Times New Roman"/>
                <w:b/>
                <w:bCs/>
                <w:color w:val="000000"/>
              </w:rPr>
              <w:t>Sc 2018</w:t>
            </w:r>
          </w:p>
        </w:tc>
        <w:tc>
          <w:tcPr>
            <w:tcW w:w="1522" w:type="dxa"/>
            <w:shd w:val="clear" w:color="auto" w:fill="auto"/>
            <w:noWrap/>
            <w:vAlign w:val="bottom"/>
            <w:hideMark/>
          </w:tcPr>
          <w:p w:rsidR="001A51BD" w:rsidRPr="001A51BD" w:rsidRDefault="001A51BD" w:rsidP="001A51BD">
            <w:pPr>
              <w:spacing w:after="0" w:line="240" w:lineRule="auto"/>
              <w:jc w:val="right"/>
              <w:rPr>
                <w:rFonts w:ascii="Calibri" w:eastAsia="Times New Roman" w:hAnsi="Calibri" w:cs="Times New Roman"/>
                <w:b/>
                <w:bCs/>
                <w:color w:val="000000"/>
              </w:rPr>
            </w:pPr>
            <w:r w:rsidRPr="001A51BD">
              <w:rPr>
                <w:rFonts w:ascii="Calibri" w:eastAsia="Times New Roman" w:hAnsi="Calibri" w:cs="Times New Roman"/>
                <w:b/>
                <w:bCs/>
                <w:color w:val="000000"/>
              </w:rPr>
              <w:t>283.787</w:t>
            </w:r>
          </w:p>
        </w:tc>
        <w:tc>
          <w:tcPr>
            <w:tcW w:w="1522" w:type="dxa"/>
            <w:shd w:val="clear" w:color="auto" w:fill="auto"/>
            <w:noWrap/>
            <w:vAlign w:val="bottom"/>
            <w:hideMark/>
          </w:tcPr>
          <w:p w:rsidR="001A51BD" w:rsidRPr="001A51BD" w:rsidRDefault="001A51BD" w:rsidP="001A51BD">
            <w:pPr>
              <w:spacing w:after="0" w:line="240" w:lineRule="auto"/>
              <w:jc w:val="right"/>
              <w:rPr>
                <w:rFonts w:ascii="Calibri" w:eastAsia="Times New Roman" w:hAnsi="Calibri" w:cs="Times New Roman"/>
                <w:b/>
                <w:bCs/>
                <w:color w:val="FF0000"/>
              </w:rPr>
            </w:pPr>
            <w:r w:rsidRPr="001A51BD">
              <w:rPr>
                <w:rFonts w:ascii="Calibri" w:eastAsia="Times New Roman" w:hAnsi="Calibri" w:cs="Times New Roman"/>
                <w:b/>
                <w:bCs/>
                <w:color w:val="FF0000"/>
              </w:rPr>
              <w:t>-754.210</w:t>
            </w:r>
          </w:p>
        </w:tc>
        <w:tc>
          <w:tcPr>
            <w:tcW w:w="1416" w:type="dxa"/>
            <w:shd w:val="clear" w:color="auto" w:fill="auto"/>
            <w:noWrap/>
            <w:vAlign w:val="bottom"/>
            <w:hideMark/>
          </w:tcPr>
          <w:p w:rsidR="001A51BD" w:rsidRPr="001A51BD" w:rsidRDefault="001A51BD" w:rsidP="001A51BD">
            <w:pPr>
              <w:spacing w:after="0" w:line="240" w:lineRule="auto"/>
              <w:jc w:val="right"/>
              <w:rPr>
                <w:rFonts w:ascii="Calibri" w:eastAsia="Times New Roman" w:hAnsi="Calibri" w:cs="Times New Roman"/>
                <w:b/>
                <w:bCs/>
                <w:color w:val="000000"/>
              </w:rPr>
            </w:pPr>
            <w:r w:rsidRPr="001A51BD">
              <w:rPr>
                <w:rFonts w:ascii="Calibri" w:eastAsia="Times New Roman" w:hAnsi="Calibri" w:cs="Times New Roman"/>
                <w:b/>
                <w:bCs/>
                <w:color w:val="000000"/>
              </w:rPr>
              <w:t>4.672.435</w:t>
            </w:r>
          </w:p>
        </w:tc>
      </w:tr>
      <w:tr w:rsidR="001A51BD" w:rsidRPr="001A51BD" w:rsidTr="001A51BD">
        <w:trPr>
          <w:trHeight w:val="301"/>
          <w:jc w:val="center"/>
        </w:trPr>
        <w:tc>
          <w:tcPr>
            <w:tcW w:w="1620" w:type="dxa"/>
            <w:shd w:val="clear" w:color="auto" w:fill="auto"/>
            <w:noWrap/>
            <w:vAlign w:val="bottom"/>
            <w:hideMark/>
          </w:tcPr>
          <w:p w:rsidR="001A51BD" w:rsidRPr="001A51BD" w:rsidRDefault="001A51BD" w:rsidP="001A51BD">
            <w:pPr>
              <w:spacing w:after="0" w:line="240" w:lineRule="auto"/>
              <w:jc w:val="center"/>
              <w:rPr>
                <w:rFonts w:ascii="Calibri" w:eastAsia="Times New Roman" w:hAnsi="Calibri" w:cs="Times New Roman"/>
                <w:b/>
                <w:bCs/>
                <w:color w:val="000000"/>
              </w:rPr>
            </w:pPr>
            <w:r w:rsidRPr="001A51BD">
              <w:rPr>
                <w:rFonts w:ascii="Calibri" w:eastAsia="Times New Roman" w:hAnsi="Calibri" w:cs="Times New Roman"/>
                <w:b/>
                <w:bCs/>
                <w:color w:val="000000"/>
              </w:rPr>
              <w:t>Sc 2018-10%</w:t>
            </w:r>
          </w:p>
        </w:tc>
        <w:tc>
          <w:tcPr>
            <w:tcW w:w="1522" w:type="dxa"/>
            <w:shd w:val="clear" w:color="auto" w:fill="auto"/>
            <w:noWrap/>
            <w:vAlign w:val="bottom"/>
            <w:hideMark/>
          </w:tcPr>
          <w:p w:rsidR="001A51BD" w:rsidRPr="001A51BD" w:rsidRDefault="001A51BD" w:rsidP="001A51BD">
            <w:pPr>
              <w:spacing w:after="0" w:line="240" w:lineRule="auto"/>
              <w:jc w:val="right"/>
              <w:rPr>
                <w:rFonts w:ascii="Calibri" w:eastAsia="Times New Roman" w:hAnsi="Calibri" w:cs="Times New Roman"/>
                <w:b/>
                <w:bCs/>
                <w:color w:val="000000"/>
              </w:rPr>
            </w:pPr>
            <w:r w:rsidRPr="001A51BD">
              <w:rPr>
                <w:rFonts w:ascii="Calibri" w:eastAsia="Times New Roman" w:hAnsi="Calibri" w:cs="Times New Roman"/>
                <w:b/>
                <w:bCs/>
                <w:color w:val="000000"/>
              </w:rPr>
              <w:t>538.641</w:t>
            </w:r>
          </w:p>
        </w:tc>
        <w:tc>
          <w:tcPr>
            <w:tcW w:w="1522" w:type="dxa"/>
            <w:shd w:val="clear" w:color="auto" w:fill="auto"/>
            <w:noWrap/>
            <w:vAlign w:val="bottom"/>
            <w:hideMark/>
          </w:tcPr>
          <w:p w:rsidR="001A51BD" w:rsidRPr="001A51BD" w:rsidRDefault="001A51BD" w:rsidP="001A51BD">
            <w:pPr>
              <w:spacing w:after="0" w:line="240" w:lineRule="auto"/>
              <w:jc w:val="right"/>
              <w:rPr>
                <w:rFonts w:ascii="Calibri" w:eastAsia="Times New Roman" w:hAnsi="Calibri" w:cs="Times New Roman"/>
                <w:b/>
                <w:bCs/>
                <w:color w:val="FF0000"/>
              </w:rPr>
            </w:pPr>
            <w:r w:rsidRPr="001A51BD">
              <w:rPr>
                <w:rFonts w:ascii="Calibri" w:eastAsia="Times New Roman" w:hAnsi="Calibri" w:cs="Times New Roman"/>
                <w:b/>
                <w:bCs/>
                <w:color w:val="FF0000"/>
              </w:rPr>
              <w:t>-523.984</w:t>
            </w:r>
          </w:p>
        </w:tc>
        <w:tc>
          <w:tcPr>
            <w:tcW w:w="1416" w:type="dxa"/>
            <w:shd w:val="clear" w:color="auto" w:fill="auto"/>
            <w:noWrap/>
            <w:vAlign w:val="bottom"/>
            <w:hideMark/>
          </w:tcPr>
          <w:p w:rsidR="001A51BD" w:rsidRPr="001A51BD" w:rsidRDefault="001A51BD" w:rsidP="001A51BD">
            <w:pPr>
              <w:spacing w:after="0" w:line="240" w:lineRule="auto"/>
              <w:jc w:val="right"/>
              <w:rPr>
                <w:rFonts w:ascii="Calibri" w:eastAsia="Times New Roman" w:hAnsi="Calibri" w:cs="Times New Roman"/>
                <w:b/>
                <w:bCs/>
                <w:color w:val="000000"/>
              </w:rPr>
            </w:pPr>
            <w:r w:rsidRPr="001A51BD">
              <w:rPr>
                <w:rFonts w:ascii="Calibri" w:eastAsia="Times New Roman" w:hAnsi="Calibri" w:cs="Times New Roman"/>
                <w:b/>
                <w:bCs/>
                <w:color w:val="000000"/>
              </w:rPr>
              <w:t>5.028.423</w:t>
            </w:r>
          </w:p>
        </w:tc>
      </w:tr>
      <w:tr w:rsidR="001A51BD" w:rsidRPr="001A51BD" w:rsidTr="001A51BD">
        <w:trPr>
          <w:trHeight w:val="301"/>
          <w:jc w:val="center"/>
        </w:trPr>
        <w:tc>
          <w:tcPr>
            <w:tcW w:w="1620" w:type="dxa"/>
            <w:shd w:val="clear" w:color="auto" w:fill="auto"/>
            <w:noWrap/>
            <w:vAlign w:val="bottom"/>
            <w:hideMark/>
          </w:tcPr>
          <w:p w:rsidR="001A51BD" w:rsidRPr="001A51BD" w:rsidRDefault="001A51BD" w:rsidP="001A51BD">
            <w:pPr>
              <w:spacing w:after="0" w:line="240" w:lineRule="auto"/>
              <w:jc w:val="center"/>
              <w:rPr>
                <w:rFonts w:ascii="Calibri" w:eastAsia="Times New Roman" w:hAnsi="Calibri" w:cs="Times New Roman"/>
                <w:b/>
                <w:bCs/>
                <w:color w:val="000000"/>
              </w:rPr>
            </w:pPr>
            <w:r w:rsidRPr="001A51BD">
              <w:rPr>
                <w:rFonts w:ascii="Calibri" w:eastAsia="Times New Roman" w:hAnsi="Calibri" w:cs="Times New Roman"/>
                <w:b/>
                <w:bCs/>
                <w:color w:val="000000"/>
              </w:rPr>
              <w:t>Sc 2018-20%</w:t>
            </w:r>
          </w:p>
        </w:tc>
        <w:tc>
          <w:tcPr>
            <w:tcW w:w="1522" w:type="dxa"/>
            <w:shd w:val="clear" w:color="auto" w:fill="auto"/>
            <w:noWrap/>
            <w:vAlign w:val="bottom"/>
            <w:hideMark/>
          </w:tcPr>
          <w:p w:rsidR="001A51BD" w:rsidRPr="001A51BD" w:rsidRDefault="001A51BD" w:rsidP="001A51BD">
            <w:pPr>
              <w:spacing w:after="0" w:line="240" w:lineRule="auto"/>
              <w:jc w:val="right"/>
              <w:rPr>
                <w:rFonts w:ascii="Calibri" w:eastAsia="Times New Roman" w:hAnsi="Calibri" w:cs="Times New Roman"/>
                <w:b/>
                <w:bCs/>
                <w:color w:val="FF0000"/>
              </w:rPr>
            </w:pPr>
            <w:r w:rsidRPr="001A51BD">
              <w:rPr>
                <w:rFonts w:ascii="Calibri" w:eastAsia="Times New Roman" w:hAnsi="Calibri" w:cs="Times New Roman"/>
                <w:b/>
                <w:bCs/>
                <w:color w:val="FF0000"/>
              </w:rPr>
              <w:t>-2.520.447</w:t>
            </w:r>
          </w:p>
        </w:tc>
        <w:tc>
          <w:tcPr>
            <w:tcW w:w="1522" w:type="dxa"/>
            <w:shd w:val="clear" w:color="auto" w:fill="auto"/>
            <w:noWrap/>
            <w:vAlign w:val="bottom"/>
            <w:hideMark/>
          </w:tcPr>
          <w:p w:rsidR="001A51BD" w:rsidRPr="001A51BD" w:rsidRDefault="001A51BD" w:rsidP="001A51BD">
            <w:pPr>
              <w:spacing w:after="0" w:line="240" w:lineRule="auto"/>
              <w:jc w:val="right"/>
              <w:rPr>
                <w:rFonts w:ascii="Calibri" w:eastAsia="Times New Roman" w:hAnsi="Calibri" w:cs="Times New Roman"/>
                <w:b/>
                <w:bCs/>
                <w:color w:val="FF0000"/>
              </w:rPr>
            </w:pPr>
            <w:r w:rsidRPr="001A51BD">
              <w:rPr>
                <w:rFonts w:ascii="Calibri" w:eastAsia="Times New Roman" w:hAnsi="Calibri" w:cs="Times New Roman"/>
                <w:b/>
                <w:bCs/>
                <w:color w:val="FF0000"/>
              </w:rPr>
              <w:t>769.222</w:t>
            </w:r>
          </w:p>
        </w:tc>
        <w:tc>
          <w:tcPr>
            <w:tcW w:w="1416" w:type="dxa"/>
            <w:shd w:val="clear" w:color="auto" w:fill="auto"/>
            <w:noWrap/>
            <w:vAlign w:val="bottom"/>
            <w:hideMark/>
          </w:tcPr>
          <w:p w:rsidR="001A51BD" w:rsidRPr="001A51BD" w:rsidRDefault="001A51BD" w:rsidP="001A51BD">
            <w:pPr>
              <w:spacing w:after="0" w:line="240" w:lineRule="auto"/>
              <w:jc w:val="right"/>
              <w:rPr>
                <w:rFonts w:ascii="Calibri" w:eastAsia="Times New Roman" w:hAnsi="Calibri" w:cs="Times New Roman"/>
                <w:b/>
                <w:bCs/>
              </w:rPr>
            </w:pPr>
            <w:r w:rsidRPr="001A51BD">
              <w:rPr>
                <w:rFonts w:ascii="Calibri" w:eastAsia="Times New Roman" w:hAnsi="Calibri" w:cs="Times New Roman"/>
                <w:b/>
                <w:bCs/>
              </w:rPr>
              <w:t>755.404</w:t>
            </w:r>
          </w:p>
        </w:tc>
      </w:tr>
      <w:tr w:rsidR="001A51BD" w:rsidRPr="001A51BD" w:rsidTr="001A51BD">
        <w:trPr>
          <w:trHeight w:val="301"/>
          <w:jc w:val="center"/>
        </w:trPr>
        <w:tc>
          <w:tcPr>
            <w:tcW w:w="1620" w:type="dxa"/>
            <w:shd w:val="clear" w:color="auto" w:fill="auto"/>
            <w:noWrap/>
            <w:vAlign w:val="bottom"/>
            <w:hideMark/>
          </w:tcPr>
          <w:p w:rsidR="001A51BD" w:rsidRPr="001A51BD" w:rsidRDefault="001A51BD" w:rsidP="001A51BD">
            <w:pPr>
              <w:spacing w:after="0" w:line="240" w:lineRule="auto"/>
              <w:jc w:val="center"/>
              <w:rPr>
                <w:rFonts w:ascii="Calibri" w:eastAsia="Times New Roman" w:hAnsi="Calibri" w:cs="Times New Roman"/>
                <w:b/>
                <w:bCs/>
                <w:color w:val="000000"/>
              </w:rPr>
            </w:pPr>
            <w:r w:rsidRPr="001A51BD">
              <w:rPr>
                <w:rFonts w:ascii="Calibri" w:eastAsia="Times New Roman" w:hAnsi="Calibri" w:cs="Times New Roman"/>
                <w:b/>
                <w:bCs/>
                <w:color w:val="000000"/>
              </w:rPr>
              <w:t>Sc 2018-25%</w:t>
            </w:r>
          </w:p>
        </w:tc>
        <w:tc>
          <w:tcPr>
            <w:tcW w:w="1522" w:type="dxa"/>
            <w:shd w:val="clear" w:color="auto" w:fill="auto"/>
            <w:noWrap/>
            <w:vAlign w:val="bottom"/>
            <w:hideMark/>
          </w:tcPr>
          <w:p w:rsidR="001A51BD" w:rsidRPr="001A51BD" w:rsidRDefault="001A51BD" w:rsidP="001A51BD">
            <w:pPr>
              <w:spacing w:after="0" w:line="240" w:lineRule="auto"/>
              <w:jc w:val="right"/>
              <w:rPr>
                <w:rFonts w:ascii="Calibri" w:eastAsia="Times New Roman" w:hAnsi="Calibri" w:cs="Times New Roman"/>
                <w:b/>
                <w:bCs/>
                <w:color w:val="FF0000"/>
              </w:rPr>
            </w:pPr>
            <w:r w:rsidRPr="001A51BD">
              <w:rPr>
                <w:rFonts w:ascii="Calibri" w:eastAsia="Times New Roman" w:hAnsi="Calibri" w:cs="Times New Roman"/>
                <w:b/>
                <w:bCs/>
                <w:color w:val="FF0000"/>
              </w:rPr>
              <w:t>-3.221.506</w:t>
            </w:r>
          </w:p>
        </w:tc>
        <w:tc>
          <w:tcPr>
            <w:tcW w:w="1522" w:type="dxa"/>
            <w:shd w:val="clear" w:color="auto" w:fill="auto"/>
            <w:noWrap/>
            <w:vAlign w:val="bottom"/>
            <w:hideMark/>
          </w:tcPr>
          <w:p w:rsidR="001A51BD" w:rsidRPr="001A51BD" w:rsidRDefault="001A51BD" w:rsidP="001A51BD">
            <w:pPr>
              <w:spacing w:after="0" w:line="240" w:lineRule="auto"/>
              <w:jc w:val="right"/>
              <w:rPr>
                <w:rFonts w:ascii="Calibri" w:eastAsia="Times New Roman" w:hAnsi="Calibri" w:cs="Times New Roman"/>
                <w:b/>
                <w:bCs/>
                <w:color w:val="FF0000"/>
              </w:rPr>
            </w:pPr>
            <w:r w:rsidRPr="001A51BD">
              <w:rPr>
                <w:rFonts w:ascii="Calibri" w:eastAsia="Times New Roman" w:hAnsi="Calibri" w:cs="Times New Roman"/>
                <w:b/>
                <w:bCs/>
                <w:color w:val="FF0000"/>
              </w:rPr>
              <w:t>-3.920.754</w:t>
            </w:r>
          </w:p>
        </w:tc>
        <w:tc>
          <w:tcPr>
            <w:tcW w:w="1416" w:type="dxa"/>
            <w:shd w:val="clear" w:color="auto" w:fill="auto"/>
            <w:noWrap/>
            <w:vAlign w:val="bottom"/>
            <w:hideMark/>
          </w:tcPr>
          <w:p w:rsidR="001A51BD" w:rsidRPr="001A51BD" w:rsidRDefault="001A51BD" w:rsidP="001A51BD">
            <w:pPr>
              <w:spacing w:after="0" w:line="240" w:lineRule="auto"/>
              <w:jc w:val="right"/>
              <w:rPr>
                <w:rFonts w:ascii="Calibri" w:eastAsia="Times New Roman" w:hAnsi="Calibri" w:cs="Times New Roman"/>
                <w:b/>
                <w:bCs/>
                <w:color w:val="FF0000"/>
              </w:rPr>
            </w:pPr>
            <w:r w:rsidRPr="001A51BD">
              <w:rPr>
                <w:rFonts w:ascii="Calibri" w:eastAsia="Times New Roman" w:hAnsi="Calibri" w:cs="Times New Roman"/>
                <w:b/>
                <w:bCs/>
                <w:color w:val="FF0000"/>
              </w:rPr>
              <w:t>-223.854</w:t>
            </w:r>
          </w:p>
        </w:tc>
      </w:tr>
    </w:tbl>
    <w:p w:rsidR="0035741A" w:rsidRDefault="001A51BD" w:rsidP="001A51BD">
      <w:pPr>
        <w:spacing w:before="240" w:line="276" w:lineRule="auto"/>
        <w:jc w:val="both"/>
      </w:pPr>
      <w:r>
        <w:t>Kao što vidimo NPV novoformiranog društvenog toka je sada u najvećem broju slučajeva negativna, što, kada se imaju u vidu konzervativne pretpostavke od kojih smo pošli, upućuje na zaključak da, i pored nedostatka podataka potrebnih za precizno mjerenje, možemo sa sigurnošću tvrditi da je uticaj dvije mHE gledano u cjelini krajnje negativan gledano iz perspe</w:t>
      </w:r>
      <w:r w:rsidR="00E00C61">
        <w:t>k</w:t>
      </w:r>
      <w:r>
        <w:t xml:space="preserve">tive društva u cjelini. </w:t>
      </w:r>
      <w:r w:rsidR="00246F24">
        <w:t xml:space="preserve">Ovi negativni efekti su </w:t>
      </w:r>
      <w:r w:rsidR="00246F24">
        <w:lastRenderedPageBreak/>
        <w:t>toliko snažni da</w:t>
      </w:r>
      <w:r w:rsidR="00E20E24">
        <w:t>,</w:t>
      </w:r>
      <w:r w:rsidR="00246F24">
        <w:t xml:space="preserve"> čak i kad bi bili pozitivni</w:t>
      </w:r>
      <w:r w:rsidR="00E20E24">
        <w:t>,</w:t>
      </w:r>
      <w:r w:rsidR="00246F24">
        <w:t xml:space="preserve"> ekološki efekti nebi mogli izmijeniti značajnije zaključak o negativnom </w:t>
      </w:r>
      <w:r w:rsidR="00E20E24">
        <w:t xml:space="preserve">ukupnom </w:t>
      </w:r>
      <w:r w:rsidR="00246F24">
        <w:t xml:space="preserve">društvenom efektu mHE. A </w:t>
      </w:r>
      <w:r w:rsidR="00E20E24">
        <w:t xml:space="preserve">u narednoj glavi ćemo </w:t>
      </w:r>
      <w:r w:rsidR="00F166C3">
        <w:t>videti</w:t>
      </w:r>
      <w:r w:rsidR="00246F24">
        <w:t xml:space="preserve"> da su ekološki efekti</w:t>
      </w:r>
      <w:r w:rsidR="00E20E24">
        <w:t xml:space="preserve">, suprotno očekivanjima i opravdavanjima, u cjelini bili izrazito negativni. </w:t>
      </w:r>
    </w:p>
    <w:p w:rsidR="00EB2896" w:rsidRDefault="00EB2896" w:rsidP="00EB2896">
      <w:pPr>
        <w:spacing w:before="240" w:line="276" w:lineRule="auto"/>
        <w:jc w:val="center"/>
      </w:pPr>
      <w:r>
        <w:t xml:space="preserve">* </w:t>
      </w:r>
      <w:r>
        <w:tab/>
        <w:t xml:space="preserve">* </w:t>
      </w:r>
      <w:r>
        <w:tab/>
        <w:t xml:space="preserve">* </w:t>
      </w:r>
    </w:p>
    <w:p w:rsidR="00E20E24" w:rsidRDefault="00E20E24" w:rsidP="001A51BD">
      <w:pPr>
        <w:spacing w:before="240" w:line="276" w:lineRule="auto"/>
        <w:jc w:val="both"/>
      </w:pPr>
      <w:r>
        <w:t>Ovaj primjer pokazuje kako subvencije, koje su u slučajevima teških mana tržišta zaista jako p</w:t>
      </w:r>
      <w:r w:rsidR="00F166C3">
        <w:t xml:space="preserve">oželjne, mogu biti jako destruktivne ako su napravljeni loši targeti ili su pak same subvencije loše dizajnirane. Naravno, ovo nije samo pitanje znanja ili neznanja, a često je i to, već je vrlo često pitanje političke ekonomije, odnosno pitanje odnosa snaga pojedinih interesnih grupa. </w:t>
      </w:r>
      <w:r w:rsidR="004D2914">
        <w:t>Ovdje se jasno vidi kako pojedini</w:t>
      </w:r>
      <w:r w:rsidR="00CC7980">
        <w:t xml:space="preserve"> projekti, kada su subvencionisani, mogu biti dosta isplativi sa privatnog stanovišta, odnosno sa stanovišta stockholdera, a da istovremeno imaju negativne društvene efekte. </w:t>
      </w:r>
    </w:p>
    <w:p w:rsidR="00EE46A5" w:rsidRDefault="00EE46A5" w:rsidP="00E6711F">
      <w:pPr>
        <w:spacing w:line="276" w:lineRule="auto"/>
        <w:jc w:val="both"/>
      </w:pPr>
    </w:p>
    <w:p w:rsidR="00880246" w:rsidRDefault="00880246">
      <w:r>
        <w:br w:type="page"/>
      </w:r>
    </w:p>
    <w:p w:rsidR="00352C1C" w:rsidRDefault="00352C1C"/>
    <w:p w:rsidR="00352C1C" w:rsidRPr="001C700D" w:rsidRDefault="001C700D" w:rsidP="001C700D">
      <w:pPr>
        <w:spacing w:line="276" w:lineRule="auto"/>
        <w:jc w:val="center"/>
        <w:rPr>
          <w:b/>
        </w:rPr>
      </w:pPr>
      <w:r w:rsidRPr="001C700D">
        <w:rPr>
          <w:b/>
        </w:rPr>
        <w:t>DODACI UZ POGLAVLJE 4</w:t>
      </w:r>
    </w:p>
    <w:p w:rsidR="00CF618E" w:rsidRDefault="00CF618E" w:rsidP="004D1F30">
      <w:pPr>
        <w:spacing w:line="276" w:lineRule="auto"/>
      </w:pPr>
    </w:p>
    <w:p w:rsidR="00CF618E" w:rsidRDefault="00CF618E" w:rsidP="004D1F30">
      <w:pPr>
        <w:spacing w:line="276" w:lineRule="auto"/>
      </w:pPr>
    </w:p>
    <w:p w:rsidR="00CF618E" w:rsidRDefault="00CF618E" w:rsidP="00CF618E">
      <w:pPr>
        <w:spacing w:after="0" w:line="276" w:lineRule="auto"/>
      </w:pPr>
      <w:r>
        <w:t xml:space="preserve">Tabela 1: Mjesne zajednice i naselja opštinePlav </w:t>
      </w:r>
    </w:p>
    <w:p w:rsidR="00CF618E" w:rsidRDefault="00A10190" w:rsidP="00CF618E">
      <w:pPr>
        <w:spacing w:after="0" w:line="276" w:lineRule="auto"/>
      </w:pPr>
      <w:r w:rsidRPr="00A10190">
        <w:rPr>
          <w:noProof/>
        </w:rPr>
        <w:drawing>
          <wp:inline distT="0" distB="0" distL="0" distR="0">
            <wp:extent cx="5415747" cy="4869873"/>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3308" cy="4912640"/>
                    </a:xfrm>
                    <a:prstGeom prst="rect">
                      <a:avLst/>
                    </a:prstGeom>
                    <a:noFill/>
                    <a:ln>
                      <a:noFill/>
                    </a:ln>
                  </pic:spPr>
                </pic:pic>
              </a:graphicData>
            </a:graphic>
          </wp:inline>
        </w:drawing>
      </w:r>
    </w:p>
    <w:p w:rsidR="00CF618E" w:rsidRDefault="004F2B65" w:rsidP="00CF618E">
      <w:pPr>
        <w:spacing w:line="276" w:lineRule="auto"/>
      </w:pPr>
      <w:r>
        <w:t>Izvor: Monstat:</w:t>
      </w:r>
      <w:r w:rsidR="00CF618E">
        <w:t xml:space="preserve"> Popis stanovništva Crne Gore 2011. </w:t>
      </w:r>
    </w:p>
    <w:p w:rsidR="00CF618E" w:rsidRDefault="00CF618E" w:rsidP="004D1F30">
      <w:pPr>
        <w:spacing w:line="276" w:lineRule="auto"/>
      </w:pPr>
    </w:p>
    <w:p w:rsidR="00CF618E" w:rsidRDefault="00CF618E" w:rsidP="004D1F30">
      <w:pPr>
        <w:spacing w:line="276" w:lineRule="auto"/>
      </w:pPr>
    </w:p>
    <w:p w:rsidR="00CF618E" w:rsidRDefault="00CF618E" w:rsidP="004D1F30">
      <w:pPr>
        <w:spacing w:line="276" w:lineRule="auto"/>
      </w:pPr>
    </w:p>
    <w:p w:rsidR="00CF618E" w:rsidRDefault="00CF618E" w:rsidP="004D1F30">
      <w:pPr>
        <w:spacing w:line="276" w:lineRule="auto"/>
      </w:pPr>
    </w:p>
    <w:p w:rsidR="00CF618E" w:rsidRDefault="00CF618E" w:rsidP="004D1F30">
      <w:pPr>
        <w:spacing w:line="276" w:lineRule="auto"/>
      </w:pPr>
    </w:p>
    <w:p w:rsidR="00FA2DF9" w:rsidRDefault="00FA2DF9" w:rsidP="004D1F30">
      <w:pPr>
        <w:spacing w:line="276" w:lineRule="auto"/>
      </w:pPr>
    </w:p>
    <w:p w:rsidR="00CF618E" w:rsidRDefault="00CF618E" w:rsidP="004D1F30">
      <w:pPr>
        <w:spacing w:line="276" w:lineRule="auto"/>
      </w:pPr>
    </w:p>
    <w:p w:rsidR="00CF618E" w:rsidRDefault="00CF618E" w:rsidP="004D1F30">
      <w:pPr>
        <w:spacing w:line="276" w:lineRule="auto"/>
      </w:pPr>
    </w:p>
    <w:p w:rsidR="00352C1C" w:rsidRDefault="00FA2DF9" w:rsidP="00FA2DF9">
      <w:pPr>
        <w:spacing w:after="0" w:line="240" w:lineRule="auto"/>
      </w:pPr>
      <w:r>
        <w:t>Tabela</w:t>
      </w:r>
      <w:r w:rsidR="00905242">
        <w:t xml:space="preserve"> 2</w:t>
      </w:r>
      <w:r>
        <w:t xml:space="preserve">: Ukupna populacija </w:t>
      </w:r>
      <w:r w:rsidR="004706E1">
        <w:t>po nacionalnoj strukturi</w:t>
      </w:r>
      <w:r>
        <w:t xml:space="preserve"> po pojedinim naseljima Plavske opštine 2011 </w:t>
      </w:r>
    </w:p>
    <w:tbl>
      <w:tblPr>
        <w:tblW w:w="0" w:type="auto"/>
        <w:tblLook w:val="04A0"/>
      </w:tblPr>
      <w:tblGrid>
        <w:gridCol w:w="812"/>
        <w:gridCol w:w="1381"/>
        <w:gridCol w:w="812"/>
        <w:gridCol w:w="700"/>
        <w:gridCol w:w="749"/>
        <w:gridCol w:w="822"/>
        <w:gridCol w:w="712"/>
        <w:gridCol w:w="844"/>
        <w:gridCol w:w="1412"/>
        <w:gridCol w:w="700"/>
        <w:gridCol w:w="632"/>
      </w:tblGrid>
      <w:tr w:rsidR="00FA2DF9" w:rsidRPr="00FA2DF9" w:rsidTr="00FA2DF9">
        <w:trPr>
          <w:trHeight w:val="705"/>
        </w:trPr>
        <w:tc>
          <w:tcPr>
            <w:tcW w:w="0" w:type="auto"/>
            <w:tcBorders>
              <w:top w:val="single" w:sz="4" w:space="0" w:color="auto"/>
              <w:left w:val="single" w:sz="4" w:space="0" w:color="auto"/>
              <w:bottom w:val="single" w:sz="4" w:space="0" w:color="auto"/>
              <w:right w:val="single" w:sz="4" w:space="0" w:color="auto"/>
            </w:tcBorders>
            <w:shd w:val="clear" w:color="000000" w:fill="FFC000"/>
            <w:vAlign w:val="center"/>
            <w:hideMark/>
          </w:tcPr>
          <w:p w:rsidR="00FA2DF9" w:rsidRPr="00FA2DF9" w:rsidRDefault="00FA2DF9" w:rsidP="00FA2DF9">
            <w:pPr>
              <w:spacing w:after="0" w:line="240" w:lineRule="auto"/>
              <w:jc w:val="center"/>
              <w:rPr>
                <w:rFonts w:ascii="Arial" w:eastAsia="Times New Roman" w:hAnsi="Arial" w:cs="Arial"/>
                <w:color w:val="000000"/>
                <w:sz w:val="16"/>
                <w:szCs w:val="16"/>
              </w:rPr>
            </w:pPr>
            <w:r w:rsidRPr="00FA2DF9">
              <w:rPr>
                <w:rFonts w:ascii="Arial" w:eastAsia="Times New Roman" w:hAnsi="Arial" w:cs="Arial"/>
                <w:color w:val="000000"/>
                <w:sz w:val="16"/>
                <w:szCs w:val="16"/>
              </w:rPr>
              <w:t>Opština</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FA2DF9" w:rsidRPr="00FA2DF9" w:rsidRDefault="00FA2DF9" w:rsidP="00FA2DF9">
            <w:pPr>
              <w:spacing w:after="0" w:line="240" w:lineRule="auto"/>
              <w:jc w:val="center"/>
              <w:rPr>
                <w:rFonts w:ascii="Arial" w:eastAsia="Times New Roman" w:hAnsi="Arial" w:cs="Arial"/>
                <w:color w:val="000000"/>
                <w:sz w:val="16"/>
                <w:szCs w:val="16"/>
              </w:rPr>
            </w:pPr>
            <w:r w:rsidRPr="00FA2DF9">
              <w:rPr>
                <w:rFonts w:ascii="Arial" w:eastAsia="Times New Roman" w:hAnsi="Arial" w:cs="Arial"/>
                <w:color w:val="000000"/>
                <w:sz w:val="16"/>
                <w:szCs w:val="16"/>
              </w:rPr>
              <w:t>Naselje</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FA2DF9" w:rsidRPr="00FA2DF9" w:rsidRDefault="00FA2DF9" w:rsidP="00FA2DF9">
            <w:pPr>
              <w:spacing w:after="0" w:line="240" w:lineRule="auto"/>
              <w:jc w:val="center"/>
              <w:rPr>
                <w:rFonts w:ascii="Arial" w:eastAsia="Times New Roman" w:hAnsi="Arial" w:cs="Arial"/>
                <w:color w:val="000000"/>
                <w:sz w:val="16"/>
                <w:szCs w:val="16"/>
              </w:rPr>
            </w:pPr>
            <w:r w:rsidRPr="00FA2DF9">
              <w:rPr>
                <w:rFonts w:ascii="Arial" w:eastAsia="Times New Roman" w:hAnsi="Arial" w:cs="Arial"/>
                <w:color w:val="000000"/>
                <w:sz w:val="16"/>
                <w:szCs w:val="16"/>
              </w:rPr>
              <w:t>Ukupno</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FA2DF9" w:rsidRPr="00FA2DF9" w:rsidRDefault="00FA2DF9" w:rsidP="00FA2DF9">
            <w:pPr>
              <w:spacing w:after="0" w:line="240" w:lineRule="auto"/>
              <w:jc w:val="center"/>
              <w:rPr>
                <w:rFonts w:ascii="Arial Narrow" w:eastAsia="Times New Roman" w:hAnsi="Arial Narrow" w:cs="Times New Roman"/>
                <w:color w:val="000000"/>
                <w:sz w:val="16"/>
                <w:szCs w:val="16"/>
              </w:rPr>
            </w:pPr>
            <w:r w:rsidRPr="00FA2DF9">
              <w:rPr>
                <w:rFonts w:ascii="Arial Narrow" w:eastAsia="Times New Roman" w:hAnsi="Arial Narrow" w:cs="Times New Roman"/>
                <w:color w:val="000000"/>
                <w:sz w:val="16"/>
                <w:szCs w:val="16"/>
              </w:rPr>
              <w:t xml:space="preserve">Albanci/ </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FA2DF9" w:rsidRPr="00FA2DF9" w:rsidRDefault="00FA2DF9" w:rsidP="00FA2DF9">
            <w:pPr>
              <w:spacing w:after="0" w:line="240" w:lineRule="auto"/>
              <w:jc w:val="center"/>
              <w:rPr>
                <w:rFonts w:ascii="Arial Narrow" w:eastAsia="Times New Roman" w:hAnsi="Arial Narrow" w:cs="Times New Roman"/>
                <w:color w:val="000000"/>
                <w:sz w:val="16"/>
                <w:szCs w:val="16"/>
              </w:rPr>
            </w:pPr>
            <w:r w:rsidRPr="00FA2DF9">
              <w:rPr>
                <w:rFonts w:ascii="Arial Narrow" w:eastAsia="Times New Roman" w:hAnsi="Arial Narrow" w:cs="Times New Roman"/>
                <w:color w:val="000000"/>
                <w:sz w:val="16"/>
                <w:szCs w:val="16"/>
              </w:rPr>
              <w:t xml:space="preserve">Bošnjaci/ </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FA2DF9" w:rsidRPr="00FA2DF9" w:rsidRDefault="00FA2DF9" w:rsidP="00FA2DF9">
            <w:pPr>
              <w:spacing w:after="0" w:line="240" w:lineRule="auto"/>
              <w:jc w:val="center"/>
              <w:rPr>
                <w:rFonts w:ascii="Arial Narrow" w:eastAsia="Times New Roman" w:hAnsi="Arial Narrow" w:cs="Times New Roman"/>
                <w:color w:val="000000"/>
                <w:sz w:val="16"/>
                <w:szCs w:val="16"/>
              </w:rPr>
            </w:pPr>
            <w:r w:rsidRPr="00FA2DF9">
              <w:rPr>
                <w:rFonts w:ascii="Arial Narrow" w:eastAsia="Times New Roman" w:hAnsi="Arial Narrow" w:cs="Times New Roman"/>
                <w:color w:val="000000"/>
                <w:sz w:val="16"/>
                <w:szCs w:val="16"/>
              </w:rPr>
              <w:t xml:space="preserve">Crnogorci/  </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FA2DF9" w:rsidRPr="00FA2DF9" w:rsidRDefault="00FA2DF9" w:rsidP="00FA2DF9">
            <w:pPr>
              <w:spacing w:after="0" w:line="240" w:lineRule="auto"/>
              <w:jc w:val="center"/>
              <w:rPr>
                <w:rFonts w:ascii="Arial Narrow" w:eastAsia="Times New Roman" w:hAnsi="Arial Narrow" w:cs="Times New Roman"/>
                <w:color w:val="000000"/>
                <w:sz w:val="16"/>
                <w:szCs w:val="16"/>
              </w:rPr>
            </w:pPr>
            <w:r w:rsidRPr="00FA2DF9">
              <w:rPr>
                <w:rFonts w:ascii="Arial Narrow" w:eastAsia="Times New Roman" w:hAnsi="Arial Narrow" w:cs="Times New Roman"/>
                <w:color w:val="000000"/>
                <w:sz w:val="16"/>
                <w:szCs w:val="16"/>
              </w:rPr>
              <w:t xml:space="preserve">Goranci/ </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FA2DF9" w:rsidRPr="00FA2DF9" w:rsidRDefault="00FA2DF9" w:rsidP="00FA2DF9">
            <w:pPr>
              <w:spacing w:after="0" w:line="240" w:lineRule="auto"/>
              <w:jc w:val="center"/>
              <w:rPr>
                <w:rFonts w:ascii="Arial Narrow" w:eastAsia="Times New Roman" w:hAnsi="Arial Narrow" w:cs="Times New Roman"/>
                <w:color w:val="000000"/>
                <w:sz w:val="16"/>
                <w:szCs w:val="16"/>
              </w:rPr>
            </w:pPr>
            <w:r w:rsidRPr="00FA2DF9">
              <w:rPr>
                <w:rFonts w:ascii="Arial Narrow" w:eastAsia="Times New Roman" w:hAnsi="Arial Narrow" w:cs="Times New Roman"/>
                <w:color w:val="000000"/>
                <w:sz w:val="16"/>
                <w:szCs w:val="16"/>
              </w:rPr>
              <w:t xml:space="preserve">Muslimani/ </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FA2DF9" w:rsidRPr="00FA2DF9" w:rsidRDefault="00FA2DF9" w:rsidP="00FA2DF9">
            <w:pPr>
              <w:spacing w:after="0" w:line="240" w:lineRule="auto"/>
              <w:jc w:val="center"/>
              <w:rPr>
                <w:rFonts w:ascii="Arial Narrow" w:eastAsia="Times New Roman" w:hAnsi="Arial Narrow" w:cs="Times New Roman"/>
                <w:color w:val="000000"/>
                <w:sz w:val="16"/>
                <w:szCs w:val="16"/>
              </w:rPr>
            </w:pPr>
            <w:r w:rsidRPr="00FA2DF9">
              <w:rPr>
                <w:rFonts w:ascii="Arial Narrow" w:eastAsia="Times New Roman" w:hAnsi="Arial Narrow" w:cs="Times New Roman"/>
                <w:color w:val="000000"/>
                <w:sz w:val="16"/>
                <w:szCs w:val="16"/>
              </w:rPr>
              <w:t xml:space="preserve">Ne želi da se izjasni/ </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FA2DF9" w:rsidRPr="00FA2DF9" w:rsidRDefault="00FA2DF9" w:rsidP="00FA2DF9">
            <w:pPr>
              <w:spacing w:after="0" w:line="240" w:lineRule="auto"/>
              <w:jc w:val="center"/>
              <w:rPr>
                <w:rFonts w:ascii="Arial Narrow" w:eastAsia="Times New Roman" w:hAnsi="Arial Narrow" w:cs="Times New Roman"/>
                <w:color w:val="000000"/>
                <w:sz w:val="16"/>
                <w:szCs w:val="16"/>
              </w:rPr>
            </w:pPr>
            <w:r w:rsidRPr="00FA2DF9">
              <w:rPr>
                <w:rFonts w:ascii="Arial Narrow" w:eastAsia="Times New Roman" w:hAnsi="Arial Narrow" w:cs="Times New Roman"/>
                <w:color w:val="000000"/>
                <w:sz w:val="16"/>
                <w:szCs w:val="16"/>
              </w:rPr>
              <w:t xml:space="preserve">Srbi/ </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FA2DF9" w:rsidRPr="00FA2DF9" w:rsidRDefault="00FA2DF9" w:rsidP="00FA2DF9">
            <w:pPr>
              <w:spacing w:after="0" w:line="240" w:lineRule="auto"/>
              <w:jc w:val="center"/>
              <w:rPr>
                <w:rFonts w:ascii="Arial Narrow" w:eastAsia="Times New Roman" w:hAnsi="Arial Narrow" w:cs="Times New Roman"/>
                <w:color w:val="000000"/>
                <w:sz w:val="16"/>
                <w:szCs w:val="16"/>
              </w:rPr>
            </w:pPr>
            <w:r w:rsidRPr="00FA2DF9">
              <w:rPr>
                <w:rFonts w:ascii="Arial Narrow" w:eastAsia="Times New Roman" w:hAnsi="Arial Narrow" w:cs="Times New Roman"/>
                <w:color w:val="000000"/>
                <w:sz w:val="16"/>
                <w:szCs w:val="16"/>
              </w:rPr>
              <w:t>Ostalo/</w:t>
            </w:r>
          </w:p>
        </w:tc>
      </w:tr>
      <w:tr w:rsidR="00FA2DF9" w:rsidRPr="00FA2DF9" w:rsidTr="00FA2DF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Plav</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Bogajici</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441</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405</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z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19</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r>
      <w:tr w:rsidR="00FA2DF9" w:rsidRPr="00FA2DF9" w:rsidTr="00FA2DF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Plav</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Brezojevica</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929</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z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122</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177</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17</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595</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z         </w:t>
            </w:r>
          </w:p>
        </w:tc>
      </w:tr>
      <w:tr w:rsidR="00FA2DF9" w:rsidRPr="00FA2DF9" w:rsidTr="00FA2DF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Plav</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Dolja</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128</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53</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27</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22</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24</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z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r>
      <w:tr w:rsidR="00FA2DF9" w:rsidRPr="00FA2DF9" w:rsidTr="00FA2DF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Plav</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Dosude</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306</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62</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181</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35</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r>
      <w:tr w:rsidR="00FA2DF9" w:rsidRPr="00FA2DF9" w:rsidTr="00FA2DF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Plav</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Ðuricka Rijeka</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254</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93</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z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17</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43</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r>
      <w:tr w:rsidR="00FA2DF9" w:rsidRPr="00FA2DF9" w:rsidTr="00FA2DF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Plav</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Gornja Rženica</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248</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18</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z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24</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203</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r>
      <w:tr w:rsidR="00FA2DF9" w:rsidRPr="00FA2DF9" w:rsidTr="00FA2DF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Plav</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Grncar</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180</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18</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75</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23</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z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63</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r>
      <w:tr w:rsidR="00FA2DF9" w:rsidRPr="00FA2DF9" w:rsidTr="00FA2DF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Plav</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Gusinje</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1673</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182</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1098</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46</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294</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z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28</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7</w:t>
            </w:r>
          </w:p>
        </w:tc>
      </w:tr>
      <w:tr w:rsidR="00FA2DF9" w:rsidRPr="00FA2DF9" w:rsidTr="00FA2DF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Plav</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Hoti</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205</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185</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r>
      <w:tr w:rsidR="00FA2DF9" w:rsidRPr="00FA2DF9" w:rsidTr="00FA2DF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Plav</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Kolenovici</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165</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121</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18</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r>
      <w:tr w:rsidR="00FA2DF9" w:rsidRPr="00FA2DF9" w:rsidTr="00FA2DF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Plav</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Kruševo</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335</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144</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179</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r>
      <w:tr w:rsidR="00FA2DF9" w:rsidRPr="00FA2DF9" w:rsidTr="00FA2DF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Plav</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Mašnica</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262</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51</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r>
      <w:tr w:rsidR="00FA2DF9" w:rsidRPr="00FA2DF9" w:rsidTr="00FA2DF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Plav</w:t>
            </w:r>
          </w:p>
        </w:tc>
        <w:tc>
          <w:tcPr>
            <w:tcW w:w="0" w:type="auto"/>
            <w:tcBorders>
              <w:top w:val="nil"/>
              <w:left w:val="nil"/>
              <w:bottom w:val="single" w:sz="4" w:space="0" w:color="auto"/>
              <w:right w:val="single" w:sz="4" w:space="0" w:color="auto"/>
            </w:tcBorders>
            <w:shd w:val="clear" w:color="000000" w:fill="FFFF00"/>
            <w:noWrap/>
            <w:vAlign w:val="bottom"/>
            <w:hideMark/>
          </w:tcPr>
          <w:p w:rsidR="00FA2DF9" w:rsidRPr="009F4EEB" w:rsidRDefault="00FA2DF9" w:rsidP="00FA2DF9">
            <w:pPr>
              <w:spacing w:after="0" w:line="240" w:lineRule="auto"/>
              <w:rPr>
                <w:rFonts w:ascii="Arial" w:eastAsia="Times New Roman" w:hAnsi="Arial" w:cs="Arial"/>
                <w:color w:val="000000"/>
                <w:sz w:val="16"/>
                <w:szCs w:val="16"/>
              </w:rPr>
            </w:pPr>
            <w:r w:rsidRPr="009F4EEB">
              <w:rPr>
                <w:rFonts w:ascii="Arial" w:eastAsia="Times New Roman" w:hAnsi="Arial" w:cs="Arial"/>
                <w:color w:val="000000"/>
                <w:sz w:val="16"/>
                <w:szCs w:val="16"/>
              </w:rPr>
              <w:t>Meteh</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312</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z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216</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72</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z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z         </w:t>
            </w:r>
          </w:p>
        </w:tc>
      </w:tr>
      <w:tr w:rsidR="00FA2DF9" w:rsidRPr="00FA2DF9" w:rsidTr="00FA2DF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Plav</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Murino</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462</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145</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z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z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293</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z         </w:t>
            </w:r>
          </w:p>
        </w:tc>
      </w:tr>
      <w:tr w:rsidR="00FA2DF9" w:rsidRPr="00FA2DF9" w:rsidTr="00FA2DF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Plav</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Novšici</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54</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z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16</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36</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r>
      <w:tr w:rsidR="00FA2DF9" w:rsidRPr="00FA2DF9" w:rsidTr="00FA2DF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Plav</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Plav</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3717</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341</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2806</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182</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175</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165</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7</w:t>
            </w:r>
          </w:p>
        </w:tc>
      </w:tr>
      <w:tr w:rsidR="00FA2DF9" w:rsidRPr="00FA2DF9" w:rsidTr="00FA2DF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Plav</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Skic</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286</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232</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z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33</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r>
      <w:tr w:rsidR="00FA2DF9" w:rsidRPr="00FA2DF9" w:rsidTr="00FA2DF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Plav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Martinovici</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532</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501</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z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z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z         </w:t>
            </w:r>
          </w:p>
        </w:tc>
      </w:tr>
      <w:tr w:rsidR="00FA2DF9" w:rsidRPr="00FA2DF9" w:rsidTr="00FA2DF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Plav                          </w:t>
            </w:r>
          </w:p>
        </w:tc>
        <w:tc>
          <w:tcPr>
            <w:tcW w:w="0" w:type="auto"/>
            <w:tcBorders>
              <w:top w:val="nil"/>
              <w:left w:val="nil"/>
              <w:bottom w:val="single" w:sz="4" w:space="0" w:color="auto"/>
              <w:right w:val="single" w:sz="4" w:space="0" w:color="auto"/>
            </w:tcBorders>
            <w:shd w:val="clear" w:color="000000" w:fill="FFFF00"/>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Prnjavor</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961</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z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901</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24</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r>
      <w:tr w:rsidR="00FA2DF9" w:rsidRPr="00FA2DF9" w:rsidTr="00FA2DF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Plav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Velika</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308</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65</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228</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r>
      <w:tr w:rsidR="00FA2DF9" w:rsidRPr="00FA2DF9" w:rsidTr="00FA2DF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Plav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Višnjevo</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31</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29</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r>
      <w:tr w:rsidR="00FA2DF9" w:rsidRPr="00FA2DF9" w:rsidTr="00FA2DF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Plav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Vojno Selo</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642</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152</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299</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38</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z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137</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z         </w:t>
            </w:r>
          </w:p>
        </w:tc>
      </w:tr>
      <w:tr w:rsidR="00FA2DF9" w:rsidRPr="00FA2DF9" w:rsidTr="00FA2DF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Plav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color w:val="000000"/>
                <w:sz w:val="16"/>
                <w:szCs w:val="16"/>
              </w:rPr>
            </w:pPr>
            <w:r w:rsidRPr="00FA2DF9">
              <w:rPr>
                <w:rFonts w:ascii="Arial" w:eastAsia="Times New Roman" w:hAnsi="Arial" w:cs="Arial"/>
                <w:color w:val="000000"/>
                <w:sz w:val="16"/>
                <w:szCs w:val="16"/>
              </w:rPr>
              <w:t>Vusanje</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648</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644</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Arial" w:eastAsia="Times New Roman" w:hAnsi="Arial" w:cs="Arial"/>
                <w:color w:val="000000"/>
                <w:sz w:val="16"/>
                <w:szCs w:val="16"/>
              </w:rPr>
            </w:pPr>
            <w:r w:rsidRPr="00FA2DF9">
              <w:rPr>
                <w:rFonts w:ascii="Arial" w:eastAsia="Times New Roman" w:hAnsi="Arial" w:cs="Arial"/>
                <w:color w:val="000000"/>
                <w:sz w:val="16"/>
                <w:szCs w:val="16"/>
              </w:rPr>
              <w:t xml:space="preserve">z         </w:t>
            </w:r>
          </w:p>
        </w:tc>
      </w:tr>
      <w:tr w:rsidR="00FA2DF9" w:rsidRPr="00FA2DF9" w:rsidTr="00FA2DF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b/>
                <w:color w:val="000000"/>
                <w:sz w:val="16"/>
                <w:szCs w:val="16"/>
              </w:rPr>
            </w:pPr>
            <w:r w:rsidRPr="00FA2DF9">
              <w:rPr>
                <w:rFonts w:ascii="Arial" w:eastAsia="Times New Roman" w:hAnsi="Arial" w:cs="Arial"/>
                <w:b/>
                <w:color w:val="000000"/>
                <w:sz w:val="16"/>
                <w:szCs w:val="16"/>
              </w:rPr>
              <w:t xml:space="preserve">Plav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rPr>
                <w:rFonts w:ascii="Arial" w:eastAsia="Times New Roman" w:hAnsi="Arial" w:cs="Arial"/>
                <w:b/>
                <w:color w:val="000000"/>
                <w:sz w:val="16"/>
                <w:szCs w:val="16"/>
              </w:rPr>
            </w:pPr>
            <w:r w:rsidRPr="00FA2DF9">
              <w:rPr>
                <w:rFonts w:ascii="Arial" w:eastAsia="Times New Roman" w:hAnsi="Arial" w:cs="Arial"/>
                <w:b/>
                <w:color w:val="000000"/>
                <w:sz w:val="16"/>
                <w:szCs w:val="16"/>
              </w:rPr>
              <w:t xml:space="preserve">Opština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Calibri" w:eastAsia="Times New Roman" w:hAnsi="Calibri" w:cs="Times New Roman"/>
                <w:b/>
                <w:color w:val="000000"/>
                <w:sz w:val="16"/>
                <w:szCs w:val="16"/>
              </w:rPr>
            </w:pPr>
            <w:r w:rsidRPr="00FA2DF9">
              <w:rPr>
                <w:rFonts w:ascii="Calibri" w:eastAsia="Times New Roman" w:hAnsi="Calibri" w:cs="Times New Roman"/>
                <w:b/>
                <w:color w:val="000000"/>
                <w:sz w:val="16"/>
                <w:szCs w:val="16"/>
              </w:rPr>
              <w:t>13,108</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Calibri" w:eastAsia="Times New Roman" w:hAnsi="Calibri" w:cs="Times New Roman"/>
                <w:b/>
                <w:color w:val="000000"/>
                <w:sz w:val="16"/>
                <w:szCs w:val="16"/>
              </w:rPr>
            </w:pPr>
            <w:r w:rsidRPr="00FA2DF9">
              <w:rPr>
                <w:rFonts w:ascii="Calibri" w:eastAsia="Times New Roman" w:hAnsi="Calibri" w:cs="Times New Roman"/>
                <w:b/>
                <w:color w:val="000000"/>
                <w:sz w:val="16"/>
                <w:szCs w:val="16"/>
              </w:rPr>
              <w:t>2,463</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Calibri" w:eastAsia="Times New Roman" w:hAnsi="Calibri" w:cs="Times New Roman"/>
                <w:b/>
                <w:color w:val="000000"/>
                <w:sz w:val="16"/>
                <w:szCs w:val="16"/>
              </w:rPr>
            </w:pPr>
            <w:r w:rsidRPr="00FA2DF9">
              <w:rPr>
                <w:rFonts w:ascii="Calibri" w:eastAsia="Times New Roman" w:hAnsi="Calibri" w:cs="Times New Roman"/>
                <w:b/>
                <w:color w:val="000000"/>
                <w:sz w:val="16"/>
                <w:szCs w:val="16"/>
              </w:rPr>
              <w:t>6,802</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Calibri" w:eastAsia="Times New Roman" w:hAnsi="Calibri" w:cs="Times New Roman"/>
                <w:b/>
                <w:color w:val="000000"/>
                <w:sz w:val="16"/>
                <w:szCs w:val="16"/>
              </w:rPr>
            </w:pPr>
            <w:r w:rsidRPr="00FA2DF9">
              <w:rPr>
                <w:rFonts w:ascii="Calibri" w:eastAsia="Times New Roman" w:hAnsi="Calibri" w:cs="Times New Roman"/>
                <w:b/>
                <w:color w:val="000000"/>
                <w:sz w:val="16"/>
                <w:szCs w:val="16"/>
              </w:rPr>
              <w:t>809</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Calibri" w:eastAsia="Times New Roman" w:hAnsi="Calibri" w:cs="Times New Roman"/>
                <w:b/>
                <w:color w:val="000000"/>
                <w:sz w:val="16"/>
                <w:szCs w:val="16"/>
              </w:rPr>
            </w:pPr>
            <w:r w:rsidRPr="00FA2DF9">
              <w:rPr>
                <w:rFonts w:ascii="Calibri" w:eastAsia="Times New Roman" w:hAnsi="Calibri" w:cs="Times New Roman"/>
                <w:b/>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Calibri" w:eastAsia="Times New Roman" w:hAnsi="Calibri" w:cs="Times New Roman"/>
                <w:b/>
                <w:color w:val="000000"/>
                <w:sz w:val="16"/>
                <w:szCs w:val="16"/>
              </w:rPr>
            </w:pPr>
            <w:r w:rsidRPr="00FA2DF9">
              <w:rPr>
                <w:rFonts w:ascii="Calibri" w:eastAsia="Times New Roman" w:hAnsi="Calibri" w:cs="Times New Roman"/>
                <w:b/>
                <w:color w:val="000000"/>
                <w:sz w:val="16"/>
                <w:szCs w:val="16"/>
              </w:rPr>
              <w:t>723</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Calibri" w:eastAsia="Times New Roman" w:hAnsi="Calibri" w:cs="Times New Roman"/>
                <w:b/>
                <w:color w:val="000000"/>
                <w:sz w:val="16"/>
                <w:szCs w:val="16"/>
              </w:rPr>
            </w:pPr>
            <w:r w:rsidRPr="00FA2DF9">
              <w:rPr>
                <w:rFonts w:ascii="Calibri" w:eastAsia="Times New Roman" w:hAnsi="Calibri" w:cs="Times New Roman"/>
                <w:b/>
                <w:color w:val="000000"/>
                <w:sz w:val="16"/>
                <w:szCs w:val="16"/>
              </w:rPr>
              <w:t>89</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Calibri" w:eastAsia="Times New Roman" w:hAnsi="Calibri" w:cs="Times New Roman"/>
                <w:b/>
                <w:color w:val="000000"/>
                <w:sz w:val="16"/>
                <w:szCs w:val="16"/>
              </w:rPr>
            </w:pPr>
            <w:r w:rsidRPr="00FA2DF9">
              <w:rPr>
                <w:rFonts w:ascii="Calibri" w:eastAsia="Times New Roman" w:hAnsi="Calibri" w:cs="Times New Roman"/>
                <w:b/>
                <w:color w:val="000000"/>
                <w:sz w:val="16"/>
                <w:szCs w:val="16"/>
              </w:rPr>
              <w:t>2,098</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Calibri" w:eastAsia="Times New Roman" w:hAnsi="Calibri" w:cs="Times New Roman"/>
                <w:b/>
                <w:color w:val="000000"/>
                <w:sz w:val="16"/>
                <w:szCs w:val="16"/>
              </w:rPr>
            </w:pPr>
            <w:r w:rsidRPr="00FA2DF9">
              <w:rPr>
                <w:rFonts w:ascii="Calibri" w:eastAsia="Times New Roman" w:hAnsi="Calibri" w:cs="Times New Roman"/>
                <w:b/>
                <w:color w:val="000000"/>
                <w:sz w:val="16"/>
                <w:szCs w:val="16"/>
              </w:rPr>
              <w:t>14</w:t>
            </w:r>
          </w:p>
        </w:tc>
      </w:tr>
      <w:tr w:rsidR="00FA2DF9" w:rsidRPr="00FA2DF9" w:rsidTr="00FA2DF9">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A2DF9" w:rsidRPr="00FA2DF9" w:rsidRDefault="00FA2DF9" w:rsidP="00FA2DF9">
            <w:pPr>
              <w:spacing w:after="0" w:line="240" w:lineRule="auto"/>
              <w:jc w:val="center"/>
              <w:rPr>
                <w:rFonts w:ascii="Calibri" w:eastAsia="Times New Roman" w:hAnsi="Calibri" w:cs="Times New Roman"/>
                <w:b/>
                <w:color w:val="000000"/>
                <w:sz w:val="16"/>
                <w:szCs w:val="16"/>
              </w:rPr>
            </w:pPr>
            <w:r w:rsidRPr="00FA2DF9">
              <w:rPr>
                <w:rFonts w:ascii="Calibri" w:eastAsia="Times New Roman" w:hAnsi="Calibri" w:cs="Times New Roman"/>
                <w:b/>
                <w:color w:val="000000"/>
                <w:sz w:val="16"/>
                <w:szCs w:val="16"/>
              </w:rPr>
              <w:t>Struktura u Opštini u %</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Calibri" w:eastAsia="Times New Roman" w:hAnsi="Calibri" w:cs="Times New Roman"/>
                <w:b/>
                <w:color w:val="000000"/>
                <w:sz w:val="16"/>
                <w:szCs w:val="16"/>
              </w:rPr>
            </w:pPr>
            <w:r w:rsidRPr="00FA2DF9">
              <w:rPr>
                <w:rFonts w:ascii="Calibri" w:eastAsia="Times New Roman" w:hAnsi="Calibri" w:cs="Times New Roman"/>
                <w:b/>
                <w:color w:val="000000"/>
                <w:sz w:val="16"/>
                <w:szCs w:val="16"/>
              </w:rPr>
              <w:t>100.00%</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Calibri" w:eastAsia="Times New Roman" w:hAnsi="Calibri" w:cs="Times New Roman"/>
                <w:b/>
                <w:color w:val="000000"/>
                <w:sz w:val="16"/>
                <w:szCs w:val="16"/>
              </w:rPr>
            </w:pPr>
            <w:r w:rsidRPr="00FA2DF9">
              <w:rPr>
                <w:rFonts w:ascii="Calibri" w:eastAsia="Times New Roman" w:hAnsi="Calibri" w:cs="Times New Roman"/>
                <w:b/>
                <w:color w:val="000000"/>
                <w:sz w:val="16"/>
                <w:szCs w:val="16"/>
              </w:rPr>
              <w:t>18.79%</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Calibri" w:eastAsia="Times New Roman" w:hAnsi="Calibri" w:cs="Times New Roman"/>
                <w:b/>
                <w:color w:val="000000"/>
                <w:sz w:val="16"/>
                <w:szCs w:val="16"/>
              </w:rPr>
            </w:pPr>
            <w:r w:rsidRPr="00FA2DF9">
              <w:rPr>
                <w:rFonts w:ascii="Calibri" w:eastAsia="Times New Roman" w:hAnsi="Calibri" w:cs="Times New Roman"/>
                <w:b/>
                <w:color w:val="000000"/>
                <w:sz w:val="16"/>
                <w:szCs w:val="16"/>
              </w:rPr>
              <w:t>51.89%</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Calibri" w:eastAsia="Times New Roman" w:hAnsi="Calibri" w:cs="Times New Roman"/>
                <w:b/>
                <w:color w:val="000000"/>
                <w:sz w:val="16"/>
                <w:szCs w:val="16"/>
              </w:rPr>
            </w:pPr>
            <w:r w:rsidRPr="00FA2DF9">
              <w:rPr>
                <w:rFonts w:ascii="Calibri" w:eastAsia="Times New Roman" w:hAnsi="Calibri" w:cs="Times New Roman"/>
                <w:b/>
                <w:color w:val="000000"/>
                <w:sz w:val="16"/>
                <w:szCs w:val="16"/>
              </w:rPr>
              <w:t>6.17%</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Calibri" w:eastAsia="Times New Roman" w:hAnsi="Calibri" w:cs="Times New Roman"/>
                <w:b/>
                <w:color w:val="000000"/>
                <w:sz w:val="16"/>
                <w:szCs w:val="16"/>
              </w:rPr>
            </w:pPr>
            <w:r w:rsidRPr="00FA2DF9">
              <w:rPr>
                <w:rFonts w:ascii="Calibri" w:eastAsia="Times New Roman" w:hAnsi="Calibri" w:cs="Times New Roman"/>
                <w:b/>
                <w:color w:val="000000"/>
                <w:sz w:val="16"/>
                <w:szCs w:val="16"/>
              </w:rPr>
              <w:t>0.08%</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Calibri" w:eastAsia="Times New Roman" w:hAnsi="Calibri" w:cs="Times New Roman"/>
                <w:b/>
                <w:color w:val="000000"/>
                <w:sz w:val="16"/>
                <w:szCs w:val="16"/>
              </w:rPr>
            </w:pPr>
            <w:r w:rsidRPr="00FA2DF9">
              <w:rPr>
                <w:rFonts w:ascii="Calibri" w:eastAsia="Times New Roman" w:hAnsi="Calibri" w:cs="Times New Roman"/>
                <w:b/>
                <w:color w:val="000000"/>
                <w:sz w:val="16"/>
                <w:szCs w:val="16"/>
              </w:rPr>
              <w:t>5.52%</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Calibri" w:eastAsia="Times New Roman" w:hAnsi="Calibri" w:cs="Times New Roman"/>
                <w:b/>
                <w:color w:val="000000"/>
                <w:sz w:val="16"/>
                <w:szCs w:val="16"/>
              </w:rPr>
            </w:pPr>
            <w:r w:rsidRPr="00FA2DF9">
              <w:rPr>
                <w:rFonts w:ascii="Calibri" w:eastAsia="Times New Roman" w:hAnsi="Calibri" w:cs="Times New Roman"/>
                <w:b/>
                <w:color w:val="000000"/>
                <w:sz w:val="16"/>
                <w:szCs w:val="16"/>
              </w:rPr>
              <w:t>0.68%</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Calibri" w:eastAsia="Times New Roman" w:hAnsi="Calibri" w:cs="Times New Roman"/>
                <w:b/>
                <w:color w:val="000000"/>
                <w:sz w:val="16"/>
                <w:szCs w:val="16"/>
              </w:rPr>
            </w:pPr>
            <w:r w:rsidRPr="00FA2DF9">
              <w:rPr>
                <w:rFonts w:ascii="Calibri" w:eastAsia="Times New Roman" w:hAnsi="Calibri" w:cs="Times New Roman"/>
                <w:b/>
                <w:color w:val="000000"/>
                <w:sz w:val="16"/>
                <w:szCs w:val="16"/>
              </w:rPr>
              <w:t>16.01%</w:t>
            </w:r>
          </w:p>
        </w:tc>
        <w:tc>
          <w:tcPr>
            <w:tcW w:w="0" w:type="auto"/>
            <w:tcBorders>
              <w:top w:val="nil"/>
              <w:left w:val="nil"/>
              <w:bottom w:val="single" w:sz="4" w:space="0" w:color="auto"/>
              <w:right w:val="single" w:sz="4" w:space="0" w:color="auto"/>
            </w:tcBorders>
            <w:shd w:val="clear" w:color="auto" w:fill="auto"/>
            <w:noWrap/>
            <w:vAlign w:val="bottom"/>
            <w:hideMark/>
          </w:tcPr>
          <w:p w:rsidR="00FA2DF9" w:rsidRPr="00FA2DF9" w:rsidRDefault="00FA2DF9" w:rsidP="00FA2DF9">
            <w:pPr>
              <w:spacing w:after="0" w:line="240" w:lineRule="auto"/>
              <w:jc w:val="right"/>
              <w:rPr>
                <w:rFonts w:ascii="Calibri" w:eastAsia="Times New Roman" w:hAnsi="Calibri" w:cs="Times New Roman"/>
                <w:b/>
                <w:color w:val="000000"/>
                <w:sz w:val="16"/>
                <w:szCs w:val="16"/>
              </w:rPr>
            </w:pPr>
            <w:r w:rsidRPr="00FA2DF9">
              <w:rPr>
                <w:rFonts w:ascii="Calibri" w:eastAsia="Times New Roman" w:hAnsi="Calibri" w:cs="Times New Roman"/>
                <w:b/>
                <w:color w:val="000000"/>
                <w:sz w:val="16"/>
                <w:szCs w:val="16"/>
              </w:rPr>
              <w:t>0.11%</w:t>
            </w:r>
          </w:p>
        </w:tc>
      </w:tr>
    </w:tbl>
    <w:p w:rsidR="00352C1C" w:rsidRDefault="00FA2DF9" w:rsidP="004D1F30">
      <w:pPr>
        <w:spacing w:line="276" w:lineRule="auto"/>
      </w:pPr>
      <w:r>
        <w:t xml:space="preserve">Izvor: Monstat; Popis stanovništva </w:t>
      </w:r>
      <w:r w:rsidR="00281F05">
        <w:t xml:space="preserve">Crne Gore </w:t>
      </w:r>
      <w:r>
        <w:t xml:space="preserve">2011. </w:t>
      </w:r>
    </w:p>
    <w:p w:rsidR="00352C1C" w:rsidRDefault="00352C1C" w:rsidP="004D1F30">
      <w:pPr>
        <w:spacing w:line="276" w:lineRule="auto"/>
      </w:pPr>
    </w:p>
    <w:p w:rsidR="002A4DB6" w:rsidRDefault="002A4DB6" w:rsidP="004D1F30">
      <w:pPr>
        <w:spacing w:line="276" w:lineRule="auto"/>
      </w:pPr>
    </w:p>
    <w:p w:rsidR="00281F05" w:rsidRDefault="00281F05"/>
    <w:p w:rsidR="003B15B0" w:rsidRDefault="003B15B0"/>
    <w:p w:rsidR="003B15B0" w:rsidRDefault="003B15B0"/>
    <w:p w:rsidR="003B15B0" w:rsidRDefault="003B15B0"/>
    <w:p w:rsidR="003B15B0" w:rsidRDefault="003B15B0"/>
    <w:p w:rsidR="003B15B0" w:rsidRDefault="003B15B0"/>
    <w:p w:rsidR="00281F05" w:rsidRDefault="00905242" w:rsidP="00281F05">
      <w:pPr>
        <w:spacing w:after="0" w:line="240" w:lineRule="auto"/>
        <w:ind w:left="720" w:hanging="720"/>
      </w:pPr>
      <w:r>
        <w:t>Tabela 3</w:t>
      </w:r>
      <w:r w:rsidR="00281F05">
        <w:t>: Starosna i polna struktura</w:t>
      </w:r>
      <w:r w:rsidR="00BD7E5C">
        <w:t xml:space="preserve"> ukupnog</w:t>
      </w:r>
      <w:r w:rsidR="00281F05">
        <w:t xml:space="preserve"> stanpvništva u naseljima opštine Plav 2011 </w:t>
      </w:r>
    </w:p>
    <w:tbl>
      <w:tblPr>
        <w:tblW w:w="0" w:type="auto"/>
        <w:tblLook w:val="04A0"/>
      </w:tblPr>
      <w:tblGrid>
        <w:gridCol w:w="1236"/>
        <w:gridCol w:w="1174"/>
        <w:gridCol w:w="738"/>
        <w:gridCol w:w="640"/>
        <w:gridCol w:w="777"/>
        <w:gridCol w:w="777"/>
        <w:gridCol w:w="777"/>
        <w:gridCol w:w="777"/>
        <w:gridCol w:w="777"/>
        <w:gridCol w:w="792"/>
      </w:tblGrid>
      <w:tr w:rsidR="00281F05" w:rsidRPr="00281F05" w:rsidTr="00281F05">
        <w:trPr>
          <w:trHeight w:val="187"/>
        </w:trPr>
        <w:tc>
          <w:tcPr>
            <w:tcW w:w="0" w:type="auto"/>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281F05" w:rsidRPr="00281C69" w:rsidRDefault="00281F05" w:rsidP="00281F05">
            <w:pPr>
              <w:spacing w:after="0" w:line="240" w:lineRule="auto"/>
              <w:jc w:val="center"/>
              <w:rPr>
                <w:rFonts w:ascii="Arial" w:eastAsia="Times New Roman" w:hAnsi="Arial" w:cs="Arial"/>
                <w:b/>
                <w:color w:val="000000"/>
                <w:sz w:val="14"/>
                <w:szCs w:val="14"/>
              </w:rPr>
            </w:pPr>
            <w:r w:rsidRPr="00281C69">
              <w:rPr>
                <w:rFonts w:ascii="Arial" w:eastAsia="Times New Roman" w:hAnsi="Arial" w:cs="Arial"/>
                <w:b/>
                <w:color w:val="000000"/>
                <w:sz w:val="14"/>
                <w:szCs w:val="14"/>
              </w:rPr>
              <w:t>Naselje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281F05" w:rsidRPr="00281C69" w:rsidRDefault="00281F05" w:rsidP="00281F05">
            <w:pPr>
              <w:spacing w:after="0" w:line="240" w:lineRule="auto"/>
              <w:jc w:val="center"/>
              <w:rPr>
                <w:rFonts w:ascii="Arial" w:eastAsia="Times New Roman" w:hAnsi="Arial" w:cs="Arial"/>
                <w:b/>
                <w:color w:val="000000"/>
                <w:sz w:val="14"/>
                <w:szCs w:val="14"/>
              </w:rPr>
            </w:pPr>
            <w:r w:rsidRPr="00281C69">
              <w:rPr>
                <w:rFonts w:ascii="Arial" w:eastAsia="Times New Roman" w:hAnsi="Arial" w:cs="Arial"/>
                <w:b/>
                <w:color w:val="000000"/>
                <w:sz w:val="14"/>
                <w:szCs w:val="14"/>
              </w:rPr>
              <w:t>Pol</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281F05" w:rsidRPr="00281C69" w:rsidRDefault="00281F05" w:rsidP="00281F05">
            <w:pPr>
              <w:spacing w:after="0" w:line="240" w:lineRule="auto"/>
              <w:jc w:val="center"/>
              <w:rPr>
                <w:rFonts w:ascii="Arial" w:eastAsia="Times New Roman" w:hAnsi="Arial" w:cs="Arial"/>
                <w:b/>
                <w:color w:val="000000"/>
                <w:sz w:val="14"/>
                <w:szCs w:val="14"/>
              </w:rPr>
            </w:pPr>
            <w:r w:rsidRPr="00281C69">
              <w:rPr>
                <w:rFonts w:ascii="Arial" w:eastAsia="Times New Roman" w:hAnsi="Arial" w:cs="Arial"/>
                <w:b/>
                <w:color w:val="000000"/>
                <w:sz w:val="14"/>
                <w:szCs w:val="14"/>
              </w:rPr>
              <w:t>Ukupno</w:t>
            </w:r>
          </w:p>
        </w:tc>
        <w:tc>
          <w:tcPr>
            <w:tcW w:w="0" w:type="auto"/>
            <w:gridSpan w:val="7"/>
            <w:tcBorders>
              <w:top w:val="single" w:sz="4" w:space="0" w:color="auto"/>
              <w:left w:val="nil"/>
              <w:bottom w:val="single" w:sz="4" w:space="0" w:color="auto"/>
              <w:right w:val="single" w:sz="4" w:space="0" w:color="auto"/>
            </w:tcBorders>
            <w:shd w:val="clear" w:color="000000" w:fill="FFC000"/>
            <w:vAlign w:val="bottom"/>
            <w:hideMark/>
          </w:tcPr>
          <w:p w:rsidR="00281F05" w:rsidRPr="00281F05" w:rsidRDefault="00281F05" w:rsidP="00281F05">
            <w:pPr>
              <w:spacing w:after="0" w:line="240" w:lineRule="auto"/>
              <w:jc w:val="center"/>
              <w:rPr>
                <w:rFonts w:ascii="Arial" w:eastAsia="Times New Roman" w:hAnsi="Arial" w:cs="Arial"/>
                <w:b/>
                <w:color w:val="000000"/>
                <w:sz w:val="14"/>
                <w:szCs w:val="14"/>
              </w:rPr>
            </w:pPr>
            <w:r w:rsidRPr="00281C69">
              <w:rPr>
                <w:rFonts w:ascii="Arial" w:eastAsia="Times New Roman" w:hAnsi="Arial" w:cs="Arial"/>
                <w:b/>
                <w:color w:val="000000"/>
                <w:sz w:val="14"/>
                <w:szCs w:val="14"/>
              </w:rPr>
              <w:t>Starosna grupa</w:t>
            </w:r>
          </w:p>
        </w:tc>
      </w:tr>
      <w:tr w:rsidR="00281F05" w:rsidRPr="00281F05" w:rsidTr="00281F05">
        <w:trPr>
          <w:trHeight w:val="1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1F05" w:rsidRPr="00281F05" w:rsidRDefault="00281F05" w:rsidP="00281F05">
            <w:pPr>
              <w:spacing w:after="0" w:line="240" w:lineRule="auto"/>
              <w:jc w:val="center"/>
              <w:rPr>
                <w:rFonts w:ascii="Arial" w:eastAsia="Times New Roman" w:hAnsi="Arial" w:cs="Arial"/>
                <w:b/>
                <w:color w:val="000000"/>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1F05" w:rsidRPr="00281F05" w:rsidRDefault="00281F05" w:rsidP="00281F05">
            <w:pPr>
              <w:spacing w:after="0" w:line="240" w:lineRule="auto"/>
              <w:jc w:val="center"/>
              <w:rPr>
                <w:rFonts w:ascii="Arial" w:eastAsia="Times New Roman" w:hAnsi="Arial" w:cs="Arial"/>
                <w:b/>
                <w:color w:val="000000"/>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1F05" w:rsidRPr="00281F05" w:rsidRDefault="00281F05" w:rsidP="00281F05">
            <w:pPr>
              <w:spacing w:after="0" w:line="240" w:lineRule="auto"/>
              <w:jc w:val="center"/>
              <w:rPr>
                <w:rFonts w:ascii="Arial" w:eastAsia="Times New Roman" w:hAnsi="Arial" w:cs="Arial"/>
                <w:b/>
                <w:color w:val="000000"/>
                <w:sz w:val="14"/>
                <w:szCs w:val="14"/>
              </w:rPr>
            </w:pPr>
          </w:p>
        </w:tc>
        <w:tc>
          <w:tcPr>
            <w:tcW w:w="0" w:type="auto"/>
            <w:tcBorders>
              <w:top w:val="nil"/>
              <w:left w:val="nil"/>
              <w:bottom w:val="single" w:sz="4" w:space="0" w:color="auto"/>
              <w:right w:val="single" w:sz="4" w:space="0" w:color="auto"/>
            </w:tcBorders>
            <w:shd w:val="clear" w:color="000000" w:fill="FFC000"/>
            <w:noWrap/>
            <w:vAlign w:val="bottom"/>
            <w:hideMark/>
          </w:tcPr>
          <w:p w:rsidR="00281F05" w:rsidRPr="00281F05" w:rsidRDefault="00281F05" w:rsidP="00281F05">
            <w:pPr>
              <w:spacing w:after="0" w:line="240" w:lineRule="auto"/>
              <w:jc w:val="center"/>
              <w:rPr>
                <w:rFonts w:ascii="Arial" w:eastAsia="Times New Roman" w:hAnsi="Arial" w:cs="Arial"/>
                <w:b/>
                <w:color w:val="000000"/>
                <w:sz w:val="14"/>
                <w:szCs w:val="14"/>
              </w:rPr>
            </w:pPr>
            <w:r w:rsidRPr="00281F05">
              <w:rPr>
                <w:rFonts w:ascii="Arial" w:eastAsia="Times New Roman" w:hAnsi="Arial" w:cs="Arial"/>
                <w:b/>
                <w:color w:val="000000"/>
                <w:sz w:val="14"/>
                <w:szCs w:val="14"/>
              </w:rPr>
              <w:t>do 14</w:t>
            </w:r>
          </w:p>
        </w:tc>
        <w:tc>
          <w:tcPr>
            <w:tcW w:w="0" w:type="auto"/>
            <w:tcBorders>
              <w:top w:val="nil"/>
              <w:left w:val="nil"/>
              <w:bottom w:val="single" w:sz="4" w:space="0" w:color="auto"/>
              <w:right w:val="single" w:sz="4" w:space="0" w:color="auto"/>
            </w:tcBorders>
            <w:shd w:val="clear" w:color="000000" w:fill="FFC000"/>
            <w:noWrap/>
            <w:vAlign w:val="bottom"/>
            <w:hideMark/>
          </w:tcPr>
          <w:p w:rsidR="00281F05" w:rsidRPr="00281F05" w:rsidRDefault="00281F05" w:rsidP="00281F05">
            <w:pPr>
              <w:spacing w:after="0" w:line="240" w:lineRule="auto"/>
              <w:jc w:val="center"/>
              <w:rPr>
                <w:rFonts w:ascii="Arial" w:eastAsia="Times New Roman" w:hAnsi="Arial" w:cs="Arial"/>
                <w:b/>
                <w:color w:val="000000"/>
                <w:sz w:val="14"/>
                <w:szCs w:val="14"/>
              </w:rPr>
            </w:pPr>
            <w:r w:rsidRPr="00281F05">
              <w:rPr>
                <w:rFonts w:ascii="Arial" w:eastAsia="Times New Roman" w:hAnsi="Arial" w:cs="Arial"/>
                <w:b/>
                <w:color w:val="000000"/>
                <w:sz w:val="14"/>
                <w:szCs w:val="14"/>
              </w:rPr>
              <w:t>15 do 24</w:t>
            </w:r>
          </w:p>
        </w:tc>
        <w:tc>
          <w:tcPr>
            <w:tcW w:w="0" w:type="auto"/>
            <w:tcBorders>
              <w:top w:val="nil"/>
              <w:left w:val="nil"/>
              <w:bottom w:val="single" w:sz="4" w:space="0" w:color="auto"/>
              <w:right w:val="single" w:sz="4" w:space="0" w:color="auto"/>
            </w:tcBorders>
            <w:shd w:val="clear" w:color="000000" w:fill="FFC000"/>
            <w:noWrap/>
            <w:vAlign w:val="bottom"/>
            <w:hideMark/>
          </w:tcPr>
          <w:p w:rsidR="00281F05" w:rsidRPr="00281F05" w:rsidRDefault="00281F05" w:rsidP="00281F05">
            <w:pPr>
              <w:spacing w:after="0" w:line="240" w:lineRule="auto"/>
              <w:jc w:val="center"/>
              <w:rPr>
                <w:rFonts w:ascii="Arial" w:eastAsia="Times New Roman" w:hAnsi="Arial" w:cs="Arial"/>
                <w:b/>
                <w:color w:val="000000"/>
                <w:sz w:val="14"/>
                <w:szCs w:val="14"/>
              </w:rPr>
            </w:pPr>
            <w:r w:rsidRPr="00281F05">
              <w:rPr>
                <w:rFonts w:ascii="Arial" w:eastAsia="Times New Roman" w:hAnsi="Arial" w:cs="Arial"/>
                <w:b/>
                <w:color w:val="000000"/>
                <w:sz w:val="14"/>
                <w:szCs w:val="14"/>
              </w:rPr>
              <w:t>25 do 34</w:t>
            </w:r>
          </w:p>
        </w:tc>
        <w:tc>
          <w:tcPr>
            <w:tcW w:w="0" w:type="auto"/>
            <w:tcBorders>
              <w:top w:val="nil"/>
              <w:left w:val="nil"/>
              <w:bottom w:val="single" w:sz="4" w:space="0" w:color="auto"/>
              <w:right w:val="single" w:sz="4" w:space="0" w:color="auto"/>
            </w:tcBorders>
            <w:shd w:val="clear" w:color="000000" w:fill="FFC000"/>
            <w:noWrap/>
            <w:vAlign w:val="bottom"/>
            <w:hideMark/>
          </w:tcPr>
          <w:p w:rsidR="00281F05" w:rsidRPr="00281F05" w:rsidRDefault="00281F05" w:rsidP="00281F05">
            <w:pPr>
              <w:spacing w:after="0" w:line="240" w:lineRule="auto"/>
              <w:jc w:val="center"/>
              <w:rPr>
                <w:rFonts w:ascii="Arial" w:eastAsia="Times New Roman" w:hAnsi="Arial" w:cs="Arial"/>
                <w:b/>
                <w:color w:val="000000"/>
                <w:sz w:val="14"/>
                <w:szCs w:val="14"/>
              </w:rPr>
            </w:pPr>
            <w:r w:rsidRPr="00281F05">
              <w:rPr>
                <w:rFonts w:ascii="Arial" w:eastAsia="Times New Roman" w:hAnsi="Arial" w:cs="Arial"/>
                <w:b/>
                <w:color w:val="000000"/>
                <w:sz w:val="14"/>
                <w:szCs w:val="14"/>
              </w:rPr>
              <w:t>35 do 49</w:t>
            </w:r>
          </w:p>
        </w:tc>
        <w:tc>
          <w:tcPr>
            <w:tcW w:w="0" w:type="auto"/>
            <w:tcBorders>
              <w:top w:val="nil"/>
              <w:left w:val="nil"/>
              <w:bottom w:val="single" w:sz="4" w:space="0" w:color="auto"/>
              <w:right w:val="single" w:sz="4" w:space="0" w:color="auto"/>
            </w:tcBorders>
            <w:shd w:val="clear" w:color="000000" w:fill="FFC000"/>
            <w:noWrap/>
            <w:vAlign w:val="bottom"/>
            <w:hideMark/>
          </w:tcPr>
          <w:p w:rsidR="00281F05" w:rsidRPr="00281F05" w:rsidRDefault="00281F05" w:rsidP="00281F05">
            <w:pPr>
              <w:spacing w:after="0" w:line="240" w:lineRule="auto"/>
              <w:jc w:val="center"/>
              <w:rPr>
                <w:rFonts w:ascii="Arial" w:eastAsia="Times New Roman" w:hAnsi="Arial" w:cs="Arial"/>
                <w:b/>
                <w:color w:val="000000"/>
                <w:sz w:val="14"/>
                <w:szCs w:val="14"/>
              </w:rPr>
            </w:pPr>
            <w:r w:rsidRPr="00281F05">
              <w:rPr>
                <w:rFonts w:ascii="Arial" w:eastAsia="Times New Roman" w:hAnsi="Arial" w:cs="Arial"/>
                <w:b/>
                <w:color w:val="000000"/>
                <w:sz w:val="14"/>
                <w:szCs w:val="14"/>
              </w:rPr>
              <w:t>50 do 64</w:t>
            </w:r>
          </w:p>
        </w:tc>
        <w:tc>
          <w:tcPr>
            <w:tcW w:w="0" w:type="auto"/>
            <w:tcBorders>
              <w:top w:val="nil"/>
              <w:left w:val="nil"/>
              <w:bottom w:val="single" w:sz="4" w:space="0" w:color="auto"/>
              <w:right w:val="single" w:sz="4" w:space="0" w:color="auto"/>
            </w:tcBorders>
            <w:shd w:val="clear" w:color="000000" w:fill="FFC000"/>
            <w:noWrap/>
            <w:vAlign w:val="bottom"/>
            <w:hideMark/>
          </w:tcPr>
          <w:p w:rsidR="00281F05" w:rsidRPr="00281F05" w:rsidRDefault="00281F05" w:rsidP="00281F05">
            <w:pPr>
              <w:spacing w:after="0" w:line="240" w:lineRule="auto"/>
              <w:jc w:val="center"/>
              <w:rPr>
                <w:rFonts w:ascii="Arial" w:eastAsia="Times New Roman" w:hAnsi="Arial" w:cs="Arial"/>
                <w:b/>
                <w:color w:val="000000"/>
                <w:sz w:val="14"/>
                <w:szCs w:val="14"/>
              </w:rPr>
            </w:pPr>
            <w:r w:rsidRPr="00281F05">
              <w:rPr>
                <w:rFonts w:ascii="Arial" w:eastAsia="Times New Roman" w:hAnsi="Arial" w:cs="Arial"/>
                <w:b/>
                <w:color w:val="000000"/>
                <w:sz w:val="14"/>
                <w:szCs w:val="14"/>
              </w:rPr>
              <w:t>64 do 75</w:t>
            </w:r>
          </w:p>
        </w:tc>
        <w:tc>
          <w:tcPr>
            <w:tcW w:w="0" w:type="auto"/>
            <w:tcBorders>
              <w:top w:val="nil"/>
              <w:left w:val="nil"/>
              <w:bottom w:val="single" w:sz="4" w:space="0" w:color="auto"/>
              <w:right w:val="single" w:sz="4" w:space="0" w:color="auto"/>
            </w:tcBorders>
            <w:shd w:val="clear" w:color="000000" w:fill="FFC000"/>
            <w:noWrap/>
            <w:vAlign w:val="bottom"/>
            <w:hideMark/>
          </w:tcPr>
          <w:p w:rsidR="00281F05" w:rsidRPr="00281F05" w:rsidRDefault="00281F05" w:rsidP="00281F05">
            <w:pPr>
              <w:spacing w:after="0" w:line="240" w:lineRule="auto"/>
              <w:jc w:val="center"/>
              <w:rPr>
                <w:rFonts w:ascii="Arial" w:eastAsia="Times New Roman" w:hAnsi="Arial" w:cs="Arial"/>
                <w:b/>
                <w:color w:val="000000"/>
                <w:sz w:val="14"/>
                <w:szCs w:val="14"/>
              </w:rPr>
            </w:pPr>
            <w:r w:rsidRPr="00281F05">
              <w:rPr>
                <w:rFonts w:ascii="Arial" w:eastAsia="Times New Roman" w:hAnsi="Arial" w:cs="Arial"/>
                <w:b/>
                <w:color w:val="000000"/>
                <w:sz w:val="14"/>
                <w:szCs w:val="14"/>
              </w:rPr>
              <w:t>preko 75</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Bogajici</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muško/male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211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60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6</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žensko/female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230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71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7</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Brezojevica</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muško/male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464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99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69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95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89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28</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žensko/female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465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97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68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53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79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76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50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42</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Dolja</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muško/male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72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žensko/female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56</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5</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Dosude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muško/male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150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9</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žensko/female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156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12</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Ðuricka Rijeka</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muško/male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132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7</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žensko/female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122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6</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Gornja Rženica</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muško/male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130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7</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žensko/female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118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12</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Grncar</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muško/male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90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6</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žensko/female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90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Gusinje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muško/male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830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187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139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86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150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164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60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44</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žensko/female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843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142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121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95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194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153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72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66</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Hoti</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muško/male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116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žensko/female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89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Kolenovici</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muško/male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84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žensko/female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81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Kruševo</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muško/male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168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11</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žensko/female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167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15</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Martinovici</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muško/male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274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61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55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16</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žensko/female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258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66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53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11</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Mašnica</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muško/male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133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14</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žensko/female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129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14</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Meteh</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muško/male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166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12</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žensko/female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146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12</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Murino</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muško/male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223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50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7</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žensko/female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239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54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25</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Novšici</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muško/male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žensko/female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23</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0</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5</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Plav</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muško/male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1886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465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360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226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315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330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122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68</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žensko/female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1831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395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310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216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351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334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140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85</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000000" w:fill="FFFF00"/>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Prnjavor</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muško/male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485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113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75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64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102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87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17</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000000" w:fill="FFFF00"/>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žensko/female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476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112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83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62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93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69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33</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Skic</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muško/male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154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8</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žensko/female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132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6</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Velika</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muško/male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156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10</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žensko/female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152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18</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Višnjevo</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muško/male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žensko/female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Vojno Selo</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muško/male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338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72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63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64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58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24</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žensko/female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304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65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67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22</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31</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Vusanje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muško/male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341</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87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56</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45</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78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43</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13</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color w:val="000000"/>
                <w:sz w:val="14"/>
                <w:szCs w:val="14"/>
              </w:rPr>
            </w:pPr>
            <w:r w:rsidRPr="00281F05">
              <w:rPr>
                <w:rFonts w:ascii="Arial" w:eastAsia="Times New Roman" w:hAnsi="Arial" w:cs="Arial"/>
                <w:color w:val="000000"/>
                <w:sz w:val="14"/>
                <w:szCs w:val="14"/>
              </w:rPr>
              <w:t>žensko/female</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307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74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34</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49</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78</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37</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20</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jc w:val="right"/>
              <w:rPr>
                <w:rFonts w:ascii="Arial" w:eastAsia="Times New Roman" w:hAnsi="Arial" w:cs="Arial"/>
                <w:color w:val="000000"/>
                <w:sz w:val="14"/>
                <w:szCs w:val="14"/>
              </w:rPr>
            </w:pPr>
            <w:r w:rsidRPr="00281F05">
              <w:rPr>
                <w:rFonts w:ascii="Arial" w:eastAsia="Times New Roman" w:hAnsi="Arial" w:cs="Arial"/>
                <w:color w:val="000000"/>
                <w:sz w:val="14"/>
                <w:szCs w:val="14"/>
              </w:rPr>
              <w:t>15</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Opština ukupno</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b/>
                <w:bCs/>
                <w:color w:val="000000"/>
                <w:sz w:val="14"/>
                <w:szCs w:val="14"/>
              </w:rPr>
            </w:pPr>
            <w:r w:rsidRPr="00281F05">
              <w:rPr>
                <w:rFonts w:ascii="Arial" w:eastAsia="Times New Roman" w:hAnsi="Arial" w:cs="Arial"/>
                <w:b/>
                <w:bCs/>
                <w:color w:val="000000"/>
                <w:sz w:val="14"/>
                <w:szCs w:val="14"/>
              </w:rPr>
              <w:t>muško/male</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6,664</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1,520</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1,132</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833</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1,233</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1,179</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447</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320</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b/>
                <w:bCs/>
                <w:color w:val="000000"/>
                <w:sz w:val="14"/>
                <w:szCs w:val="14"/>
              </w:rPr>
            </w:pPr>
            <w:r w:rsidRPr="00281F05">
              <w:rPr>
                <w:rFonts w:ascii="Arial" w:eastAsia="Times New Roman" w:hAnsi="Arial" w:cs="Arial"/>
                <w:b/>
                <w:bCs/>
                <w:color w:val="000000"/>
                <w:sz w:val="14"/>
                <w:szCs w:val="14"/>
              </w:rPr>
              <w:t>žensko/female</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6,444</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1,385</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995</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745</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1,272</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1,075</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537</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435</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Opština u %</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b/>
                <w:bCs/>
                <w:color w:val="000000"/>
                <w:sz w:val="14"/>
                <w:szCs w:val="14"/>
              </w:rPr>
            </w:pPr>
            <w:r w:rsidRPr="00281F05">
              <w:rPr>
                <w:rFonts w:ascii="Arial" w:eastAsia="Times New Roman" w:hAnsi="Arial" w:cs="Arial"/>
                <w:b/>
                <w:bCs/>
                <w:color w:val="000000"/>
                <w:sz w:val="14"/>
                <w:szCs w:val="14"/>
              </w:rPr>
              <w:t>muško/male</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50.84%</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22.81%</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16.99%</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12.50%</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18.50%</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17.69%</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6.71%</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4.80%</w:t>
            </w:r>
          </w:p>
        </w:tc>
      </w:tr>
      <w:tr w:rsidR="00281F05" w:rsidRPr="00281F05" w:rsidTr="00281F05">
        <w:trPr>
          <w:trHeight w:val="18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281F05" w:rsidRPr="00281F05" w:rsidRDefault="00281F05" w:rsidP="00281F05">
            <w:pPr>
              <w:spacing w:after="0" w:line="240" w:lineRule="auto"/>
              <w:rPr>
                <w:rFonts w:ascii="Arial" w:eastAsia="Times New Roman" w:hAnsi="Arial" w:cs="Arial"/>
                <w:b/>
                <w:bCs/>
                <w:color w:val="000000"/>
                <w:sz w:val="14"/>
                <w:szCs w:val="14"/>
              </w:rPr>
            </w:pPr>
            <w:r w:rsidRPr="00281F05">
              <w:rPr>
                <w:rFonts w:ascii="Arial" w:eastAsia="Times New Roman" w:hAnsi="Arial" w:cs="Arial"/>
                <w:b/>
                <w:bCs/>
                <w:color w:val="000000"/>
                <w:sz w:val="14"/>
                <w:szCs w:val="14"/>
              </w:rPr>
              <w:t>žensko/female</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49.16%</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21.49%</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15.44%</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11.56%</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19.74%</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16.68%</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8.33%</w:t>
            </w:r>
          </w:p>
        </w:tc>
        <w:tc>
          <w:tcPr>
            <w:tcW w:w="0" w:type="auto"/>
            <w:tcBorders>
              <w:top w:val="nil"/>
              <w:left w:val="nil"/>
              <w:bottom w:val="single" w:sz="4" w:space="0" w:color="auto"/>
              <w:right w:val="single" w:sz="4" w:space="0" w:color="auto"/>
            </w:tcBorders>
            <w:shd w:val="clear" w:color="auto" w:fill="auto"/>
            <w:noWrap/>
            <w:vAlign w:val="bottom"/>
            <w:hideMark/>
          </w:tcPr>
          <w:p w:rsidR="00281F05" w:rsidRPr="00281F05" w:rsidRDefault="00281F05" w:rsidP="00281F05">
            <w:pPr>
              <w:spacing w:after="0" w:line="240" w:lineRule="auto"/>
              <w:jc w:val="right"/>
              <w:rPr>
                <w:rFonts w:ascii="Calibri" w:eastAsia="Times New Roman" w:hAnsi="Calibri" w:cs="Times New Roman"/>
                <w:b/>
                <w:bCs/>
                <w:color w:val="000000"/>
                <w:sz w:val="14"/>
                <w:szCs w:val="14"/>
              </w:rPr>
            </w:pPr>
            <w:r w:rsidRPr="00281F05">
              <w:rPr>
                <w:rFonts w:ascii="Calibri" w:eastAsia="Times New Roman" w:hAnsi="Calibri" w:cs="Times New Roman"/>
                <w:b/>
                <w:bCs/>
                <w:color w:val="000000"/>
                <w:sz w:val="14"/>
                <w:szCs w:val="14"/>
              </w:rPr>
              <w:t>6.75%</w:t>
            </w:r>
          </w:p>
        </w:tc>
      </w:tr>
    </w:tbl>
    <w:p w:rsidR="00281F05" w:rsidRDefault="00281F05" w:rsidP="00281F05">
      <w:pPr>
        <w:spacing w:line="276" w:lineRule="auto"/>
      </w:pPr>
      <w:r>
        <w:t xml:space="preserve">Izvor: Monstat; Popis stanovništva Crne Gore 2011. </w:t>
      </w:r>
    </w:p>
    <w:p w:rsidR="002A4DB6" w:rsidRDefault="002A4DB6" w:rsidP="004D1F30">
      <w:pPr>
        <w:spacing w:line="276" w:lineRule="auto"/>
      </w:pPr>
    </w:p>
    <w:p w:rsidR="002A4DB6" w:rsidRDefault="002A4DB6" w:rsidP="004D1F30">
      <w:pPr>
        <w:spacing w:line="276" w:lineRule="auto"/>
      </w:pPr>
    </w:p>
    <w:p w:rsidR="002A4DB6" w:rsidRDefault="002A4DB6" w:rsidP="004D1F30">
      <w:pPr>
        <w:spacing w:line="276" w:lineRule="auto"/>
      </w:pPr>
    </w:p>
    <w:p w:rsidR="00281F05" w:rsidRDefault="00281F05" w:rsidP="004D1F30">
      <w:pPr>
        <w:spacing w:line="276" w:lineRule="auto"/>
      </w:pPr>
    </w:p>
    <w:p w:rsidR="00906036" w:rsidRDefault="00906036" w:rsidP="004D1F30">
      <w:pPr>
        <w:spacing w:line="276" w:lineRule="auto"/>
      </w:pPr>
    </w:p>
    <w:p w:rsidR="00906036" w:rsidRDefault="00905242" w:rsidP="00906036">
      <w:pPr>
        <w:spacing w:after="0" w:line="240" w:lineRule="auto"/>
      </w:pPr>
      <w:r>
        <w:t>Tabela 4</w:t>
      </w:r>
      <w:r w:rsidR="00906036">
        <w:t xml:space="preserve">: Obrazovna struktura stanovnika </w:t>
      </w:r>
      <w:r w:rsidR="003B15B0">
        <w:t xml:space="preserve">starih </w:t>
      </w:r>
      <w:r w:rsidR="00004BBA">
        <w:t xml:space="preserve">15+ godina </w:t>
      </w:r>
      <w:r w:rsidR="00906036">
        <w:t xml:space="preserve">po pojedinim naseljima opštine Plav </w:t>
      </w:r>
    </w:p>
    <w:tbl>
      <w:tblPr>
        <w:tblW w:w="9260" w:type="dxa"/>
        <w:tblInd w:w="-5" w:type="dxa"/>
        <w:tblLook w:val="04A0"/>
      </w:tblPr>
      <w:tblGrid>
        <w:gridCol w:w="1540"/>
        <w:gridCol w:w="993"/>
        <w:gridCol w:w="1037"/>
        <w:gridCol w:w="960"/>
        <w:gridCol w:w="1920"/>
        <w:gridCol w:w="987"/>
        <w:gridCol w:w="960"/>
        <w:gridCol w:w="960"/>
      </w:tblGrid>
      <w:tr w:rsidR="00EB254F" w:rsidRPr="00EB254F" w:rsidTr="00906036">
        <w:trPr>
          <w:trHeight w:val="495"/>
        </w:trPr>
        <w:tc>
          <w:tcPr>
            <w:tcW w:w="1540" w:type="dxa"/>
            <w:vMerge w:val="restart"/>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EB254F" w:rsidRPr="00EB254F" w:rsidRDefault="00EB254F" w:rsidP="00EB254F">
            <w:pPr>
              <w:spacing w:after="0" w:line="240" w:lineRule="auto"/>
              <w:jc w:val="center"/>
              <w:rPr>
                <w:rFonts w:ascii="Arial" w:eastAsia="Times New Roman" w:hAnsi="Arial" w:cs="Arial"/>
                <w:color w:val="000000"/>
                <w:sz w:val="18"/>
                <w:szCs w:val="18"/>
              </w:rPr>
            </w:pPr>
            <w:r w:rsidRPr="00EB254F">
              <w:rPr>
                <w:rFonts w:ascii="Arial" w:eastAsia="Times New Roman" w:hAnsi="Arial" w:cs="Arial"/>
                <w:color w:val="000000"/>
                <w:sz w:val="18"/>
                <w:szCs w:val="18"/>
              </w:rPr>
              <w:t>Naselje</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79646"/>
            <w:vAlign w:val="center"/>
            <w:hideMark/>
          </w:tcPr>
          <w:p w:rsidR="00EB254F" w:rsidRPr="00EB254F" w:rsidRDefault="00EB254F" w:rsidP="00EB254F">
            <w:pPr>
              <w:spacing w:after="0" w:line="240" w:lineRule="auto"/>
              <w:jc w:val="center"/>
              <w:rPr>
                <w:rFonts w:ascii="Arial" w:eastAsia="Times New Roman" w:hAnsi="Arial" w:cs="Arial"/>
                <w:color w:val="000000"/>
                <w:sz w:val="18"/>
                <w:szCs w:val="18"/>
              </w:rPr>
            </w:pPr>
            <w:r w:rsidRPr="00EB254F">
              <w:rPr>
                <w:rFonts w:ascii="Arial" w:eastAsia="Times New Roman" w:hAnsi="Arial" w:cs="Arial"/>
                <w:color w:val="000000"/>
                <w:sz w:val="18"/>
                <w:szCs w:val="18"/>
              </w:rPr>
              <w:t>Ukupno</w:t>
            </w:r>
          </w:p>
        </w:tc>
        <w:tc>
          <w:tcPr>
            <w:tcW w:w="967" w:type="dxa"/>
            <w:vMerge w:val="restart"/>
            <w:tcBorders>
              <w:top w:val="single" w:sz="4" w:space="0" w:color="auto"/>
              <w:left w:val="single" w:sz="4" w:space="0" w:color="auto"/>
              <w:bottom w:val="single" w:sz="4" w:space="0" w:color="auto"/>
              <w:right w:val="single" w:sz="4" w:space="0" w:color="auto"/>
            </w:tcBorders>
            <w:shd w:val="clear" w:color="000000" w:fill="F79646"/>
            <w:vAlign w:val="center"/>
            <w:hideMark/>
          </w:tcPr>
          <w:p w:rsidR="00EB254F" w:rsidRPr="00EB254F" w:rsidRDefault="00EB254F" w:rsidP="00EB254F">
            <w:pPr>
              <w:spacing w:after="0" w:line="240" w:lineRule="auto"/>
              <w:jc w:val="center"/>
              <w:rPr>
                <w:rFonts w:ascii="Arial" w:eastAsia="Times New Roman" w:hAnsi="Arial" w:cs="Arial"/>
                <w:color w:val="000000"/>
                <w:sz w:val="18"/>
                <w:szCs w:val="18"/>
              </w:rPr>
            </w:pPr>
            <w:r w:rsidRPr="00EB254F">
              <w:rPr>
                <w:rFonts w:ascii="Arial" w:eastAsia="Times New Roman" w:hAnsi="Arial" w:cs="Arial"/>
                <w:color w:val="000000"/>
                <w:sz w:val="18"/>
                <w:szCs w:val="18"/>
              </w:rPr>
              <w:t>Bez odgovora</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79646"/>
            <w:vAlign w:val="center"/>
            <w:hideMark/>
          </w:tcPr>
          <w:p w:rsidR="00EB254F" w:rsidRPr="00EB254F" w:rsidRDefault="00EB254F" w:rsidP="00EB254F">
            <w:pPr>
              <w:spacing w:after="0" w:line="240" w:lineRule="auto"/>
              <w:jc w:val="center"/>
              <w:rPr>
                <w:rFonts w:ascii="Arial" w:eastAsia="Times New Roman" w:hAnsi="Arial" w:cs="Arial"/>
                <w:color w:val="000000"/>
                <w:sz w:val="18"/>
                <w:szCs w:val="18"/>
              </w:rPr>
            </w:pPr>
            <w:r w:rsidRPr="00EB254F">
              <w:rPr>
                <w:rFonts w:ascii="Arial" w:eastAsia="Times New Roman" w:hAnsi="Arial" w:cs="Arial"/>
                <w:color w:val="000000"/>
                <w:sz w:val="18"/>
                <w:szCs w:val="18"/>
              </w:rPr>
              <w:t>Bez škole</w:t>
            </w:r>
          </w:p>
        </w:tc>
        <w:tc>
          <w:tcPr>
            <w:tcW w:w="2880" w:type="dxa"/>
            <w:gridSpan w:val="2"/>
            <w:tcBorders>
              <w:top w:val="single" w:sz="4" w:space="0" w:color="auto"/>
              <w:left w:val="nil"/>
              <w:bottom w:val="single" w:sz="4" w:space="0" w:color="auto"/>
              <w:right w:val="single" w:sz="4" w:space="0" w:color="auto"/>
            </w:tcBorders>
            <w:shd w:val="clear" w:color="000000" w:fill="F79646"/>
            <w:noWrap/>
            <w:vAlign w:val="center"/>
            <w:hideMark/>
          </w:tcPr>
          <w:p w:rsidR="00EB254F" w:rsidRPr="00EB254F" w:rsidRDefault="00EB254F" w:rsidP="00EB254F">
            <w:pPr>
              <w:spacing w:after="0" w:line="240" w:lineRule="auto"/>
              <w:jc w:val="center"/>
              <w:rPr>
                <w:rFonts w:ascii="Arial" w:eastAsia="Times New Roman" w:hAnsi="Arial" w:cs="Arial"/>
                <w:color w:val="000000"/>
                <w:sz w:val="18"/>
                <w:szCs w:val="18"/>
              </w:rPr>
            </w:pPr>
            <w:r w:rsidRPr="00EB254F">
              <w:rPr>
                <w:rFonts w:ascii="Arial" w:eastAsia="Times New Roman" w:hAnsi="Arial" w:cs="Arial"/>
                <w:color w:val="000000"/>
                <w:sz w:val="18"/>
                <w:szCs w:val="18"/>
              </w:rPr>
              <w:t>Osnovna škola</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79646"/>
            <w:vAlign w:val="center"/>
            <w:hideMark/>
          </w:tcPr>
          <w:p w:rsidR="00EB254F" w:rsidRPr="00EB254F" w:rsidRDefault="00EB254F" w:rsidP="00EB254F">
            <w:pPr>
              <w:spacing w:after="0" w:line="240" w:lineRule="auto"/>
              <w:jc w:val="center"/>
              <w:rPr>
                <w:rFonts w:ascii="Arial" w:eastAsia="Times New Roman" w:hAnsi="Arial" w:cs="Arial"/>
                <w:color w:val="000000"/>
                <w:sz w:val="18"/>
                <w:szCs w:val="18"/>
              </w:rPr>
            </w:pPr>
            <w:r w:rsidRPr="00EB254F">
              <w:rPr>
                <w:rFonts w:ascii="Arial" w:eastAsia="Times New Roman" w:hAnsi="Arial" w:cs="Arial"/>
                <w:color w:val="000000"/>
                <w:sz w:val="18"/>
                <w:szCs w:val="18"/>
              </w:rPr>
              <w:t>Srednja škola</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79646"/>
            <w:vAlign w:val="center"/>
            <w:hideMark/>
          </w:tcPr>
          <w:p w:rsidR="00EB254F" w:rsidRPr="00EB254F" w:rsidRDefault="00EB254F" w:rsidP="00EB254F">
            <w:pPr>
              <w:spacing w:after="0" w:line="240" w:lineRule="auto"/>
              <w:jc w:val="center"/>
              <w:rPr>
                <w:rFonts w:ascii="Arial" w:eastAsia="Times New Roman" w:hAnsi="Arial" w:cs="Arial"/>
                <w:color w:val="000000"/>
                <w:sz w:val="18"/>
                <w:szCs w:val="18"/>
              </w:rPr>
            </w:pPr>
            <w:r w:rsidRPr="00EB254F">
              <w:rPr>
                <w:rFonts w:ascii="Arial" w:eastAsia="Times New Roman" w:hAnsi="Arial" w:cs="Arial"/>
                <w:color w:val="000000"/>
                <w:sz w:val="18"/>
                <w:szCs w:val="18"/>
              </w:rPr>
              <w:t>Visoko i više</w:t>
            </w:r>
          </w:p>
        </w:tc>
      </w:tr>
      <w:tr w:rsidR="00EB254F" w:rsidRPr="00EB254F" w:rsidTr="00906036">
        <w:trPr>
          <w:trHeight w:val="1200"/>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EB254F" w:rsidRPr="00EB254F" w:rsidRDefault="00EB254F" w:rsidP="00EB254F">
            <w:pPr>
              <w:spacing w:after="0" w:line="240" w:lineRule="auto"/>
              <w:rPr>
                <w:rFonts w:ascii="Arial" w:eastAsia="Times New Roman" w:hAnsi="Arial" w:cs="Arial"/>
                <w:color w:val="000000"/>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B254F" w:rsidRPr="00EB254F" w:rsidRDefault="00EB254F" w:rsidP="00EB254F">
            <w:pPr>
              <w:spacing w:after="0" w:line="240" w:lineRule="auto"/>
              <w:rPr>
                <w:rFonts w:ascii="Arial" w:eastAsia="Times New Roman" w:hAnsi="Arial" w:cs="Arial"/>
                <w:color w:val="000000"/>
                <w:sz w:val="18"/>
                <w:szCs w:val="18"/>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rsidR="00EB254F" w:rsidRPr="00EB254F" w:rsidRDefault="00EB254F" w:rsidP="00EB254F">
            <w:pPr>
              <w:spacing w:after="0" w:line="240" w:lineRule="auto"/>
              <w:rPr>
                <w:rFonts w:ascii="Arial" w:eastAsia="Times New Roman" w:hAnsi="Arial" w:cs="Arial"/>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EB254F" w:rsidRPr="00EB254F" w:rsidRDefault="00EB254F" w:rsidP="00EB254F">
            <w:pPr>
              <w:spacing w:after="0" w:line="240" w:lineRule="auto"/>
              <w:rPr>
                <w:rFonts w:ascii="Arial" w:eastAsia="Times New Roman" w:hAnsi="Arial" w:cs="Arial"/>
                <w:color w:val="000000"/>
                <w:sz w:val="18"/>
                <w:szCs w:val="18"/>
              </w:rPr>
            </w:pPr>
          </w:p>
        </w:tc>
        <w:tc>
          <w:tcPr>
            <w:tcW w:w="1920" w:type="dxa"/>
            <w:tcBorders>
              <w:top w:val="nil"/>
              <w:left w:val="nil"/>
              <w:bottom w:val="single" w:sz="4" w:space="0" w:color="auto"/>
              <w:right w:val="single" w:sz="4" w:space="0" w:color="auto"/>
            </w:tcBorders>
            <w:shd w:val="clear" w:color="000000" w:fill="F79646"/>
            <w:vAlign w:val="center"/>
            <w:hideMark/>
          </w:tcPr>
          <w:p w:rsidR="00EB254F" w:rsidRPr="00EB254F" w:rsidRDefault="00EB254F" w:rsidP="00EB254F">
            <w:pPr>
              <w:spacing w:after="0" w:line="240" w:lineRule="auto"/>
              <w:jc w:val="center"/>
              <w:rPr>
                <w:rFonts w:ascii="Arial" w:eastAsia="Times New Roman" w:hAnsi="Arial" w:cs="Arial"/>
                <w:color w:val="000000"/>
                <w:sz w:val="18"/>
                <w:szCs w:val="18"/>
              </w:rPr>
            </w:pPr>
            <w:r w:rsidRPr="00EB254F">
              <w:rPr>
                <w:rFonts w:ascii="Arial" w:eastAsia="Times New Roman" w:hAnsi="Arial" w:cs="Arial"/>
                <w:color w:val="000000"/>
                <w:sz w:val="18"/>
                <w:szCs w:val="18"/>
              </w:rPr>
              <w:t>Nepotpuna osnovna škola</w:t>
            </w:r>
          </w:p>
        </w:tc>
        <w:tc>
          <w:tcPr>
            <w:tcW w:w="960" w:type="dxa"/>
            <w:tcBorders>
              <w:top w:val="nil"/>
              <w:left w:val="nil"/>
              <w:bottom w:val="single" w:sz="4" w:space="0" w:color="auto"/>
              <w:right w:val="single" w:sz="4" w:space="0" w:color="auto"/>
            </w:tcBorders>
            <w:shd w:val="clear" w:color="000000" w:fill="F79646"/>
            <w:vAlign w:val="center"/>
            <w:hideMark/>
          </w:tcPr>
          <w:p w:rsidR="00EB254F" w:rsidRPr="00EB254F" w:rsidRDefault="00EB254F" w:rsidP="00EB254F">
            <w:pPr>
              <w:spacing w:after="0" w:line="240" w:lineRule="auto"/>
              <w:jc w:val="center"/>
              <w:rPr>
                <w:rFonts w:ascii="Arial" w:eastAsia="Times New Roman" w:hAnsi="Arial" w:cs="Arial"/>
                <w:color w:val="000000"/>
                <w:sz w:val="18"/>
                <w:szCs w:val="18"/>
              </w:rPr>
            </w:pPr>
            <w:r w:rsidRPr="00EB254F">
              <w:rPr>
                <w:rFonts w:ascii="Arial" w:eastAsia="Times New Roman" w:hAnsi="Arial" w:cs="Arial"/>
                <w:color w:val="000000"/>
                <w:sz w:val="18"/>
                <w:szCs w:val="18"/>
              </w:rPr>
              <w:t>Osnovna škola</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EB254F" w:rsidRPr="00EB254F" w:rsidRDefault="00EB254F" w:rsidP="00EB254F">
            <w:pPr>
              <w:spacing w:after="0" w:line="240" w:lineRule="auto"/>
              <w:rPr>
                <w:rFonts w:ascii="Arial" w:eastAsia="Times New Roman" w:hAnsi="Arial" w:cs="Arial"/>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EB254F" w:rsidRPr="00EB254F" w:rsidRDefault="00EB254F" w:rsidP="00EB254F">
            <w:pPr>
              <w:spacing w:after="0" w:line="240" w:lineRule="auto"/>
              <w:rPr>
                <w:rFonts w:ascii="Arial" w:eastAsia="Times New Roman" w:hAnsi="Arial" w:cs="Arial"/>
                <w:color w:val="000000"/>
                <w:sz w:val="18"/>
                <w:szCs w:val="18"/>
              </w:rPr>
            </w:pPr>
          </w:p>
        </w:tc>
      </w:tr>
      <w:tr w:rsidR="00EB254F" w:rsidRPr="00EB254F" w:rsidTr="00906036">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rPr>
                <w:rFonts w:ascii="Arial" w:eastAsia="Times New Roman" w:hAnsi="Arial" w:cs="Arial"/>
                <w:color w:val="000000"/>
                <w:sz w:val="18"/>
                <w:szCs w:val="18"/>
              </w:rPr>
            </w:pPr>
            <w:r w:rsidRPr="00EB254F">
              <w:rPr>
                <w:rFonts w:ascii="Arial" w:eastAsia="Times New Roman" w:hAnsi="Arial" w:cs="Arial"/>
                <w:color w:val="000000"/>
                <w:sz w:val="18"/>
                <w:szCs w:val="18"/>
              </w:rPr>
              <w:t>Bogajici</w:t>
            </w:r>
          </w:p>
        </w:tc>
        <w:tc>
          <w:tcPr>
            <w:tcW w:w="993"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310</w:t>
            </w:r>
          </w:p>
        </w:tc>
        <w:tc>
          <w:tcPr>
            <w:tcW w:w="967"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5</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20</w:t>
            </w:r>
          </w:p>
        </w:tc>
        <w:tc>
          <w:tcPr>
            <w:tcW w:w="192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81</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87</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92</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25</w:t>
            </w:r>
          </w:p>
        </w:tc>
      </w:tr>
      <w:tr w:rsidR="00EB254F" w:rsidRPr="00EB254F" w:rsidTr="00906036">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rPr>
                <w:rFonts w:ascii="Arial" w:eastAsia="Times New Roman" w:hAnsi="Arial" w:cs="Arial"/>
                <w:color w:val="000000"/>
                <w:sz w:val="18"/>
                <w:szCs w:val="18"/>
              </w:rPr>
            </w:pPr>
            <w:r w:rsidRPr="00EB254F">
              <w:rPr>
                <w:rFonts w:ascii="Arial" w:eastAsia="Times New Roman" w:hAnsi="Arial" w:cs="Arial"/>
                <w:color w:val="000000"/>
                <w:sz w:val="18"/>
                <w:szCs w:val="18"/>
              </w:rPr>
              <w:t>Brezojevica</w:t>
            </w:r>
          </w:p>
        </w:tc>
        <w:tc>
          <w:tcPr>
            <w:tcW w:w="993"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733</w:t>
            </w:r>
          </w:p>
        </w:tc>
        <w:tc>
          <w:tcPr>
            <w:tcW w:w="967"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4</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27</w:t>
            </w:r>
          </w:p>
        </w:tc>
        <w:tc>
          <w:tcPr>
            <w:tcW w:w="192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77</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180</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351</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94</w:t>
            </w:r>
          </w:p>
        </w:tc>
      </w:tr>
      <w:tr w:rsidR="00EB254F" w:rsidRPr="00EB254F" w:rsidTr="00906036">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rPr>
                <w:rFonts w:ascii="Arial" w:eastAsia="Times New Roman" w:hAnsi="Arial" w:cs="Arial"/>
                <w:color w:val="000000"/>
                <w:sz w:val="18"/>
                <w:szCs w:val="18"/>
              </w:rPr>
            </w:pPr>
            <w:r w:rsidRPr="00EB254F">
              <w:rPr>
                <w:rFonts w:ascii="Arial" w:eastAsia="Times New Roman" w:hAnsi="Arial" w:cs="Arial"/>
                <w:color w:val="000000"/>
                <w:sz w:val="18"/>
                <w:szCs w:val="18"/>
              </w:rPr>
              <w:t>Dolja</w:t>
            </w:r>
          </w:p>
        </w:tc>
        <w:tc>
          <w:tcPr>
            <w:tcW w:w="993"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113</w:t>
            </w:r>
          </w:p>
        </w:tc>
        <w:tc>
          <w:tcPr>
            <w:tcW w:w="967"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3</w:t>
            </w:r>
          </w:p>
        </w:tc>
        <w:tc>
          <w:tcPr>
            <w:tcW w:w="192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21</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57</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27</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4</w:t>
            </w:r>
          </w:p>
        </w:tc>
      </w:tr>
      <w:tr w:rsidR="00EB254F" w:rsidRPr="00EB254F" w:rsidTr="00906036">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rPr>
                <w:rFonts w:ascii="Arial" w:eastAsia="Times New Roman" w:hAnsi="Arial" w:cs="Arial"/>
                <w:color w:val="000000"/>
                <w:sz w:val="18"/>
                <w:szCs w:val="18"/>
              </w:rPr>
            </w:pPr>
            <w:r w:rsidRPr="00EB254F">
              <w:rPr>
                <w:rFonts w:ascii="Arial" w:eastAsia="Times New Roman" w:hAnsi="Arial" w:cs="Arial"/>
                <w:color w:val="000000"/>
                <w:sz w:val="18"/>
                <w:szCs w:val="18"/>
              </w:rPr>
              <w:t>Dosude</w:t>
            </w:r>
          </w:p>
        </w:tc>
        <w:tc>
          <w:tcPr>
            <w:tcW w:w="993"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257</w:t>
            </w:r>
          </w:p>
        </w:tc>
        <w:tc>
          <w:tcPr>
            <w:tcW w:w="967" w:type="dxa"/>
            <w:tcBorders>
              <w:top w:val="nil"/>
              <w:left w:val="nil"/>
              <w:bottom w:val="single" w:sz="4" w:space="0" w:color="auto"/>
              <w:right w:val="single" w:sz="4" w:space="0" w:color="auto"/>
            </w:tcBorders>
            <w:shd w:val="clear" w:color="auto" w:fill="auto"/>
            <w:noWrap/>
            <w:vAlign w:val="bottom"/>
            <w:hideMark/>
          </w:tcPr>
          <w:p w:rsidR="00EB254F" w:rsidRPr="00EB254F" w:rsidRDefault="00EB254F" w:rsidP="00EB254F">
            <w:pPr>
              <w:spacing w:after="0" w:line="240" w:lineRule="auto"/>
              <w:rPr>
                <w:rFonts w:ascii="Arial" w:eastAsia="Times New Roman" w:hAnsi="Arial" w:cs="Arial"/>
                <w:color w:val="000000"/>
                <w:sz w:val="18"/>
                <w:szCs w:val="18"/>
              </w:rPr>
            </w:pPr>
            <w:r w:rsidRPr="00EB254F">
              <w:rPr>
                <w:rFonts w:ascii="Arial" w:eastAsia="Times New Roman" w:hAnsi="Arial" w:cs="Arial"/>
                <w:color w:val="000000"/>
                <w:sz w:val="18"/>
                <w:szCs w:val="18"/>
              </w:rPr>
              <w:t> </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12</w:t>
            </w:r>
          </w:p>
        </w:tc>
        <w:tc>
          <w:tcPr>
            <w:tcW w:w="192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44</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84</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94</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23</w:t>
            </w:r>
          </w:p>
        </w:tc>
      </w:tr>
      <w:tr w:rsidR="00EB254F" w:rsidRPr="00EB254F" w:rsidTr="00906036">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rPr>
                <w:rFonts w:ascii="Arial" w:eastAsia="Times New Roman" w:hAnsi="Arial" w:cs="Arial"/>
                <w:color w:val="000000"/>
                <w:sz w:val="18"/>
                <w:szCs w:val="18"/>
              </w:rPr>
            </w:pPr>
            <w:r w:rsidRPr="00EB254F">
              <w:rPr>
                <w:rFonts w:ascii="Arial" w:eastAsia="Times New Roman" w:hAnsi="Arial" w:cs="Arial"/>
                <w:color w:val="000000"/>
                <w:sz w:val="18"/>
                <w:szCs w:val="18"/>
              </w:rPr>
              <w:t>Ðuricka Rijeka</w:t>
            </w:r>
          </w:p>
        </w:tc>
        <w:tc>
          <w:tcPr>
            <w:tcW w:w="993"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172</w:t>
            </w:r>
          </w:p>
        </w:tc>
        <w:tc>
          <w:tcPr>
            <w:tcW w:w="967"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4</w:t>
            </w:r>
          </w:p>
        </w:tc>
        <w:tc>
          <w:tcPr>
            <w:tcW w:w="192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48</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54</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57</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8</w:t>
            </w:r>
          </w:p>
        </w:tc>
      </w:tr>
      <w:tr w:rsidR="00EB254F" w:rsidRPr="00EB254F" w:rsidTr="00906036">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rPr>
                <w:rFonts w:ascii="Arial" w:eastAsia="Times New Roman" w:hAnsi="Arial" w:cs="Arial"/>
                <w:color w:val="000000"/>
                <w:sz w:val="18"/>
                <w:szCs w:val="18"/>
              </w:rPr>
            </w:pPr>
            <w:r w:rsidRPr="00EB254F">
              <w:rPr>
                <w:rFonts w:ascii="Arial" w:eastAsia="Times New Roman" w:hAnsi="Arial" w:cs="Arial"/>
                <w:color w:val="000000"/>
                <w:sz w:val="18"/>
                <w:szCs w:val="18"/>
              </w:rPr>
              <w:t>Gornja Rženica</w:t>
            </w:r>
          </w:p>
        </w:tc>
        <w:tc>
          <w:tcPr>
            <w:tcW w:w="993"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206</w:t>
            </w:r>
          </w:p>
        </w:tc>
        <w:tc>
          <w:tcPr>
            <w:tcW w:w="967"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3</w:t>
            </w:r>
          </w:p>
        </w:tc>
        <w:tc>
          <w:tcPr>
            <w:tcW w:w="192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44</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54</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89</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15</w:t>
            </w:r>
          </w:p>
        </w:tc>
      </w:tr>
      <w:tr w:rsidR="00EB254F" w:rsidRPr="00EB254F" w:rsidTr="00906036">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rPr>
                <w:rFonts w:ascii="Arial" w:eastAsia="Times New Roman" w:hAnsi="Arial" w:cs="Arial"/>
                <w:color w:val="000000"/>
                <w:sz w:val="18"/>
                <w:szCs w:val="18"/>
              </w:rPr>
            </w:pPr>
            <w:r w:rsidRPr="00EB254F">
              <w:rPr>
                <w:rFonts w:ascii="Arial" w:eastAsia="Times New Roman" w:hAnsi="Arial" w:cs="Arial"/>
                <w:color w:val="000000"/>
                <w:sz w:val="18"/>
                <w:szCs w:val="18"/>
              </w:rPr>
              <w:t>Grncar</w:t>
            </w:r>
          </w:p>
        </w:tc>
        <w:tc>
          <w:tcPr>
            <w:tcW w:w="993"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139</w:t>
            </w:r>
          </w:p>
        </w:tc>
        <w:tc>
          <w:tcPr>
            <w:tcW w:w="967"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10</w:t>
            </w:r>
          </w:p>
        </w:tc>
        <w:tc>
          <w:tcPr>
            <w:tcW w:w="192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30</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46</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42</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10</w:t>
            </w:r>
          </w:p>
        </w:tc>
      </w:tr>
      <w:tr w:rsidR="00EB254F" w:rsidRPr="00EB254F" w:rsidTr="00906036">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rPr>
                <w:rFonts w:ascii="Arial" w:eastAsia="Times New Roman" w:hAnsi="Arial" w:cs="Arial"/>
                <w:color w:val="000000"/>
                <w:sz w:val="18"/>
                <w:szCs w:val="18"/>
              </w:rPr>
            </w:pPr>
            <w:r w:rsidRPr="00EB254F">
              <w:rPr>
                <w:rFonts w:ascii="Arial" w:eastAsia="Times New Roman" w:hAnsi="Arial" w:cs="Arial"/>
                <w:color w:val="000000"/>
                <w:sz w:val="18"/>
                <w:szCs w:val="18"/>
              </w:rPr>
              <w:t>Gusinje</w:t>
            </w:r>
          </w:p>
        </w:tc>
        <w:tc>
          <w:tcPr>
            <w:tcW w:w="993"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1344</w:t>
            </w:r>
          </w:p>
        </w:tc>
        <w:tc>
          <w:tcPr>
            <w:tcW w:w="967"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5</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62</w:t>
            </w:r>
          </w:p>
        </w:tc>
        <w:tc>
          <w:tcPr>
            <w:tcW w:w="192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140</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467</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544</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126</w:t>
            </w:r>
          </w:p>
        </w:tc>
      </w:tr>
      <w:tr w:rsidR="00EB254F" w:rsidRPr="00EB254F" w:rsidTr="00906036">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rPr>
                <w:rFonts w:ascii="Arial" w:eastAsia="Times New Roman" w:hAnsi="Arial" w:cs="Arial"/>
                <w:color w:val="000000"/>
                <w:sz w:val="18"/>
                <w:szCs w:val="18"/>
              </w:rPr>
            </w:pPr>
            <w:r w:rsidRPr="00EB254F">
              <w:rPr>
                <w:rFonts w:ascii="Arial" w:eastAsia="Times New Roman" w:hAnsi="Arial" w:cs="Arial"/>
                <w:color w:val="000000"/>
                <w:sz w:val="18"/>
                <w:szCs w:val="18"/>
              </w:rPr>
              <w:t>Hoti</w:t>
            </w:r>
          </w:p>
        </w:tc>
        <w:tc>
          <w:tcPr>
            <w:tcW w:w="993"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130</w:t>
            </w:r>
          </w:p>
        </w:tc>
        <w:tc>
          <w:tcPr>
            <w:tcW w:w="967"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4</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7</w:t>
            </w:r>
          </w:p>
        </w:tc>
        <w:tc>
          <w:tcPr>
            <w:tcW w:w="192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32</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64</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21</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w:t>
            </w:r>
          </w:p>
        </w:tc>
      </w:tr>
      <w:tr w:rsidR="00EB254F" w:rsidRPr="00EB254F" w:rsidTr="00906036">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rPr>
                <w:rFonts w:ascii="Arial" w:eastAsia="Times New Roman" w:hAnsi="Arial" w:cs="Arial"/>
                <w:color w:val="000000"/>
                <w:sz w:val="18"/>
                <w:szCs w:val="18"/>
              </w:rPr>
            </w:pPr>
            <w:r w:rsidRPr="00EB254F">
              <w:rPr>
                <w:rFonts w:ascii="Arial" w:eastAsia="Times New Roman" w:hAnsi="Arial" w:cs="Arial"/>
                <w:color w:val="000000"/>
                <w:sz w:val="18"/>
                <w:szCs w:val="18"/>
              </w:rPr>
              <w:t>Kolenovici</w:t>
            </w:r>
          </w:p>
        </w:tc>
        <w:tc>
          <w:tcPr>
            <w:tcW w:w="993"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130</w:t>
            </w:r>
          </w:p>
        </w:tc>
        <w:tc>
          <w:tcPr>
            <w:tcW w:w="967" w:type="dxa"/>
            <w:tcBorders>
              <w:top w:val="nil"/>
              <w:left w:val="nil"/>
              <w:bottom w:val="single" w:sz="4" w:space="0" w:color="auto"/>
              <w:right w:val="single" w:sz="4" w:space="0" w:color="auto"/>
            </w:tcBorders>
            <w:shd w:val="clear" w:color="auto" w:fill="auto"/>
            <w:noWrap/>
            <w:vAlign w:val="bottom"/>
            <w:hideMark/>
          </w:tcPr>
          <w:p w:rsidR="00EB254F" w:rsidRPr="00EB254F" w:rsidRDefault="00EB254F" w:rsidP="00EB254F">
            <w:pPr>
              <w:spacing w:after="0" w:line="240" w:lineRule="auto"/>
              <w:rPr>
                <w:rFonts w:ascii="Arial" w:eastAsia="Times New Roman" w:hAnsi="Arial" w:cs="Arial"/>
                <w:color w:val="000000"/>
                <w:sz w:val="18"/>
                <w:szCs w:val="18"/>
              </w:rPr>
            </w:pPr>
            <w:r w:rsidRPr="00EB254F">
              <w:rPr>
                <w:rFonts w:ascii="Arial" w:eastAsia="Times New Roman" w:hAnsi="Arial" w:cs="Arial"/>
                <w:color w:val="000000"/>
                <w:sz w:val="18"/>
                <w:szCs w:val="18"/>
              </w:rPr>
              <w:t> </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w:t>
            </w:r>
          </w:p>
        </w:tc>
        <w:tc>
          <w:tcPr>
            <w:tcW w:w="192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14</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87</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24</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3</w:t>
            </w:r>
          </w:p>
        </w:tc>
      </w:tr>
      <w:tr w:rsidR="00EB254F" w:rsidRPr="00EB254F" w:rsidTr="00906036">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rPr>
                <w:rFonts w:ascii="Arial" w:eastAsia="Times New Roman" w:hAnsi="Arial" w:cs="Arial"/>
                <w:color w:val="000000"/>
                <w:sz w:val="18"/>
                <w:szCs w:val="18"/>
              </w:rPr>
            </w:pPr>
            <w:r w:rsidRPr="00EB254F">
              <w:rPr>
                <w:rFonts w:ascii="Arial" w:eastAsia="Times New Roman" w:hAnsi="Arial" w:cs="Arial"/>
                <w:color w:val="000000"/>
                <w:sz w:val="18"/>
                <w:szCs w:val="18"/>
              </w:rPr>
              <w:t>Kruševo</w:t>
            </w:r>
          </w:p>
        </w:tc>
        <w:tc>
          <w:tcPr>
            <w:tcW w:w="993"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260</w:t>
            </w:r>
          </w:p>
        </w:tc>
        <w:tc>
          <w:tcPr>
            <w:tcW w:w="967"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23</w:t>
            </w:r>
          </w:p>
        </w:tc>
        <w:tc>
          <w:tcPr>
            <w:tcW w:w="192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38</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93</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91</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14</w:t>
            </w:r>
          </w:p>
        </w:tc>
      </w:tr>
      <w:tr w:rsidR="00EB254F" w:rsidRPr="00EB254F" w:rsidTr="00906036">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rPr>
                <w:rFonts w:ascii="Arial" w:eastAsia="Times New Roman" w:hAnsi="Arial" w:cs="Arial"/>
                <w:color w:val="000000"/>
                <w:sz w:val="18"/>
                <w:szCs w:val="18"/>
              </w:rPr>
            </w:pPr>
            <w:r w:rsidRPr="00EB254F">
              <w:rPr>
                <w:rFonts w:ascii="Arial" w:eastAsia="Times New Roman" w:hAnsi="Arial" w:cs="Arial"/>
                <w:color w:val="000000"/>
                <w:sz w:val="18"/>
                <w:szCs w:val="18"/>
              </w:rPr>
              <w:t>Martinovici</w:t>
            </w:r>
          </w:p>
        </w:tc>
        <w:tc>
          <w:tcPr>
            <w:tcW w:w="993"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405</w:t>
            </w:r>
          </w:p>
        </w:tc>
        <w:tc>
          <w:tcPr>
            <w:tcW w:w="967"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9</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13</w:t>
            </w:r>
          </w:p>
        </w:tc>
        <w:tc>
          <w:tcPr>
            <w:tcW w:w="192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34</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125</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173</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51</w:t>
            </w:r>
          </w:p>
        </w:tc>
      </w:tr>
      <w:tr w:rsidR="00EB254F" w:rsidRPr="00EB254F" w:rsidTr="00906036">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rPr>
                <w:rFonts w:ascii="Arial" w:eastAsia="Times New Roman" w:hAnsi="Arial" w:cs="Arial"/>
                <w:color w:val="000000"/>
                <w:sz w:val="18"/>
                <w:szCs w:val="18"/>
              </w:rPr>
            </w:pPr>
            <w:r w:rsidRPr="00EB254F">
              <w:rPr>
                <w:rFonts w:ascii="Arial" w:eastAsia="Times New Roman" w:hAnsi="Arial" w:cs="Arial"/>
                <w:color w:val="000000"/>
                <w:sz w:val="18"/>
                <w:szCs w:val="18"/>
              </w:rPr>
              <w:t>Mašnica</w:t>
            </w:r>
          </w:p>
        </w:tc>
        <w:tc>
          <w:tcPr>
            <w:tcW w:w="993"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224</w:t>
            </w:r>
          </w:p>
        </w:tc>
        <w:tc>
          <w:tcPr>
            <w:tcW w:w="967" w:type="dxa"/>
            <w:tcBorders>
              <w:top w:val="nil"/>
              <w:left w:val="nil"/>
              <w:bottom w:val="single" w:sz="4" w:space="0" w:color="auto"/>
              <w:right w:val="single" w:sz="4" w:space="0" w:color="auto"/>
            </w:tcBorders>
            <w:shd w:val="clear" w:color="auto" w:fill="auto"/>
            <w:noWrap/>
            <w:vAlign w:val="bottom"/>
            <w:hideMark/>
          </w:tcPr>
          <w:p w:rsidR="00EB254F" w:rsidRPr="00EB254F" w:rsidRDefault="00EB254F" w:rsidP="00EB254F">
            <w:pPr>
              <w:spacing w:after="0" w:line="240" w:lineRule="auto"/>
              <w:rPr>
                <w:rFonts w:ascii="Arial" w:eastAsia="Times New Roman" w:hAnsi="Arial" w:cs="Arial"/>
                <w:color w:val="000000"/>
                <w:sz w:val="18"/>
                <w:szCs w:val="18"/>
              </w:rPr>
            </w:pPr>
            <w:r w:rsidRPr="00EB254F">
              <w:rPr>
                <w:rFonts w:ascii="Arial" w:eastAsia="Times New Roman" w:hAnsi="Arial" w:cs="Arial"/>
                <w:color w:val="000000"/>
                <w:sz w:val="18"/>
                <w:szCs w:val="18"/>
              </w:rPr>
              <w:t> </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7</w:t>
            </w:r>
          </w:p>
        </w:tc>
        <w:tc>
          <w:tcPr>
            <w:tcW w:w="192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27</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59</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101</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30</w:t>
            </w:r>
          </w:p>
        </w:tc>
      </w:tr>
      <w:tr w:rsidR="00EB254F" w:rsidRPr="00EB254F" w:rsidTr="00906036">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rPr>
                <w:rFonts w:ascii="Arial" w:eastAsia="Times New Roman" w:hAnsi="Arial" w:cs="Arial"/>
                <w:color w:val="000000"/>
                <w:sz w:val="18"/>
                <w:szCs w:val="18"/>
              </w:rPr>
            </w:pPr>
            <w:r w:rsidRPr="00EB254F">
              <w:rPr>
                <w:rFonts w:ascii="Arial" w:eastAsia="Times New Roman" w:hAnsi="Arial" w:cs="Arial"/>
                <w:color w:val="000000"/>
                <w:sz w:val="18"/>
                <w:szCs w:val="18"/>
              </w:rPr>
              <w:t>Meteh</w:t>
            </w:r>
          </w:p>
        </w:tc>
        <w:tc>
          <w:tcPr>
            <w:tcW w:w="993"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238</w:t>
            </w:r>
          </w:p>
        </w:tc>
        <w:tc>
          <w:tcPr>
            <w:tcW w:w="967"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22</w:t>
            </w:r>
          </w:p>
        </w:tc>
        <w:tc>
          <w:tcPr>
            <w:tcW w:w="192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92</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79</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37</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6</w:t>
            </w:r>
          </w:p>
        </w:tc>
      </w:tr>
      <w:tr w:rsidR="00EB254F" w:rsidRPr="00EB254F" w:rsidTr="00906036">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rPr>
                <w:rFonts w:ascii="Arial" w:eastAsia="Times New Roman" w:hAnsi="Arial" w:cs="Arial"/>
                <w:color w:val="000000"/>
                <w:sz w:val="18"/>
                <w:szCs w:val="18"/>
              </w:rPr>
            </w:pPr>
            <w:r w:rsidRPr="00EB254F">
              <w:rPr>
                <w:rFonts w:ascii="Arial" w:eastAsia="Times New Roman" w:hAnsi="Arial" w:cs="Arial"/>
                <w:color w:val="000000"/>
                <w:sz w:val="18"/>
                <w:szCs w:val="18"/>
              </w:rPr>
              <w:t>Murino</w:t>
            </w:r>
          </w:p>
        </w:tc>
        <w:tc>
          <w:tcPr>
            <w:tcW w:w="993"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374</w:t>
            </w:r>
          </w:p>
        </w:tc>
        <w:tc>
          <w:tcPr>
            <w:tcW w:w="967"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3</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18</w:t>
            </w:r>
          </w:p>
        </w:tc>
        <w:tc>
          <w:tcPr>
            <w:tcW w:w="192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32</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85</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217</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19</w:t>
            </w:r>
          </w:p>
        </w:tc>
      </w:tr>
      <w:tr w:rsidR="00EB254F" w:rsidRPr="00EB254F" w:rsidTr="00906036">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rPr>
                <w:rFonts w:ascii="Arial" w:eastAsia="Times New Roman" w:hAnsi="Arial" w:cs="Arial"/>
                <w:color w:val="000000"/>
                <w:sz w:val="18"/>
                <w:szCs w:val="18"/>
              </w:rPr>
            </w:pPr>
            <w:r w:rsidRPr="00EB254F">
              <w:rPr>
                <w:rFonts w:ascii="Arial" w:eastAsia="Times New Roman" w:hAnsi="Arial" w:cs="Arial"/>
                <w:color w:val="000000"/>
                <w:sz w:val="18"/>
                <w:szCs w:val="18"/>
              </w:rPr>
              <w:t>Novšici</w:t>
            </w:r>
          </w:p>
        </w:tc>
        <w:tc>
          <w:tcPr>
            <w:tcW w:w="993"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50</w:t>
            </w:r>
          </w:p>
        </w:tc>
        <w:tc>
          <w:tcPr>
            <w:tcW w:w="967" w:type="dxa"/>
            <w:tcBorders>
              <w:top w:val="nil"/>
              <w:left w:val="nil"/>
              <w:bottom w:val="single" w:sz="4" w:space="0" w:color="auto"/>
              <w:right w:val="single" w:sz="4" w:space="0" w:color="auto"/>
            </w:tcBorders>
            <w:shd w:val="clear" w:color="auto" w:fill="auto"/>
            <w:noWrap/>
            <w:vAlign w:val="bottom"/>
            <w:hideMark/>
          </w:tcPr>
          <w:p w:rsidR="00EB254F" w:rsidRPr="00EB254F" w:rsidRDefault="00EB254F" w:rsidP="00EB254F">
            <w:pPr>
              <w:spacing w:after="0" w:line="240" w:lineRule="auto"/>
              <w:rPr>
                <w:rFonts w:ascii="Arial" w:eastAsia="Times New Roman" w:hAnsi="Arial" w:cs="Arial"/>
                <w:color w:val="000000"/>
                <w:sz w:val="18"/>
                <w:szCs w:val="18"/>
              </w:rPr>
            </w:pPr>
            <w:r w:rsidRPr="00EB254F">
              <w:rPr>
                <w:rFonts w:ascii="Arial" w:eastAsia="Times New Roman" w:hAnsi="Arial" w:cs="Arial"/>
                <w:color w:val="000000"/>
                <w:sz w:val="18"/>
                <w:szCs w:val="18"/>
              </w:rPr>
              <w:t> </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7</w:t>
            </w:r>
          </w:p>
        </w:tc>
        <w:tc>
          <w:tcPr>
            <w:tcW w:w="192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11</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16</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9</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7</w:t>
            </w:r>
          </w:p>
        </w:tc>
      </w:tr>
      <w:tr w:rsidR="00EB254F" w:rsidRPr="00EB254F" w:rsidTr="00906036">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rPr>
                <w:rFonts w:ascii="Arial" w:eastAsia="Times New Roman" w:hAnsi="Arial" w:cs="Arial"/>
                <w:color w:val="000000"/>
                <w:sz w:val="18"/>
                <w:szCs w:val="18"/>
              </w:rPr>
            </w:pPr>
            <w:r w:rsidRPr="00EB254F">
              <w:rPr>
                <w:rFonts w:ascii="Arial" w:eastAsia="Times New Roman" w:hAnsi="Arial" w:cs="Arial"/>
                <w:color w:val="000000"/>
                <w:sz w:val="18"/>
                <w:szCs w:val="18"/>
              </w:rPr>
              <w:t>Plav</w:t>
            </w:r>
          </w:p>
        </w:tc>
        <w:tc>
          <w:tcPr>
            <w:tcW w:w="993"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2857</w:t>
            </w:r>
          </w:p>
        </w:tc>
        <w:tc>
          <w:tcPr>
            <w:tcW w:w="967"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10</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93</w:t>
            </w:r>
          </w:p>
        </w:tc>
        <w:tc>
          <w:tcPr>
            <w:tcW w:w="192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331</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832</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1238</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353</w:t>
            </w:r>
          </w:p>
        </w:tc>
      </w:tr>
      <w:tr w:rsidR="00EB254F" w:rsidRPr="00EB254F" w:rsidTr="00906036">
        <w:trPr>
          <w:trHeight w:val="300"/>
        </w:trPr>
        <w:tc>
          <w:tcPr>
            <w:tcW w:w="1540" w:type="dxa"/>
            <w:tcBorders>
              <w:top w:val="nil"/>
              <w:left w:val="single" w:sz="4" w:space="0" w:color="auto"/>
              <w:bottom w:val="single" w:sz="4" w:space="0" w:color="auto"/>
              <w:right w:val="single" w:sz="4" w:space="0" w:color="auto"/>
            </w:tcBorders>
            <w:shd w:val="clear" w:color="000000" w:fill="FFFF00"/>
            <w:vAlign w:val="bottom"/>
            <w:hideMark/>
          </w:tcPr>
          <w:p w:rsidR="00EB254F" w:rsidRPr="00EB254F" w:rsidRDefault="00EB254F" w:rsidP="00EB254F">
            <w:pPr>
              <w:spacing w:after="0" w:line="240" w:lineRule="auto"/>
              <w:rPr>
                <w:rFonts w:ascii="Arial" w:eastAsia="Times New Roman" w:hAnsi="Arial" w:cs="Arial"/>
                <w:color w:val="000000"/>
                <w:sz w:val="18"/>
                <w:szCs w:val="18"/>
              </w:rPr>
            </w:pPr>
            <w:r w:rsidRPr="00EB254F">
              <w:rPr>
                <w:rFonts w:ascii="Arial" w:eastAsia="Times New Roman" w:hAnsi="Arial" w:cs="Arial"/>
                <w:color w:val="000000"/>
                <w:sz w:val="18"/>
                <w:szCs w:val="18"/>
              </w:rPr>
              <w:t>Prnjavor</w:t>
            </w:r>
          </w:p>
        </w:tc>
        <w:tc>
          <w:tcPr>
            <w:tcW w:w="993"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736</w:t>
            </w:r>
          </w:p>
        </w:tc>
        <w:tc>
          <w:tcPr>
            <w:tcW w:w="967"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52</w:t>
            </w:r>
          </w:p>
        </w:tc>
        <w:tc>
          <w:tcPr>
            <w:tcW w:w="192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114</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212</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286</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70</w:t>
            </w:r>
          </w:p>
        </w:tc>
      </w:tr>
      <w:tr w:rsidR="00EB254F" w:rsidRPr="00EB254F" w:rsidTr="00906036">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rPr>
                <w:rFonts w:ascii="Arial" w:eastAsia="Times New Roman" w:hAnsi="Arial" w:cs="Arial"/>
                <w:color w:val="000000"/>
                <w:sz w:val="18"/>
                <w:szCs w:val="18"/>
              </w:rPr>
            </w:pPr>
            <w:r w:rsidRPr="00EB254F">
              <w:rPr>
                <w:rFonts w:ascii="Arial" w:eastAsia="Times New Roman" w:hAnsi="Arial" w:cs="Arial"/>
                <w:color w:val="000000"/>
                <w:sz w:val="18"/>
                <w:szCs w:val="18"/>
              </w:rPr>
              <w:t>Skic</w:t>
            </w:r>
          </w:p>
        </w:tc>
        <w:tc>
          <w:tcPr>
            <w:tcW w:w="993"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232</w:t>
            </w:r>
          </w:p>
        </w:tc>
        <w:tc>
          <w:tcPr>
            <w:tcW w:w="967"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3</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11</w:t>
            </w:r>
          </w:p>
        </w:tc>
        <w:tc>
          <w:tcPr>
            <w:tcW w:w="192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44</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86</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78</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10</w:t>
            </w:r>
          </w:p>
        </w:tc>
      </w:tr>
      <w:tr w:rsidR="00EB254F" w:rsidRPr="00EB254F" w:rsidTr="00906036">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rPr>
                <w:rFonts w:ascii="Arial" w:eastAsia="Times New Roman" w:hAnsi="Arial" w:cs="Arial"/>
                <w:color w:val="000000"/>
                <w:sz w:val="18"/>
                <w:szCs w:val="18"/>
              </w:rPr>
            </w:pPr>
            <w:r w:rsidRPr="00EB254F">
              <w:rPr>
                <w:rFonts w:ascii="Arial" w:eastAsia="Times New Roman" w:hAnsi="Arial" w:cs="Arial"/>
                <w:color w:val="000000"/>
                <w:sz w:val="18"/>
                <w:szCs w:val="18"/>
              </w:rPr>
              <w:t>Velika</w:t>
            </w:r>
          </w:p>
        </w:tc>
        <w:tc>
          <w:tcPr>
            <w:tcW w:w="993"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257</w:t>
            </w:r>
          </w:p>
        </w:tc>
        <w:tc>
          <w:tcPr>
            <w:tcW w:w="967"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15</w:t>
            </w:r>
          </w:p>
        </w:tc>
        <w:tc>
          <w:tcPr>
            <w:tcW w:w="192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50</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78</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99</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14</w:t>
            </w:r>
          </w:p>
        </w:tc>
      </w:tr>
      <w:tr w:rsidR="00EB254F" w:rsidRPr="00EB254F" w:rsidTr="00906036">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rPr>
                <w:rFonts w:ascii="Arial" w:eastAsia="Times New Roman" w:hAnsi="Arial" w:cs="Arial"/>
                <w:color w:val="000000"/>
                <w:sz w:val="18"/>
                <w:szCs w:val="18"/>
              </w:rPr>
            </w:pPr>
            <w:r w:rsidRPr="00EB254F">
              <w:rPr>
                <w:rFonts w:ascii="Arial" w:eastAsia="Times New Roman" w:hAnsi="Arial" w:cs="Arial"/>
                <w:color w:val="000000"/>
                <w:sz w:val="18"/>
                <w:szCs w:val="18"/>
              </w:rPr>
              <w:t>Višnjevo</w:t>
            </w:r>
          </w:p>
        </w:tc>
        <w:tc>
          <w:tcPr>
            <w:tcW w:w="993"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44</w:t>
            </w:r>
          </w:p>
        </w:tc>
        <w:tc>
          <w:tcPr>
            <w:tcW w:w="967"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w:t>
            </w:r>
          </w:p>
        </w:tc>
        <w:tc>
          <w:tcPr>
            <w:tcW w:w="192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9</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11</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13</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8</w:t>
            </w:r>
          </w:p>
        </w:tc>
      </w:tr>
      <w:tr w:rsidR="00EB254F" w:rsidRPr="00EB254F" w:rsidTr="00906036">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rPr>
                <w:rFonts w:ascii="Arial" w:eastAsia="Times New Roman" w:hAnsi="Arial" w:cs="Arial"/>
                <w:color w:val="000000"/>
                <w:sz w:val="18"/>
                <w:szCs w:val="18"/>
              </w:rPr>
            </w:pPr>
            <w:r w:rsidRPr="00EB254F">
              <w:rPr>
                <w:rFonts w:ascii="Arial" w:eastAsia="Times New Roman" w:hAnsi="Arial" w:cs="Arial"/>
                <w:color w:val="000000"/>
                <w:sz w:val="18"/>
                <w:szCs w:val="18"/>
              </w:rPr>
              <w:t>Vojno Selo</w:t>
            </w:r>
          </w:p>
        </w:tc>
        <w:tc>
          <w:tcPr>
            <w:tcW w:w="993"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505</w:t>
            </w:r>
          </w:p>
        </w:tc>
        <w:tc>
          <w:tcPr>
            <w:tcW w:w="967"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3</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21</w:t>
            </w:r>
          </w:p>
        </w:tc>
        <w:tc>
          <w:tcPr>
            <w:tcW w:w="192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87</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156</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188</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50</w:t>
            </w:r>
          </w:p>
        </w:tc>
      </w:tr>
      <w:tr w:rsidR="00EB254F" w:rsidRPr="00EB254F" w:rsidTr="00906036">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rPr>
                <w:rFonts w:ascii="Arial" w:eastAsia="Times New Roman" w:hAnsi="Arial" w:cs="Arial"/>
                <w:color w:val="000000"/>
                <w:sz w:val="18"/>
                <w:szCs w:val="18"/>
              </w:rPr>
            </w:pPr>
            <w:r w:rsidRPr="00EB254F">
              <w:rPr>
                <w:rFonts w:ascii="Arial" w:eastAsia="Times New Roman" w:hAnsi="Arial" w:cs="Arial"/>
                <w:color w:val="000000"/>
                <w:sz w:val="18"/>
                <w:szCs w:val="18"/>
              </w:rPr>
              <w:t>Vusanje</w:t>
            </w:r>
          </w:p>
        </w:tc>
        <w:tc>
          <w:tcPr>
            <w:tcW w:w="993"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487</w:t>
            </w:r>
          </w:p>
        </w:tc>
        <w:tc>
          <w:tcPr>
            <w:tcW w:w="967"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7</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23</w:t>
            </w:r>
          </w:p>
        </w:tc>
        <w:tc>
          <w:tcPr>
            <w:tcW w:w="192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31</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148</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224</w:t>
            </w:r>
          </w:p>
        </w:tc>
        <w:tc>
          <w:tcPr>
            <w:tcW w:w="960" w:type="dxa"/>
            <w:tcBorders>
              <w:top w:val="nil"/>
              <w:left w:val="nil"/>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right"/>
              <w:rPr>
                <w:rFonts w:ascii="Arial" w:eastAsia="Times New Roman" w:hAnsi="Arial" w:cs="Arial"/>
                <w:color w:val="000000"/>
                <w:sz w:val="18"/>
                <w:szCs w:val="18"/>
              </w:rPr>
            </w:pPr>
            <w:r w:rsidRPr="00EB254F">
              <w:rPr>
                <w:rFonts w:ascii="Arial" w:eastAsia="Times New Roman" w:hAnsi="Arial" w:cs="Arial"/>
                <w:color w:val="000000"/>
                <w:sz w:val="18"/>
                <w:szCs w:val="18"/>
              </w:rPr>
              <w:t>54</w:t>
            </w:r>
          </w:p>
        </w:tc>
      </w:tr>
      <w:tr w:rsidR="00EB254F" w:rsidRPr="00EB254F" w:rsidTr="00906036">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EB254F" w:rsidRPr="00EB254F" w:rsidRDefault="00EB254F" w:rsidP="00EB254F">
            <w:pPr>
              <w:spacing w:after="0" w:line="240" w:lineRule="auto"/>
              <w:jc w:val="center"/>
              <w:rPr>
                <w:rFonts w:ascii="Arial" w:eastAsia="Times New Roman" w:hAnsi="Arial" w:cs="Arial"/>
                <w:b/>
                <w:bCs/>
                <w:color w:val="000000"/>
                <w:sz w:val="18"/>
                <w:szCs w:val="18"/>
              </w:rPr>
            </w:pPr>
            <w:r w:rsidRPr="00EB254F">
              <w:rPr>
                <w:rFonts w:ascii="Arial" w:eastAsia="Times New Roman" w:hAnsi="Arial" w:cs="Arial"/>
                <w:b/>
                <w:bCs/>
                <w:color w:val="000000"/>
                <w:sz w:val="18"/>
                <w:szCs w:val="18"/>
              </w:rPr>
              <w:t>Ukupno opština</w:t>
            </w:r>
          </w:p>
        </w:tc>
        <w:tc>
          <w:tcPr>
            <w:tcW w:w="993" w:type="dxa"/>
            <w:tcBorders>
              <w:top w:val="nil"/>
              <w:left w:val="nil"/>
              <w:bottom w:val="single" w:sz="4" w:space="0" w:color="auto"/>
              <w:right w:val="single" w:sz="4" w:space="0" w:color="auto"/>
            </w:tcBorders>
            <w:shd w:val="clear" w:color="auto" w:fill="auto"/>
            <w:noWrap/>
            <w:vAlign w:val="bottom"/>
            <w:hideMark/>
          </w:tcPr>
          <w:p w:rsidR="00EB254F" w:rsidRPr="00EB254F" w:rsidRDefault="00EB254F" w:rsidP="00EB254F">
            <w:pPr>
              <w:spacing w:after="0" w:line="240" w:lineRule="auto"/>
              <w:jc w:val="right"/>
              <w:rPr>
                <w:rFonts w:ascii="Calibri" w:eastAsia="Times New Roman" w:hAnsi="Calibri" w:cs="Times New Roman"/>
                <w:b/>
                <w:bCs/>
                <w:color w:val="000000"/>
              </w:rPr>
            </w:pPr>
            <w:r w:rsidRPr="00EB254F">
              <w:rPr>
                <w:rFonts w:ascii="Calibri" w:eastAsia="Times New Roman" w:hAnsi="Calibri" w:cs="Times New Roman"/>
                <w:b/>
                <w:bCs/>
                <w:color w:val="000000"/>
              </w:rPr>
              <w:t>10,203</w:t>
            </w:r>
          </w:p>
        </w:tc>
        <w:tc>
          <w:tcPr>
            <w:tcW w:w="967" w:type="dxa"/>
            <w:tcBorders>
              <w:top w:val="nil"/>
              <w:left w:val="nil"/>
              <w:bottom w:val="single" w:sz="4" w:space="0" w:color="auto"/>
              <w:right w:val="single" w:sz="4" w:space="0" w:color="auto"/>
            </w:tcBorders>
            <w:shd w:val="clear" w:color="auto" w:fill="auto"/>
            <w:noWrap/>
            <w:vAlign w:val="bottom"/>
            <w:hideMark/>
          </w:tcPr>
          <w:p w:rsidR="00EB254F" w:rsidRPr="00EB254F" w:rsidRDefault="00EB254F" w:rsidP="00EB254F">
            <w:pPr>
              <w:spacing w:after="0" w:line="240" w:lineRule="auto"/>
              <w:jc w:val="right"/>
              <w:rPr>
                <w:rFonts w:ascii="Calibri" w:eastAsia="Times New Roman" w:hAnsi="Calibri" w:cs="Times New Roman"/>
                <w:b/>
                <w:bCs/>
                <w:color w:val="000000"/>
              </w:rPr>
            </w:pPr>
            <w:r w:rsidRPr="00EB254F">
              <w:rPr>
                <w:rFonts w:ascii="Calibri" w:eastAsia="Times New Roman" w:hAnsi="Calibri" w:cs="Times New Roman"/>
                <w:b/>
                <w:bCs/>
                <w:color w:val="000000"/>
              </w:rPr>
              <w:t>64</w:t>
            </w:r>
          </w:p>
        </w:tc>
        <w:tc>
          <w:tcPr>
            <w:tcW w:w="960" w:type="dxa"/>
            <w:tcBorders>
              <w:top w:val="nil"/>
              <w:left w:val="nil"/>
              <w:bottom w:val="single" w:sz="4" w:space="0" w:color="auto"/>
              <w:right w:val="single" w:sz="4" w:space="0" w:color="auto"/>
            </w:tcBorders>
            <w:shd w:val="clear" w:color="auto" w:fill="auto"/>
            <w:noWrap/>
            <w:vAlign w:val="bottom"/>
            <w:hideMark/>
          </w:tcPr>
          <w:p w:rsidR="00EB254F" w:rsidRPr="00EB254F" w:rsidRDefault="00EB254F" w:rsidP="00EB254F">
            <w:pPr>
              <w:spacing w:after="0" w:line="240" w:lineRule="auto"/>
              <w:jc w:val="right"/>
              <w:rPr>
                <w:rFonts w:ascii="Calibri" w:eastAsia="Times New Roman" w:hAnsi="Calibri" w:cs="Times New Roman"/>
                <w:b/>
                <w:bCs/>
                <w:color w:val="000000"/>
              </w:rPr>
            </w:pPr>
            <w:r w:rsidRPr="00EB254F">
              <w:rPr>
                <w:rFonts w:ascii="Calibri" w:eastAsia="Times New Roman" w:hAnsi="Calibri" w:cs="Times New Roman"/>
                <w:b/>
                <w:bCs/>
                <w:color w:val="000000"/>
              </w:rPr>
              <w:t>457</w:t>
            </w:r>
          </w:p>
        </w:tc>
        <w:tc>
          <w:tcPr>
            <w:tcW w:w="1920" w:type="dxa"/>
            <w:tcBorders>
              <w:top w:val="nil"/>
              <w:left w:val="nil"/>
              <w:bottom w:val="single" w:sz="4" w:space="0" w:color="auto"/>
              <w:right w:val="single" w:sz="4" w:space="0" w:color="auto"/>
            </w:tcBorders>
            <w:shd w:val="clear" w:color="auto" w:fill="auto"/>
            <w:noWrap/>
            <w:vAlign w:val="bottom"/>
            <w:hideMark/>
          </w:tcPr>
          <w:p w:rsidR="00EB254F" w:rsidRPr="00EB254F" w:rsidRDefault="00EB254F" w:rsidP="00EB254F">
            <w:pPr>
              <w:spacing w:after="0" w:line="240" w:lineRule="auto"/>
              <w:jc w:val="right"/>
              <w:rPr>
                <w:rFonts w:ascii="Calibri" w:eastAsia="Times New Roman" w:hAnsi="Calibri" w:cs="Times New Roman"/>
                <w:b/>
                <w:bCs/>
                <w:color w:val="000000"/>
              </w:rPr>
            </w:pPr>
            <w:r w:rsidRPr="00EB254F">
              <w:rPr>
                <w:rFonts w:ascii="Calibri" w:eastAsia="Times New Roman" w:hAnsi="Calibri" w:cs="Times New Roman"/>
                <w:b/>
                <w:bCs/>
                <w:color w:val="000000"/>
              </w:rPr>
              <w:t>1,431</w:t>
            </w:r>
          </w:p>
        </w:tc>
        <w:tc>
          <w:tcPr>
            <w:tcW w:w="960" w:type="dxa"/>
            <w:tcBorders>
              <w:top w:val="nil"/>
              <w:left w:val="nil"/>
              <w:bottom w:val="single" w:sz="4" w:space="0" w:color="auto"/>
              <w:right w:val="single" w:sz="4" w:space="0" w:color="auto"/>
            </w:tcBorders>
            <w:shd w:val="clear" w:color="auto" w:fill="auto"/>
            <w:noWrap/>
            <w:vAlign w:val="bottom"/>
            <w:hideMark/>
          </w:tcPr>
          <w:p w:rsidR="00EB254F" w:rsidRPr="00EB254F" w:rsidRDefault="00EB254F" w:rsidP="00EB254F">
            <w:pPr>
              <w:spacing w:after="0" w:line="240" w:lineRule="auto"/>
              <w:jc w:val="right"/>
              <w:rPr>
                <w:rFonts w:ascii="Calibri" w:eastAsia="Times New Roman" w:hAnsi="Calibri" w:cs="Times New Roman"/>
                <w:b/>
                <w:bCs/>
                <w:color w:val="000000"/>
              </w:rPr>
            </w:pPr>
            <w:r w:rsidRPr="00EB254F">
              <w:rPr>
                <w:rFonts w:ascii="Calibri" w:eastAsia="Times New Roman" w:hAnsi="Calibri" w:cs="Times New Roman"/>
                <w:b/>
                <w:bCs/>
                <w:color w:val="000000"/>
              </w:rPr>
              <w:t>3,160</w:t>
            </w:r>
          </w:p>
        </w:tc>
        <w:tc>
          <w:tcPr>
            <w:tcW w:w="960" w:type="dxa"/>
            <w:tcBorders>
              <w:top w:val="nil"/>
              <w:left w:val="nil"/>
              <w:bottom w:val="single" w:sz="4" w:space="0" w:color="auto"/>
              <w:right w:val="single" w:sz="4" w:space="0" w:color="auto"/>
            </w:tcBorders>
            <w:shd w:val="clear" w:color="auto" w:fill="auto"/>
            <w:noWrap/>
            <w:vAlign w:val="bottom"/>
            <w:hideMark/>
          </w:tcPr>
          <w:p w:rsidR="00EB254F" w:rsidRPr="00EB254F" w:rsidRDefault="00EB254F" w:rsidP="00EB254F">
            <w:pPr>
              <w:spacing w:after="0" w:line="240" w:lineRule="auto"/>
              <w:jc w:val="right"/>
              <w:rPr>
                <w:rFonts w:ascii="Calibri" w:eastAsia="Times New Roman" w:hAnsi="Calibri" w:cs="Times New Roman"/>
                <w:b/>
                <w:bCs/>
                <w:color w:val="000000"/>
              </w:rPr>
            </w:pPr>
            <w:r w:rsidRPr="00EB254F">
              <w:rPr>
                <w:rFonts w:ascii="Calibri" w:eastAsia="Times New Roman" w:hAnsi="Calibri" w:cs="Times New Roman"/>
                <w:b/>
                <w:bCs/>
                <w:color w:val="000000"/>
              </w:rPr>
              <w:t>4,095</w:t>
            </w:r>
          </w:p>
        </w:tc>
        <w:tc>
          <w:tcPr>
            <w:tcW w:w="960" w:type="dxa"/>
            <w:tcBorders>
              <w:top w:val="nil"/>
              <w:left w:val="nil"/>
              <w:bottom w:val="single" w:sz="4" w:space="0" w:color="auto"/>
              <w:right w:val="single" w:sz="4" w:space="0" w:color="auto"/>
            </w:tcBorders>
            <w:shd w:val="clear" w:color="auto" w:fill="auto"/>
            <w:noWrap/>
            <w:vAlign w:val="bottom"/>
            <w:hideMark/>
          </w:tcPr>
          <w:p w:rsidR="00EB254F" w:rsidRPr="00EB254F" w:rsidRDefault="00EB254F" w:rsidP="00EB254F">
            <w:pPr>
              <w:spacing w:after="0" w:line="240" w:lineRule="auto"/>
              <w:jc w:val="right"/>
              <w:rPr>
                <w:rFonts w:ascii="Calibri" w:eastAsia="Times New Roman" w:hAnsi="Calibri" w:cs="Times New Roman"/>
                <w:b/>
                <w:bCs/>
                <w:color w:val="000000"/>
              </w:rPr>
            </w:pPr>
            <w:r w:rsidRPr="00EB254F">
              <w:rPr>
                <w:rFonts w:ascii="Calibri" w:eastAsia="Times New Roman" w:hAnsi="Calibri" w:cs="Times New Roman"/>
                <w:b/>
                <w:bCs/>
                <w:color w:val="000000"/>
              </w:rPr>
              <w:t>996</w:t>
            </w:r>
          </w:p>
        </w:tc>
      </w:tr>
      <w:tr w:rsidR="00EB254F" w:rsidRPr="00EB254F" w:rsidTr="00906036">
        <w:trPr>
          <w:trHeight w:val="300"/>
        </w:trPr>
        <w:tc>
          <w:tcPr>
            <w:tcW w:w="1540" w:type="dxa"/>
            <w:tcBorders>
              <w:top w:val="nil"/>
              <w:left w:val="single" w:sz="4" w:space="0" w:color="auto"/>
              <w:bottom w:val="single" w:sz="4" w:space="0" w:color="auto"/>
              <w:right w:val="single" w:sz="4" w:space="0" w:color="auto"/>
            </w:tcBorders>
            <w:shd w:val="clear" w:color="auto" w:fill="auto"/>
            <w:vAlign w:val="bottom"/>
            <w:hideMark/>
          </w:tcPr>
          <w:p w:rsidR="00EB254F" w:rsidRPr="00EB254F" w:rsidRDefault="00EB254F" w:rsidP="00EB254F">
            <w:pPr>
              <w:spacing w:after="0" w:line="240" w:lineRule="auto"/>
              <w:jc w:val="center"/>
              <w:rPr>
                <w:rFonts w:ascii="Arial" w:eastAsia="Times New Roman" w:hAnsi="Arial" w:cs="Arial"/>
                <w:b/>
                <w:bCs/>
                <w:color w:val="000000"/>
                <w:sz w:val="18"/>
                <w:szCs w:val="18"/>
              </w:rPr>
            </w:pPr>
            <w:r w:rsidRPr="00EB254F">
              <w:rPr>
                <w:rFonts w:ascii="Arial" w:eastAsia="Times New Roman" w:hAnsi="Arial" w:cs="Arial"/>
                <w:b/>
                <w:bCs/>
                <w:color w:val="000000"/>
                <w:sz w:val="18"/>
                <w:szCs w:val="18"/>
              </w:rPr>
              <w:t>U %</w:t>
            </w:r>
          </w:p>
        </w:tc>
        <w:tc>
          <w:tcPr>
            <w:tcW w:w="993" w:type="dxa"/>
            <w:tcBorders>
              <w:top w:val="nil"/>
              <w:left w:val="nil"/>
              <w:bottom w:val="single" w:sz="4" w:space="0" w:color="auto"/>
              <w:right w:val="single" w:sz="4" w:space="0" w:color="auto"/>
            </w:tcBorders>
            <w:shd w:val="clear" w:color="auto" w:fill="auto"/>
            <w:noWrap/>
            <w:vAlign w:val="bottom"/>
            <w:hideMark/>
          </w:tcPr>
          <w:p w:rsidR="00EB254F" w:rsidRPr="00EB254F" w:rsidRDefault="00EB254F" w:rsidP="00EB254F">
            <w:pPr>
              <w:spacing w:after="0" w:line="240" w:lineRule="auto"/>
              <w:jc w:val="right"/>
              <w:rPr>
                <w:rFonts w:ascii="Calibri" w:eastAsia="Times New Roman" w:hAnsi="Calibri" w:cs="Times New Roman"/>
                <w:b/>
                <w:bCs/>
                <w:color w:val="000000"/>
              </w:rPr>
            </w:pPr>
            <w:r w:rsidRPr="00EB254F">
              <w:rPr>
                <w:rFonts w:ascii="Calibri" w:eastAsia="Times New Roman" w:hAnsi="Calibri" w:cs="Times New Roman"/>
                <w:b/>
                <w:bCs/>
                <w:color w:val="000000"/>
              </w:rPr>
              <w:t>100.00%</w:t>
            </w:r>
          </w:p>
        </w:tc>
        <w:tc>
          <w:tcPr>
            <w:tcW w:w="967" w:type="dxa"/>
            <w:tcBorders>
              <w:top w:val="nil"/>
              <w:left w:val="nil"/>
              <w:bottom w:val="single" w:sz="4" w:space="0" w:color="auto"/>
              <w:right w:val="single" w:sz="4" w:space="0" w:color="auto"/>
            </w:tcBorders>
            <w:shd w:val="clear" w:color="auto" w:fill="auto"/>
            <w:noWrap/>
            <w:vAlign w:val="bottom"/>
            <w:hideMark/>
          </w:tcPr>
          <w:p w:rsidR="00EB254F" w:rsidRPr="00EB254F" w:rsidRDefault="00EB254F" w:rsidP="00EB254F">
            <w:pPr>
              <w:spacing w:after="0" w:line="240" w:lineRule="auto"/>
              <w:jc w:val="right"/>
              <w:rPr>
                <w:rFonts w:ascii="Calibri" w:eastAsia="Times New Roman" w:hAnsi="Calibri" w:cs="Times New Roman"/>
                <w:b/>
                <w:bCs/>
                <w:color w:val="000000"/>
              </w:rPr>
            </w:pPr>
            <w:r w:rsidRPr="00EB254F">
              <w:rPr>
                <w:rFonts w:ascii="Calibri" w:eastAsia="Times New Roman" w:hAnsi="Calibri" w:cs="Times New Roman"/>
                <w:b/>
                <w:bCs/>
                <w:color w:val="000000"/>
              </w:rPr>
              <w:t>0.63%</w:t>
            </w:r>
          </w:p>
        </w:tc>
        <w:tc>
          <w:tcPr>
            <w:tcW w:w="960" w:type="dxa"/>
            <w:tcBorders>
              <w:top w:val="nil"/>
              <w:left w:val="nil"/>
              <w:bottom w:val="single" w:sz="4" w:space="0" w:color="auto"/>
              <w:right w:val="single" w:sz="4" w:space="0" w:color="auto"/>
            </w:tcBorders>
            <w:shd w:val="clear" w:color="auto" w:fill="auto"/>
            <w:noWrap/>
            <w:vAlign w:val="bottom"/>
            <w:hideMark/>
          </w:tcPr>
          <w:p w:rsidR="00EB254F" w:rsidRPr="00EB254F" w:rsidRDefault="00EB254F" w:rsidP="00EB254F">
            <w:pPr>
              <w:spacing w:after="0" w:line="240" w:lineRule="auto"/>
              <w:jc w:val="right"/>
              <w:rPr>
                <w:rFonts w:ascii="Calibri" w:eastAsia="Times New Roman" w:hAnsi="Calibri" w:cs="Times New Roman"/>
                <w:b/>
                <w:bCs/>
                <w:color w:val="000000"/>
              </w:rPr>
            </w:pPr>
            <w:r w:rsidRPr="00EB254F">
              <w:rPr>
                <w:rFonts w:ascii="Calibri" w:eastAsia="Times New Roman" w:hAnsi="Calibri" w:cs="Times New Roman"/>
                <w:b/>
                <w:bCs/>
                <w:color w:val="000000"/>
              </w:rPr>
              <w:t>4.48%</w:t>
            </w:r>
          </w:p>
        </w:tc>
        <w:tc>
          <w:tcPr>
            <w:tcW w:w="1920" w:type="dxa"/>
            <w:tcBorders>
              <w:top w:val="nil"/>
              <w:left w:val="nil"/>
              <w:bottom w:val="single" w:sz="4" w:space="0" w:color="auto"/>
              <w:right w:val="single" w:sz="4" w:space="0" w:color="auto"/>
            </w:tcBorders>
            <w:shd w:val="clear" w:color="auto" w:fill="auto"/>
            <w:noWrap/>
            <w:vAlign w:val="bottom"/>
            <w:hideMark/>
          </w:tcPr>
          <w:p w:rsidR="00EB254F" w:rsidRPr="00EB254F" w:rsidRDefault="00EB254F" w:rsidP="00EB254F">
            <w:pPr>
              <w:spacing w:after="0" w:line="240" w:lineRule="auto"/>
              <w:jc w:val="right"/>
              <w:rPr>
                <w:rFonts w:ascii="Calibri" w:eastAsia="Times New Roman" w:hAnsi="Calibri" w:cs="Times New Roman"/>
                <w:b/>
                <w:bCs/>
                <w:color w:val="000000"/>
              </w:rPr>
            </w:pPr>
            <w:r w:rsidRPr="00EB254F">
              <w:rPr>
                <w:rFonts w:ascii="Calibri" w:eastAsia="Times New Roman" w:hAnsi="Calibri" w:cs="Times New Roman"/>
                <w:b/>
                <w:bCs/>
                <w:color w:val="000000"/>
              </w:rPr>
              <w:t>14.03%</w:t>
            </w:r>
          </w:p>
        </w:tc>
        <w:tc>
          <w:tcPr>
            <w:tcW w:w="960" w:type="dxa"/>
            <w:tcBorders>
              <w:top w:val="nil"/>
              <w:left w:val="nil"/>
              <w:bottom w:val="single" w:sz="4" w:space="0" w:color="auto"/>
              <w:right w:val="single" w:sz="4" w:space="0" w:color="auto"/>
            </w:tcBorders>
            <w:shd w:val="clear" w:color="auto" w:fill="auto"/>
            <w:noWrap/>
            <w:vAlign w:val="bottom"/>
            <w:hideMark/>
          </w:tcPr>
          <w:p w:rsidR="00EB254F" w:rsidRPr="00EB254F" w:rsidRDefault="00EB254F" w:rsidP="00EB254F">
            <w:pPr>
              <w:spacing w:after="0" w:line="240" w:lineRule="auto"/>
              <w:jc w:val="right"/>
              <w:rPr>
                <w:rFonts w:ascii="Calibri" w:eastAsia="Times New Roman" w:hAnsi="Calibri" w:cs="Times New Roman"/>
                <w:b/>
                <w:bCs/>
                <w:color w:val="000000"/>
              </w:rPr>
            </w:pPr>
            <w:r w:rsidRPr="00EB254F">
              <w:rPr>
                <w:rFonts w:ascii="Calibri" w:eastAsia="Times New Roman" w:hAnsi="Calibri" w:cs="Times New Roman"/>
                <w:b/>
                <w:bCs/>
                <w:color w:val="000000"/>
              </w:rPr>
              <w:t>30.97%</w:t>
            </w:r>
          </w:p>
        </w:tc>
        <w:tc>
          <w:tcPr>
            <w:tcW w:w="960" w:type="dxa"/>
            <w:tcBorders>
              <w:top w:val="nil"/>
              <w:left w:val="nil"/>
              <w:bottom w:val="single" w:sz="4" w:space="0" w:color="auto"/>
              <w:right w:val="single" w:sz="4" w:space="0" w:color="auto"/>
            </w:tcBorders>
            <w:shd w:val="clear" w:color="auto" w:fill="auto"/>
            <w:noWrap/>
            <w:vAlign w:val="bottom"/>
            <w:hideMark/>
          </w:tcPr>
          <w:p w:rsidR="00EB254F" w:rsidRPr="00EB254F" w:rsidRDefault="00EB254F" w:rsidP="00EB254F">
            <w:pPr>
              <w:spacing w:after="0" w:line="240" w:lineRule="auto"/>
              <w:jc w:val="right"/>
              <w:rPr>
                <w:rFonts w:ascii="Calibri" w:eastAsia="Times New Roman" w:hAnsi="Calibri" w:cs="Times New Roman"/>
                <w:b/>
                <w:bCs/>
                <w:color w:val="000000"/>
              </w:rPr>
            </w:pPr>
            <w:r w:rsidRPr="00EB254F">
              <w:rPr>
                <w:rFonts w:ascii="Calibri" w:eastAsia="Times New Roman" w:hAnsi="Calibri" w:cs="Times New Roman"/>
                <w:b/>
                <w:bCs/>
                <w:color w:val="000000"/>
              </w:rPr>
              <w:t>40.14%</w:t>
            </w:r>
          </w:p>
        </w:tc>
        <w:tc>
          <w:tcPr>
            <w:tcW w:w="960" w:type="dxa"/>
            <w:tcBorders>
              <w:top w:val="nil"/>
              <w:left w:val="nil"/>
              <w:bottom w:val="single" w:sz="4" w:space="0" w:color="auto"/>
              <w:right w:val="single" w:sz="4" w:space="0" w:color="auto"/>
            </w:tcBorders>
            <w:shd w:val="clear" w:color="auto" w:fill="auto"/>
            <w:noWrap/>
            <w:vAlign w:val="bottom"/>
            <w:hideMark/>
          </w:tcPr>
          <w:p w:rsidR="00EB254F" w:rsidRPr="00EB254F" w:rsidRDefault="00EB254F" w:rsidP="00EB254F">
            <w:pPr>
              <w:spacing w:after="0" w:line="240" w:lineRule="auto"/>
              <w:jc w:val="right"/>
              <w:rPr>
                <w:rFonts w:ascii="Calibri" w:eastAsia="Times New Roman" w:hAnsi="Calibri" w:cs="Times New Roman"/>
                <w:b/>
                <w:bCs/>
                <w:color w:val="000000"/>
              </w:rPr>
            </w:pPr>
            <w:r w:rsidRPr="00EB254F">
              <w:rPr>
                <w:rFonts w:ascii="Calibri" w:eastAsia="Times New Roman" w:hAnsi="Calibri" w:cs="Times New Roman"/>
                <w:b/>
                <w:bCs/>
                <w:color w:val="000000"/>
              </w:rPr>
              <w:t>9.76%</w:t>
            </w:r>
          </w:p>
        </w:tc>
      </w:tr>
    </w:tbl>
    <w:p w:rsidR="00906036" w:rsidRDefault="00906036" w:rsidP="00906036">
      <w:pPr>
        <w:spacing w:line="276" w:lineRule="auto"/>
      </w:pPr>
      <w:r>
        <w:t xml:space="preserve">Izvor: Monstat; Popis stanovništva Crne Gore 2011. </w:t>
      </w:r>
    </w:p>
    <w:p w:rsidR="002A4DB6" w:rsidRDefault="002A4DB6" w:rsidP="004D1F30">
      <w:pPr>
        <w:spacing w:line="276" w:lineRule="auto"/>
      </w:pPr>
    </w:p>
    <w:p w:rsidR="002A4DB6" w:rsidRDefault="002A4DB6" w:rsidP="004D1F30">
      <w:pPr>
        <w:spacing w:line="276" w:lineRule="auto"/>
      </w:pPr>
    </w:p>
    <w:p w:rsidR="002A4DB6" w:rsidRDefault="002A4DB6" w:rsidP="004D1F30">
      <w:pPr>
        <w:spacing w:line="276" w:lineRule="auto"/>
      </w:pPr>
    </w:p>
    <w:p w:rsidR="003B15B0" w:rsidRDefault="003B15B0" w:rsidP="00281C69">
      <w:pPr>
        <w:spacing w:line="240" w:lineRule="auto"/>
      </w:pPr>
    </w:p>
    <w:p w:rsidR="003B15B0" w:rsidRDefault="003B15B0" w:rsidP="00281C69">
      <w:pPr>
        <w:spacing w:line="240" w:lineRule="auto"/>
      </w:pPr>
    </w:p>
    <w:p w:rsidR="00352C1C" w:rsidRDefault="00905242" w:rsidP="00004BBA">
      <w:pPr>
        <w:spacing w:after="0" w:line="240" w:lineRule="auto"/>
      </w:pPr>
      <w:r>
        <w:t>Tabela 5</w:t>
      </w:r>
      <w:r w:rsidR="00004BBA">
        <w:t xml:space="preserve">: Stanovništvo </w:t>
      </w:r>
      <w:r w:rsidR="003B15B0">
        <w:t xml:space="preserve">naselja </w:t>
      </w:r>
      <w:r w:rsidR="00004BBA">
        <w:t xml:space="preserve">opštine Plav </w:t>
      </w:r>
      <w:r w:rsidR="003B15B0">
        <w:t xml:space="preserve">staro </w:t>
      </w:r>
      <w:r w:rsidR="00004BBA">
        <w:t xml:space="preserve">15+ godina prema aktivnosti </w:t>
      </w:r>
    </w:p>
    <w:tbl>
      <w:tblPr>
        <w:tblW w:w="0" w:type="auto"/>
        <w:tblInd w:w="-5" w:type="dxa"/>
        <w:tblLook w:val="04A0"/>
      </w:tblPr>
      <w:tblGrid>
        <w:gridCol w:w="1236"/>
        <w:gridCol w:w="691"/>
        <w:gridCol w:w="738"/>
        <w:gridCol w:w="994"/>
        <w:gridCol w:w="831"/>
        <w:gridCol w:w="924"/>
        <w:gridCol w:w="776"/>
        <w:gridCol w:w="878"/>
        <w:gridCol w:w="1142"/>
      </w:tblGrid>
      <w:tr w:rsidR="00004BBA" w:rsidRPr="00004BBA" w:rsidTr="00004BBA">
        <w:trPr>
          <w:trHeight w:val="187"/>
        </w:trPr>
        <w:tc>
          <w:tcPr>
            <w:tcW w:w="0" w:type="auto"/>
            <w:vMerge w:val="restart"/>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004BBA" w:rsidRPr="00004BBA" w:rsidRDefault="00004BBA" w:rsidP="00004BBA">
            <w:pPr>
              <w:spacing w:after="0" w:line="240" w:lineRule="auto"/>
              <w:jc w:val="center"/>
              <w:rPr>
                <w:rFonts w:ascii="Arial" w:eastAsia="Times New Roman" w:hAnsi="Arial" w:cs="Arial"/>
                <w:color w:val="000000"/>
                <w:sz w:val="14"/>
                <w:szCs w:val="14"/>
              </w:rPr>
            </w:pPr>
            <w:r w:rsidRPr="00004BBA">
              <w:rPr>
                <w:rFonts w:ascii="Arial" w:eastAsia="Times New Roman" w:hAnsi="Arial" w:cs="Arial"/>
                <w:color w:val="000000"/>
                <w:sz w:val="14"/>
                <w:szCs w:val="14"/>
              </w:rPr>
              <w:t>Naselje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004BBA" w:rsidRPr="00004BBA" w:rsidRDefault="00004BBA" w:rsidP="00004BBA">
            <w:pPr>
              <w:spacing w:after="0" w:line="240" w:lineRule="auto"/>
              <w:jc w:val="center"/>
              <w:rPr>
                <w:rFonts w:ascii="Arial" w:eastAsia="Times New Roman" w:hAnsi="Arial" w:cs="Arial"/>
                <w:color w:val="000000"/>
                <w:sz w:val="14"/>
                <w:szCs w:val="14"/>
              </w:rPr>
            </w:pPr>
            <w:r w:rsidRPr="00004BBA">
              <w:rPr>
                <w:rFonts w:ascii="Arial" w:eastAsia="Times New Roman" w:hAnsi="Arial" w:cs="Arial"/>
                <w:color w:val="000000"/>
                <w:sz w:val="14"/>
                <w:szCs w:val="14"/>
              </w:rPr>
              <w:t>Pol</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004BBA" w:rsidRPr="00004BBA" w:rsidRDefault="00004BBA" w:rsidP="00004BBA">
            <w:pPr>
              <w:spacing w:after="0" w:line="240" w:lineRule="auto"/>
              <w:jc w:val="center"/>
              <w:rPr>
                <w:rFonts w:ascii="Arial" w:eastAsia="Times New Roman" w:hAnsi="Arial" w:cs="Arial"/>
                <w:color w:val="000000"/>
                <w:sz w:val="14"/>
                <w:szCs w:val="14"/>
              </w:rPr>
            </w:pPr>
            <w:r w:rsidRPr="00004BBA">
              <w:rPr>
                <w:rFonts w:ascii="Arial" w:eastAsia="Times New Roman" w:hAnsi="Arial" w:cs="Arial"/>
                <w:color w:val="000000"/>
                <w:sz w:val="14"/>
                <w:szCs w:val="14"/>
              </w:rPr>
              <w:t>Ukupno</w:t>
            </w:r>
          </w:p>
        </w:tc>
        <w:tc>
          <w:tcPr>
            <w:tcW w:w="0" w:type="auto"/>
            <w:gridSpan w:val="2"/>
            <w:tcBorders>
              <w:top w:val="single" w:sz="4" w:space="0" w:color="auto"/>
              <w:left w:val="nil"/>
              <w:bottom w:val="single" w:sz="4" w:space="0" w:color="auto"/>
              <w:right w:val="single" w:sz="4" w:space="0" w:color="auto"/>
            </w:tcBorders>
            <w:shd w:val="clear" w:color="000000" w:fill="F79646"/>
            <w:noWrap/>
            <w:vAlign w:val="center"/>
            <w:hideMark/>
          </w:tcPr>
          <w:p w:rsidR="00004BBA" w:rsidRPr="00004BBA" w:rsidRDefault="00004BBA" w:rsidP="00004BBA">
            <w:pPr>
              <w:spacing w:after="0" w:line="240" w:lineRule="auto"/>
              <w:jc w:val="center"/>
              <w:rPr>
                <w:rFonts w:ascii="Arial" w:eastAsia="Times New Roman" w:hAnsi="Arial" w:cs="Arial"/>
                <w:color w:val="000000"/>
                <w:sz w:val="14"/>
                <w:szCs w:val="14"/>
              </w:rPr>
            </w:pPr>
            <w:r w:rsidRPr="00004BBA">
              <w:rPr>
                <w:rFonts w:ascii="Arial" w:eastAsia="Times New Roman" w:hAnsi="Arial" w:cs="Arial"/>
                <w:color w:val="000000"/>
                <w:sz w:val="14"/>
                <w:szCs w:val="14"/>
              </w:rPr>
              <w:t>Aktivno stanovništvo</w:t>
            </w:r>
          </w:p>
        </w:tc>
        <w:tc>
          <w:tcPr>
            <w:tcW w:w="0" w:type="auto"/>
            <w:gridSpan w:val="3"/>
            <w:tcBorders>
              <w:top w:val="single" w:sz="4" w:space="0" w:color="auto"/>
              <w:left w:val="nil"/>
              <w:bottom w:val="single" w:sz="4" w:space="0" w:color="auto"/>
              <w:right w:val="single" w:sz="4" w:space="0" w:color="auto"/>
            </w:tcBorders>
            <w:shd w:val="clear" w:color="000000" w:fill="F79646"/>
            <w:noWrap/>
            <w:vAlign w:val="center"/>
            <w:hideMark/>
          </w:tcPr>
          <w:p w:rsidR="00004BBA" w:rsidRPr="00004BBA" w:rsidRDefault="00004BBA" w:rsidP="00004BBA">
            <w:pPr>
              <w:spacing w:after="0" w:line="240" w:lineRule="auto"/>
              <w:jc w:val="center"/>
              <w:rPr>
                <w:rFonts w:ascii="Arial" w:eastAsia="Times New Roman" w:hAnsi="Arial" w:cs="Arial"/>
                <w:color w:val="000000"/>
                <w:sz w:val="14"/>
                <w:szCs w:val="14"/>
              </w:rPr>
            </w:pPr>
            <w:r w:rsidRPr="00004BBA">
              <w:rPr>
                <w:rFonts w:ascii="Arial" w:eastAsia="Times New Roman" w:hAnsi="Arial" w:cs="Arial"/>
                <w:color w:val="000000"/>
                <w:sz w:val="14"/>
                <w:szCs w:val="14"/>
              </w:rPr>
              <w:t>Neaktivno stanovništvo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79646"/>
            <w:vAlign w:val="center"/>
            <w:hideMark/>
          </w:tcPr>
          <w:p w:rsidR="00004BBA" w:rsidRPr="00004BBA" w:rsidRDefault="00004BBA" w:rsidP="00004BBA">
            <w:pPr>
              <w:spacing w:after="0" w:line="240" w:lineRule="auto"/>
              <w:jc w:val="center"/>
              <w:rPr>
                <w:rFonts w:ascii="Arial" w:eastAsia="Times New Roman" w:hAnsi="Arial" w:cs="Arial"/>
                <w:color w:val="000000"/>
                <w:sz w:val="14"/>
                <w:szCs w:val="14"/>
              </w:rPr>
            </w:pPr>
            <w:r w:rsidRPr="00004BBA">
              <w:rPr>
                <w:rFonts w:ascii="Arial" w:eastAsia="Times New Roman" w:hAnsi="Arial" w:cs="Arial"/>
                <w:color w:val="000000"/>
                <w:sz w:val="14"/>
                <w:szCs w:val="14"/>
              </w:rPr>
              <w:t>Bez odgovora</w:t>
            </w:r>
          </w:p>
        </w:tc>
      </w:tr>
      <w:tr w:rsidR="00004BBA" w:rsidRPr="00004BBA" w:rsidTr="00004BBA">
        <w:trPr>
          <w:trHeight w:val="1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4BBA" w:rsidRPr="00004BBA" w:rsidRDefault="00004BBA" w:rsidP="00004BBA">
            <w:pPr>
              <w:spacing w:after="0" w:line="240" w:lineRule="auto"/>
              <w:rPr>
                <w:rFonts w:ascii="Arial" w:eastAsia="Times New Roman" w:hAnsi="Arial" w:cs="Arial"/>
                <w:color w:val="000000"/>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4BBA" w:rsidRPr="00004BBA" w:rsidRDefault="00004BBA" w:rsidP="00004BBA">
            <w:pPr>
              <w:spacing w:after="0" w:line="240" w:lineRule="auto"/>
              <w:rPr>
                <w:rFonts w:ascii="Arial" w:eastAsia="Times New Roman" w:hAnsi="Arial" w:cs="Arial"/>
                <w:color w:val="000000"/>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4BBA" w:rsidRPr="00004BBA" w:rsidRDefault="00004BBA" w:rsidP="00004BBA">
            <w:pPr>
              <w:spacing w:after="0" w:line="240" w:lineRule="auto"/>
              <w:rPr>
                <w:rFonts w:ascii="Arial" w:eastAsia="Times New Roman" w:hAnsi="Arial" w:cs="Arial"/>
                <w:color w:val="000000"/>
                <w:sz w:val="14"/>
                <w:szCs w:val="14"/>
              </w:rPr>
            </w:pPr>
          </w:p>
        </w:tc>
        <w:tc>
          <w:tcPr>
            <w:tcW w:w="0" w:type="auto"/>
            <w:tcBorders>
              <w:top w:val="nil"/>
              <w:left w:val="nil"/>
              <w:bottom w:val="single" w:sz="4" w:space="0" w:color="auto"/>
              <w:right w:val="single" w:sz="4" w:space="0" w:color="auto"/>
            </w:tcBorders>
            <w:shd w:val="clear" w:color="000000" w:fill="F79646"/>
            <w:noWrap/>
            <w:vAlign w:val="center"/>
            <w:hideMark/>
          </w:tcPr>
          <w:p w:rsidR="00004BBA" w:rsidRPr="00004BBA" w:rsidRDefault="00004BBA" w:rsidP="00004BBA">
            <w:pPr>
              <w:spacing w:after="0" w:line="240" w:lineRule="auto"/>
              <w:jc w:val="center"/>
              <w:rPr>
                <w:rFonts w:ascii="Arial" w:eastAsia="Times New Roman" w:hAnsi="Arial" w:cs="Arial"/>
                <w:color w:val="000000"/>
                <w:sz w:val="14"/>
                <w:szCs w:val="14"/>
              </w:rPr>
            </w:pPr>
            <w:r w:rsidRPr="00004BBA">
              <w:rPr>
                <w:rFonts w:ascii="Arial" w:eastAsia="Times New Roman" w:hAnsi="Arial" w:cs="Arial"/>
                <w:color w:val="000000"/>
                <w:sz w:val="14"/>
                <w:szCs w:val="14"/>
              </w:rPr>
              <w:t>Nezaposlen</w:t>
            </w:r>
          </w:p>
        </w:tc>
        <w:tc>
          <w:tcPr>
            <w:tcW w:w="0" w:type="auto"/>
            <w:tcBorders>
              <w:top w:val="nil"/>
              <w:left w:val="nil"/>
              <w:bottom w:val="single" w:sz="4" w:space="0" w:color="auto"/>
              <w:right w:val="single" w:sz="4" w:space="0" w:color="auto"/>
            </w:tcBorders>
            <w:shd w:val="clear" w:color="000000" w:fill="F79646"/>
            <w:noWrap/>
            <w:vAlign w:val="center"/>
            <w:hideMark/>
          </w:tcPr>
          <w:p w:rsidR="00004BBA" w:rsidRPr="00004BBA" w:rsidRDefault="00004BBA" w:rsidP="00004BBA">
            <w:pPr>
              <w:spacing w:after="0" w:line="240" w:lineRule="auto"/>
              <w:jc w:val="center"/>
              <w:rPr>
                <w:rFonts w:ascii="Arial" w:eastAsia="Times New Roman" w:hAnsi="Arial" w:cs="Arial"/>
                <w:color w:val="000000"/>
                <w:sz w:val="14"/>
                <w:szCs w:val="14"/>
              </w:rPr>
            </w:pPr>
            <w:r w:rsidRPr="00004BBA">
              <w:rPr>
                <w:rFonts w:ascii="Arial" w:eastAsia="Times New Roman" w:hAnsi="Arial" w:cs="Arial"/>
                <w:color w:val="000000"/>
                <w:sz w:val="14"/>
                <w:szCs w:val="14"/>
              </w:rPr>
              <w:t>Zaposlen</w:t>
            </w:r>
          </w:p>
        </w:tc>
        <w:tc>
          <w:tcPr>
            <w:tcW w:w="0" w:type="auto"/>
            <w:tcBorders>
              <w:top w:val="nil"/>
              <w:left w:val="nil"/>
              <w:bottom w:val="single" w:sz="4" w:space="0" w:color="auto"/>
              <w:right w:val="single" w:sz="4" w:space="0" w:color="auto"/>
            </w:tcBorders>
            <w:shd w:val="clear" w:color="000000" w:fill="F79646"/>
            <w:noWrap/>
            <w:vAlign w:val="center"/>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Penzioneri</w:t>
            </w:r>
          </w:p>
        </w:tc>
        <w:tc>
          <w:tcPr>
            <w:tcW w:w="0" w:type="auto"/>
            <w:tcBorders>
              <w:top w:val="nil"/>
              <w:left w:val="nil"/>
              <w:bottom w:val="single" w:sz="4" w:space="0" w:color="auto"/>
              <w:right w:val="single" w:sz="4" w:space="0" w:color="auto"/>
            </w:tcBorders>
            <w:shd w:val="clear" w:color="000000" w:fill="F79646"/>
            <w:noWrap/>
            <w:vAlign w:val="center"/>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Studenti</w:t>
            </w:r>
          </w:p>
        </w:tc>
        <w:tc>
          <w:tcPr>
            <w:tcW w:w="0" w:type="auto"/>
            <w:tcBorders>
              <w:top w:val="nil"/>
              <w:left w:val="nil"/>
              <w:bottom w:val="single" w:sz="4" w:space="0" w:color="auto"/>
              <w:right w:val="single" w:sz="4" w:space="0" w:color="auto"/>
            </w:tcBorders>
            <w:shd w:val="clear" w:color="000000" w:fill="F79646"/>
            <w:noWrap/>
            <w:vAlign w:val="center"/>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Domaćice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4BBA" w:rsidRPr="00004BBA" w:rsidRDefault="00004BBA" w:rsidP="00004BBA">
            <w:pPr>
              <w:spacing w:after="0" w:line="240" w:lineRule="auto"/>
              <w:rPr>
                <w:rFonts w:ascii="Arial" w:eastAsia="Times New Roman" w:hAnsi="Arial" w:cs="Arial"/>
                <w:color w:val="000000"/>
                <w:sz w:val="14"/>
                <w:szCs w:val="14"/>
              </w:rPr>
            </w:pP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Bogajici</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muško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151</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34</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65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žensko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159</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26</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26</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9</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18</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80</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Brezojevica</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muško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365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74</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105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78</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49</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59</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žensko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368</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55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62</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77</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43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131</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Dolja</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muško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63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11</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47</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žensko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50</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9</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39</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Dosude</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muško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130</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49</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24</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27</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11</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19</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žensko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127</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37</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7</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31</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7</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45</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Ðuricka Rijeka</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muško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92</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7</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14</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6</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52</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žensko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80</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4</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7</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8</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54</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Gornja Rženica</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muško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106</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7</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21</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40</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žensko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100</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12</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58</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Grncar</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muško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72</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7</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7</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44</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žensko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67</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49</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Gusinje</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muško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643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167</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141</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117</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72</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145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žensko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701</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150</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77</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103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71</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300</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Hoti</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muško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72</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4</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48</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žensko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58</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47</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Kolenovici</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muško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64</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4</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53</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žensko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66</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60</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Kruševo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muško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135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12</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19</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76</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žensko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125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8</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24</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8</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80</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Martinovici</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muško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213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181</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8</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10</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4</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žensko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192</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163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6</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6</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Mašnica</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muško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119</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28</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18</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žensko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105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14</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16</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28</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9</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38</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Meteh</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muško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125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44</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12</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14</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10</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45</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žensko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113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29</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4</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73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Murino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muško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176</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58</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36</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29</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17</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žensko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198</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39</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44</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27</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62</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Novšici</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muško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28</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4</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7</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17</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žensko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22</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9</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12</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Plav</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muško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1,421</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362</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337</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225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197</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296</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4</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žensko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1,436</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289</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195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173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163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611</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5</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000000" w:fill="FFFF00"/>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Prnjavor</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muško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372</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88</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67</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40</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46</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129</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000000" w:fill="FFFF00"/>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žensko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364</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77</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28</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28</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54</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177</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Skic</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muško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128</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19</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16</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35</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žensko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104</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9</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7</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11</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17</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60</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Velika</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muško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128</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18</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34</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32</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8</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36</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žensko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129</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11</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24</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16</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65</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Višnjevo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muško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21</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6</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4</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5</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žensko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4</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15</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Vojno Selo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muško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266</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60</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50</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39</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81</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žensko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239</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36</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29</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16</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25</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132</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Vusanje</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muško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254</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34</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17</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28</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34</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140</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color w:val="000000"/>
                <w:sz w:val="14"/>
                <w:szCs w:val="14"/>
              </w:rPr>
            </w:pPr>
            <w:r w:rsidRPr="00004BBA">
              <w:rPr>
                <w:rFonts w:ascii="Arial" w:eastAsia="Times New Roman" w:hAnsi="Arial" w:cs="Arial"/>
                <w:color w:val="000000"/>
                <w:sz w:val="14"/>
                <w:szCs w:val="14"/>
              </w:rPr>
              <w:t>žensko</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233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11</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10</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10</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23</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177</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jc w:val="right"/>
              <w:rPr>
                <w:rFonts w:ascii="Arial" w:eastAsia="Times New Roman" w:hAnsi="Arial" w:cs="Arial"/>
                <w:color w:val="000000"/>
                <w:sz w:val="14"/>
                <w:szCs w:val="14"/>
              </w:rPr>
            </w:pPr>
            <w:r w:rsidRPr="00004BBA">
              <w:rPr>
                <w:rFonts w:ascii="Arial" w:eastAsia="Times New Roman" w:hAnsi="Arial" w:cs="Arial"/>
                <w:color w:val="000000"/>
                <w:sz w:val="14"/>
                <w:szCs w:val="14"/>
              </w:rPr>
              <w:t>2</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Opština Plav</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muško</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5,144</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1,104</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1,194</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794</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579</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1,453</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20</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b/>
                <w:bCs/>
                <w:color w:val="000000"/>
                <w:sz w:val="14"/>
                <w:szCs w:val="14"/>
              </w:rPr>
            </w:pPr>
            <w:r w:rsidRPr="00004BBA">
              <w:rPr>
                <w:rFonts w:ascii="Arial" w:eastAsia="Times New Roman" w:hAnsi="Arial" w:cs="Arial"/>
                <w:b/>
                <w:bCs/>
                <w:color w:val="000000"/>
                <w:sz w:val="14"/>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004BBA" w:rsidRPr="00004BBA" w:rsidRDefault="00004BBA" w:rsidP="00004BBA">
            <w:pPr>
              <w:spacing w:after="0" w:line="240" w:lineRule="auto"/>
              <w:rPr>
                <w:rFonts w:ascii="Arial" w:eastAsia="Times New Roman" w:hAnsi="Arial" w:cs="Arial"/>
                <w:b/>
                <w:bCs/>
                <w:color w:val="000000"/>
                <w:sz w:val="14"/>
                <w:szCs w:val="14"/>
              </w:rPr>
            </w:pPr>
            <w:r w:rsidRPr="00004BBA">
              <w:rPr>
                <w:rFonts w:ascii="Arial" w:eastAsia="Times New Roman" w:hAnsi="Arial" w:cs="Arial"/>
                <w:b/>
                <w:bCs/>
                <w:color w:val="000000"/>
                <w:sz w:val="14"/>
                <w:szCs w:val="14"/>
              </w:rPr>
              <w:t>žensko</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5,059</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809</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689</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636</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528</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2,378</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19</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center"/>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Opština u %</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muško</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50.42%</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21.46%</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23.21%</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15.44%</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11.26%</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28.25%</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0.39%</w:t>
            </w:r>
          </w:p>
        </w:tc>
      </w:tr>
      <w:tr w:rsidR="00004BBA" w:rsidRPr="00004BBA" w:rsidTr="00004BBA">
        <w:trPr>
          <w:trHeight w:val="18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žensko</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49.58%</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15.99%</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13.62%</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12.57%</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10.44%</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47.01%</w:t>
            </w:r>
          </w:p>
        </w:tc>
        <w:tc>
          <w:tcPr>
            <w:tcW w:w="0" w:type="auto"/>
            <w:tcBorders>
              <w:top w:val="nil"/>
              <w:left w:val="nil"/>
              <w:bottom w:val="single" w:sz="4" w:space="0" w:color="auto"/>
              <w:right w:val="single" w:sz="4" w:space="0" w:color="auto"/>
            </w:tcBorders>
            <w:shd w:val="clear" w:color="auto" w:fill="auto"/>
            <w:noWrap/>
            <w:vAlign w:val="bottom"/>
            <w:hideMark/>
          </w:tcPr>
          <w:p w:rsidR="00004BBA" w:rsidRPr="00004BBA" w:rsidRDefault="00004BBA" w:rsidP="00004BBA">
            <w:pPr>
              <w:spacing w:after="0" w:line="240" w:lineRule="auto"/>
              <w:jc w:val="right"/>
              <w:rPr>
                <w:rFonts w:ascii="Calibri" w:eastAsia="Times New Roman" w:hAnsi="Calibri" w:cs="Times New Roman"/>
                <w:b/>
                <w:bCs/>
                <w:color w:val="000000"/>
                <w:sz w:val="14"/>
                <w:szCs w:val="14"/>
              </w:rPr>
            </w:pPr>
            <w:r w:rsidRPr="00004BBA">
              <w:rPr>
                <w:rFonts w:ascii="Calibri" w:eastAsia="Times New Roman" w:hAnsi="Calibri" w:cs="Times New Roman"/>
                <w:b/>
                <w:bCs/>
                <w:color w:val="000000"/>
                <w:sz w:val="14"/>
                <w:szCs w:val="14"/>
              </w:rPr>
              <w:t>0.38%</w:t>
            </w:r>
          </w:p>
        </w:tc>
      </w:tr>
    </w:tbl>
    <w:p w:rsidR="00906036" w:rsidRDefault="00004BBA" w:rsidP="004D1F30">
      <w:pPr>
        <w:spacing w:line="276" w:lineRule="auto"/>
      </w:pPr>
      <w:r>
        <w:t xml:space="preserve">Izvor: Monstat; Popis stanovništva Crne Gore 2011. </w:t>
      </w:r>
    </w:p>
    <w:p w:rsidR="00004BBA" w:rsidRDefault="00004BBA" w:rsidP="004D1F30">
      <w:pPr>
        <w:spacing w:line="276" w:lineRule="auto"/>
      </w:pPr>
    </w:p>
    <w:p w:rsidR="00906036" w:rsidRDefault="00906036" w:rsidP="004D1F30">
      <w:pPr>
        <w:spacing w:line="276" w:lineRule="auto"/>
      </w:pPr>
    </w:p>
    <w:p w:rsidR="00906036" w:rsidRDefault="00906036" w:rsidP="004D1F30">
      <w:pPr>
        <w:spacing w:line="276" w:lineRule="auto"/>
      </w:pPr>
    </w:p>
    <w:p w:rsidR="00906036" w:rsidRDefault="00906036"/>
    <w:p w:rsidR="003B15B0" w:rsidRDefault="003B15B0"/>
    <w:p w:rsidR="003B15B0" w:rsidRDefault="00905242" w:rsidP="00A04470">
      <w:pPr>
        <w:tabs>
          <w:tab w:val="left" w:pos="1516"/>
        </w:tabs>
        <w:spacing w:after="0" w:line="240" w:lineRule="auto"/>
      </w:pPr>
      <w:r>
        <w:t>Tabela 6</w:t>
      </w:r>
      <w:r w:rsidR="003B15B0">
        <w:t xml:space="preserve">: Broj stanovnika pojedinih naselja Plava koji studiraju </w:t>
      </w:r>
    </w:p>
    <w:tbl>
      <w:tblPr>
        <w:tblW w:w="8640" w:type="dxa"/>
        <w:tblLook w:val="04A0"/>
      </w:tblPr>
      <w:tblGrid>
        <w:gridCol w:w="1255"/>
        <w:gridCol w:w="2700"/>
        <w:gridCol w:w="1530"/>
        <w:gridCol w:w="1440"/>
        <w:gridCol w:w="1715"/>
      </w:tblGrid>
      <w:tr w:rsidR="00A04470" w:rsidRPr="00A04470" w:rsidTr="00A04470">
        <w:trPr>
          <w:trHeight w:val="300"/>
        </w:trPr>
        <w:tc>
          <w:tcPr>
            <w:tcW w:w="1255" w:type="dxa"/>
            <w:vMerge w:val="restart"/>
            <w:tcBorders>
              <w:top w:val="single" w:sz="4" w:space="0" w:color="auto"/>
              <w:left w:val="single" w:sz="4" w:space="0" w:color="auto"/>
              <w:bottom w:val="single" w:sz="4" w:space="0" w:color="000000"/>
              <w:right w:val="single" w:sz="4" w:space="0" w:color="auto"/>
            </w:tcBorders>
            <w:shd w:val="clear" w:color="000000" w:fill="F79646"/>
            <w:vAlign w:val="bottom"/>
            <w:hideMark/>
          </w:tcPr>
          <w:p w:rsidR="00A04470" w:rsidRPr="00A04470" w:rsidRDefault="00A04470" w:rsidP="00A04470">
            <w:pPr>
              <w:spacing w:after="0" w:line="240" w:lineRule="auto"/>
              <w:jc w:val="center"/>
              <w:rPr>
                <w:rFonts w:ascii="Arial" w:eastAsia="Times New Roman" w:hAnsi="Arial" w:cs="Arial"/>
                <w:color w:val="000000"/>
                <w:sz w:val="18"/>
                <w:szCs w:val="18"/>
              </w:rPr>
            </w:pPr>
            <w:r w:rsidRPr="00A04470">
              <w:rPr>
                <w:rFonts w:ascii="Arial" w:eastAsia="Times New Roman" w:hAnsi="Arial" w:cs="Arial"/>
                <w:color w:val="000000"/>
                <w:sz w:val="18"/>
                <w:szCs w:val="18"/>
              </w:rPr>
              <w:t>Opštine</w:t>
            </w:r>
          </w:p>
        </w:tc>
        <w:tc>
          <w:tcPr>
            <w:tcW w:w="2700" w:type="dxa"/>
            <w:vMerge w:val="restart"/>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A04470" w:rsidRPr="00A04470" w:rsidRDefault="00A04470" w:rsidP="00A04470">
            <w:pPr>
              <w:spacing w:after="0" w:line="240" w:lineRule="auto"/>
              <w:jc w:val="center"/>
              <w:rPr>
                <w:rFonts w:ascii="Arial" w:eastAsia="Times New Roman" w:hAnsi="Arial" w:cs="Arial"/>
                <w:color w:val="000000"/>
                <w:sz w:val="18"/>
                <w:szCs w:val="18"/>
              </w:rPr>
            </w:pPr>
            <w:r w:rsidRPr="00A04470">
              <w:rPr>
                <w:rFonts w:ascii="Arial" w:eastAsia="Times New Roman" w:hAnsi="Arial" w:cs="Arial"/>
                <w:color w:val="000000"/>
                <w:sz w:val="18"/>
                <w:szCs w:val="18"/>
              </w:rPr>
              <w:t>Naselje</w:t>
            </w:r>
          </w:p>
        </w:tc>
        <w:tc>
          <w:tcPr>
            <w:tcW w:w="4685" w:type="dxa"/>
            <w:gridSpan w:val="3"/>
            <w:tcBorders>
              <w:top w:val="single" w:sz="4" w:space="0" w:color="auto"/>
              <w:left w:val="nil"/>
              <w:bottom w:val="single" w:sz="4" w:space="0" w:color="auto"/>
              <w:right w:val="single" w:sz="4" w:space="0" w:color="auto"/>
            </w:tcBorders>
            <w:shd w:val="clear" w:color="000000" w:fill="F79646"/>
            <w:noWrap/>
            <w:vAlign w:val="bottom"/>
            <w:hideMark/>
          </w:tcPr>
          <w:p w:rsidR="00A04470" w:rsidRPr="00A04470" w:rsidRDefault="00A04470" w:rsidP="00A04470">
            <w:pPr>
              <w:spacing w:after="0" w:line="240" w:lineRule="auto"/>
              <w:jc w:val="center"/>
              <w:rPr>
                <w:rFonts w:ascii="Arial" w:eastAsia="Times New Roman" w:hAnsi="Arial" w:cs="Arial"/>
                <w:color w:val="000000"/>
                <w:sz w:val="18"/>
                <w:szCs w:val="18"/>
              </w:rPr>
            </w:pPr>
            <w:r w:rsidRPr="00A04470">
              <w:rPr>
                <w:rFonts w:ascii="Arial" w:eastAsia="Times New Roman" w:hAnsi="Arial" w:cs="Arial"/>
                <w:color w:val="000000"/>
                <w:sz w:val="18"/>
                <w:szCs w:val="18"/>
              </w:rPr>
              <w:t>Pohađaju studije kao</w:t>
            </w:r>
          </w:p>
        </w:tc>
      </w:tr>
      <w:tr w:rsidR="00A04470" w:rsidRPr="00A04470" w:rsidTr="00A04470">
        <w:trPr>
          <w:trHeight w:val="300"/>
        </w:trPr>
        <w:tc>
          <w:tcPr>
            <w:tcW w:w="1255" w:type="dxa"/>
            <w:vMerge/>
            <w:tcBorders>
              <w:top w:val="single" w:sz="4" w:space="0" w:color="auto"/>
              <w:left w:val="single" w:sz="4" w:space="0" w:color="auto"/>
              <w:bottom w:val="single" w:sz="4" w:space="0" w:color="000000"/>
              <w:right w:val="single" w:sz="4" w:space="0" w:color="auto"/>
            </w:tcBorders>
            <w:vAlign w:val="center"/>
            <w:hideMark/>
          </w:tcPr>
          <w:p w:rsidR="00A04470" w:rsidRPr="00A04470" w:rsidRDefault="00A04470" w:rsidP="00A04470">
            <w:pPr>
              <w:spacing w:after="0" w:line="240" w:lineRule="auto"/>
              <w:rPr>
                <w:rFonts w:ascii="Arial" w:eastAsia="Times New Roman" w:hAnsi="Arial" w:cs="Arial"/>
                <w:color w:val="000000"/>
                <w:sz w:val="18"/>
                <w:szCs w:val="18"/>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A04470" w:rsidRPr="00A04470" w:rsidRDefault="00A04470" w:rsidP="00A04470">
            <w:pPr>
              <w:spacing w:after="0" w:line="240" w:lineRule="auto"/>
              <w:rPr>
                <w:rFonts w:ascii="Arial" w:eastAsia="Times New Roman" w:hAnsi="Arial" w:cs="Arial"/>
                <w:color w:val="000000"/>
                <w:sz w:val="18"/>
                <w:szCs w:val="18"/>
              </w:rPr>
            </w:pPr>
          </w:p>
        </w:tc>
        <w:tc>
          <w:tcPr>
            <w:tcW w:w="1530" w:type="dxa"/>
            <w:tcBorders>
              <w:top w:val="nil"/>
              <w:left w:val="nil"/>
              <w:bottom w:val="single" w:sz="4" w:space="0" w:color="auto"/>
              <w:right w:val="single" w:sz="4" w:space="0" w:color="auto"/>
            </w:tcBorders>
            <w:shd w:val="clear" w:color="000000" w:fill="F79646"/>
            <w:noWrap/>
            <w:vAlign w:val="bottom"/>
            <w:hideMark/>
          </w:tcPr>
          <w:p w:rsidR="00A04470" w:rsidRPr="00A04470" w:rsidRDefault="00A04470" w:rsidP="00A04470">
            <w:pPr>
              <w:spacing w:after="0" w:line="240" w:lineRule="auto"/>
              <w:jc w:val="center"/>
              <w:rPr>
                <w:rFonts w:ascii="Arial" w:eastAsia="Times New Roman" w:hAnsi="Arial" w:cs="Arial"/>
                <w:color w:val="000000"/>
                <w:sz w:val="18"/>
                <w:szCs w:val="18"/>
              </w:rPr>
            </w:pPr>
            <w:r w:rsidRPr="00A04470">
              <w:rPr>
                <w:rFonts w:ascii="Arial" w:eastAsia="Times New Roman" w:hAnsi="Arial" w:cs="Arial"/>
                <w:color w:val="000000"/>
                <w:sz w:val="18"/>
                <w:szCs w:val="18"/>
              </w:rPr>
              <w:t>Studenti</w:t>
            </w:r>
          </w:p>
        </w:tc>
        <w:tc>
          <w:tcPr>
            <w:tcW w:w="1440" w:type="dxa"/>
            <w:tcBorders>
              <w:top w:val="nil"/>
              <w:left w:val="nil"/>
              <w:bottom w:val="single" w:sz="4" w:space="0" w:color="auto"/>
              <w:right w:val="single" w:sz="4" w:space="0" w:color="auto"/>
            </w:tcBorders>
            <w:shd w:val="clear" w:color="000000" w:fill="F79646"/>
            <w:noWrap/>
            <w:vAlign w:val="bottom"/>
            <w:hideMark/>
          </w:tcPr>
          <w:p w:rsidR="00A04470" w:rsidRPr="00A04470" w:rsidRDefault="00A04470" w:rsidP="00A04470">
            <w:pPr>
              <w:spacing w:after="0" w:line="240" w:lineRule="auto"/>
              <w:jc w:val="center"/>
              <w:rPr>
                <w:rFonts w:ascii="Arial" w:eastAsia="Times New Roman" w:hAnsi="Arial" w:cs="Arial"/>
                <w:color w:val="000000"/>
                <w:sz w:val="18"/>
                <w:szCs w:val="18"/>
              </w:rPr>
            </w:pPr>
            <w:r w:rsidRPr="00A04470">
              <w:rPr>
                <w:rFonts w:ascii="Arial" w:eastAsia="Times New Roman" w:hAnsi="Arial" w:cs="Arial"/>
                <w:color w:val="000000"/>
                <w:sz w:val="18"/>
                <w:szCs w:val="18"/>
              </w:rPr>
              <w:t>Magistri</w:t>
            </w:r>
          </w:p>
        </w:tc>
        <w:tc>
          <w:tcPr>
            <w:tcW w:w="1715" w:type="dxa"/>
            <w:tcBorders>
              <w:top w:val="nil"/>
              <w:left w:val="nil"/>
              <w:bottom w:val="single" w:sz="4" w:space="0" w:color="auto"/>
              <w:right w:val="single" w:sz="4" w:space="0" w:color="auto"/>
            </w:tcBorders>
            <w:shd w:val="clear" w:color="000000" w:fill="F79646"/>
            <w:noWrap/>
            <w:vAlign w:val="bottom"/>
            <w:hideMark/>
          </w:tcPr>
          <w:p w:rsidR="00A04470" w:rsidRPr="00A04470" w:rsidRDefault="00A04470" w:rsidP="00A04470">
            <w:pPr>
              <w:spacing w:after="0" w:line="240" w:lineRule="auto"/>
              <w:jc w:val="center"/>
              <w:rPr>
                <w:rFonts w:ascii="Arial" w:eastAsia="Times New Roman" w:hAnsi="Arial" w:cs="Arial"/>
                <w:color w:val="000000"/>
                <w:sz w:val="18"/>
                <w:szCs w:val="18"/>
              </w:rPr>
            </w:pPr>
            <w:r w:rsidRPr="00A04470">
              <w:rPr>
                <w:rFonts w:ascii="Arial" w:eastAsia="Times New Roman" w:hAnsi="Arial" w:cs="Arial"/>
                <w:color w:val="000000"/>
                <w:sz w:val="18"/>
                <w:szCs w:val="18"/>
              </w:rPr>
              <w:t>Doktoranti</w:t>
            </w:r>
          </w:p>
        </w:tc>
      </w:tr>
      <w:tr w:rsidR="00A04470" w:rsidRPr="00A04470" w:rsidTr="00A04470">
        <w:trPr>
          <w:trHeight w:val="300"/>
        </w:trPr>
        <w:tc>
          <w:tcPr>
            <w:tcW w:w="1255" w:type="dxa"/>
            <w:tcBorders>
              <w:top w:val="nil"/>
              <w:left w:val="single" w:sz="4" w:space="0" w:color="auto"/>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ind w:firstLineChars="100" w:firstLine="180"/>
              <w:rPr>
                <w:rFonts w:ascii="Arial" w:eastAsia="Times New Roman" w:hAnsi="Arial" w:cs="Arial"/>
                <w:color w:val="000000"/>
                <w:sz w:val="18"/>
                <w:szCs w:val="18"/>
              </w:rPr>
            </w:pPr>
            <w:r w:rsidRPr="00A04470">
              <w:rPr>
                <w:rFonts w:ascii="Arial" w:eastAsia="Times New Roman" w:hAnsi="Arial" w:cs="Arial"/>
                <w:color w:val="000000"/>
                <w:sz w:val="18"/>
                <w:szCs w:val="18"/>
              </w:rPr>
              <w:t xml:space="preserve">Plav                          </w:t>
            </w:r>
          </w:p>
        </w:tc>
        <w:tc>
          <w:tcPr>
            <w:tcW w:w="270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Bogajici</w:t>
            </w:r>
          </w:p>
        </w:tc>
        <w:tc>
          <w:tcPr>
            <w:tcW w:w="153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7</w:t>
            </w:r>
          </w:p>
        </w:tc>
        <w:tc>
          <w:tcPr>
            <w:tcW w:w="144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r>
      <w:tr w:rsidR="00A04470" w:rsidRPr="00A04470" w:rsidTr="00A04470">
        <w:trPr>
          <w:trHeight w:val="300"/>
        </w:trPr>
        <w:tc>
          <w:tcPr>
            <w:tcW w:w="1255" w:type="dxa"/>
            <w:tcBorders>
              <w:top w:val="nil"/>
              <w:left w:val="single" w:sz="4" w:space="0" w:color="auto"/>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ind w:firstLineChars="100" w:firstLine="180"/>
              <w:rPr>
                <w:rFonts w:ascii="Arial" w:eastAsia="Times New Roman" w:hAnsi="Arial" w:cs="Arial"/>
                <w:color w:val="000000"/>
                <w:sz w:val="18"/>
                <w:szCs w:val="18"/>
              </w:rPr>
            </w:pPr>
            <w:r w:rsidRPr="00A04470">
              <w:rPr>
                <w:rFonts w:ascii="Arial" w:eastAsia="Times New Roman" w:hAnsi="Arial" w:cs="Arial"/>
                <w:color w:val="000000"/>
                <w:sz w:val="18"/>
                <w:szCs w:val="18"/>
              </w:rPr>
              <w:t xml:space="preserve">Plav                          </w:t>
            </w:r>
          </w:p>
        </w:tc>
        <w:tc>
          <w:tcPr>
            <w:tcW w:w="270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Brezojevica</w:t>
            </w:r>
          </w:p>
        </w:tc>
        <w:tc>
          <w:tcPr>
            <w:tcW w:w="153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42</w:t>
            </w:r>
          </w:p>
        </w:tc>
        <w:tc>
          <w:tcPr>
            <w:tcW w:w="144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r>
      <w:tr w:rsidR="00A04470" w:rsidRPr="00A04470" w:rsidTr="00A04470">
        <w:trPr>
          <w:trHeight w:val="300"/>
        </w:trPr>
        <w:tc>
          <w:tcPr>
            <w:tcW w:w="1255" w:type="dxa"/>
            <w:tcBorders>
              <w:top w:val="nil"/>
              <w:left w:val="single" w:sz="4" w:space="0" w:color="auto"/>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ind w:firstLineChars="100" w:firstLine="180"/>
              <w:rPr>
                <w:rFonts w:ascii="Arial" w:eastAsia="Times New Roman" w:hAnsi="Arial" w:cs="Arial"/>
                <w:color w:val="000000"/>
                <w:sz w:val="18"/>
                <w:szCs w:val="18"/>
              </w:rPr>
            </w:pPr>
            <w:r w:rsidRPr="00A04470">
              <w:rPr>
                <w:rFonts w:ascii="Arial" w:eastAsia="Times New Roman" w:hAnsi="Arial" w:cs="Arial"/>
                <w:color w:val="000000"/>
                <w:sz w:val="18"/>
                <w:szCs w:val="18"/>
              </w:rPr>
              <w:t xml:space="preserve">Plav                          </w:t>
            </w:r>
          </w:p>
        </w:tc>
        <w:tc>
          <w:tcPr>
            <w:tcW w:w="270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Dolja</w:t>
            </w:r>
          </w:p>
        </w:tc>
        <w:tc>
          <w:tcPr>
            <w:tcW w:w="153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0</w:t>
            </w:r>
          </w:p>
        </w:tc>
        <w:tc>
          <w:tcPr>
            <w:tcW w:w="144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1</w:t>
            </w:r>
          </w:p>
        </w:tc>
        <w:tc>
          <w:tcPr>
            <w:tcW w:w="1715"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r>
      <w:tr w:rsidR="00A04470" w:rsidRPr="00A04470" w:rsidTr="00A04470">
        <w:trPr>
          <w:trHeight w:val="300"/>
        </w:trPr>
        <w:tc>
          <w:tcPr>
            <w:tcW w:w="1255" w:type="dxa"/>
            <w:tcBorders>
              <w:top w:val="nil"/>
              <w:left w:val="single" w:sz="4" w:space="0" w:color="auto"/>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ind w:firstLineChars="100" w:firstLine="180"/>
              <w:rPr>
                <w:rFonts w:ascii="Arial" w:eastAsia="Times New Roman" w:hAnsi="Arial" w:cs="Arial"/>
                <w:color w:val="000000"/>
                <w:sz w:val="18"/>
                <w:szCs w:val="18"/>
              </w:rPr>
            </w:pPr>
            <w:r w:rsidRPr="00A04470">
              <w:rPr>
                <w:rFonts w:ascii="Arial" w:eastAsia="Times New Roman" w:hAnsi="Arial" w:cs="Arial"/>
                <w:color w:val="000000"/>
                <w:sz w:val="18"/>
                <w:szCs w:val="18"/>
              </w:rPr>
              <w:t>Plav</w:t>
            </w:r>
          </w:p>
        </w:tc>
        <w:tc>
          <w:tcPr>
            <w:tcW w:w="270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Dosude</w:t>
            </w:r>
          </w:p>
        </w:tc>
        <w:tc>
          <w:tcPr>
            <w:tcW w:w="153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4</w:t>
            </w:r>
          </w:p>
        </w:tc>
        <w:tc>
          <w:tcPr>
            <w:tcW w:w="144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1</w:t>
            </w:r>
          </w:p>
        </w:tc>
        <w:tc>
          <w:tcPr>
            <w:tcW w:w="1715"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r>
      <w:tr w:rsidR="00A04470" w:rsidRPr="00A04470" w:rsidTr="00A04470">
        <w:trPr>
          <w:trHeight w:val="300"/>
        </w:trPr>
        <w:tc>
          <w:tcPr>
            <w:tcW w:w="1255" w:type="dxa"/>
            <w:tcBorders>
              <w:top w:val="nil"/>
              <w:left w:val="single" w:sz="4" w:space="0" w:color="auto"/>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ind w:firstLineChars="100" w:firstLine="180"/>
              <w:rPr>
                <w:rFonts w:ascii="Arial" w:eastAsia="Times New Roman" w:hAnsi="Arial" w:cs="Arial"/>
                <w:color w:val="000000"/>
                <w:sz w:val="18"/>
                <w:szCs w:val="18"/>
              </w:rPr>
            </w:pPr>
            <w:r w:rsidRPr="00A04470">
              <w:rPr>
                <w:rFonts w:ascii="Arial" w:eastAsia="Times New Roman" w:hAnsi="Arial" w:cs="Arial"/>
                <w:color w:val="000000"/>
                <w:sz w:val="18"/>
                <w:szCs w:val="18"/>
              </w:rPr>
              <w:t xml:space="preserve">Plav                          </w:t>
            </w:r>
          </w:p>
        </w:tc>
        <w:tc>
          <w:tcPr>
            <w:tcW w:w="270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Ðuricka Rijeka</w:t>
            </w:r>
          </w:p>
        </w:tc>
        <w:tc>
          <w:tcPr>
            <w:tcW w:w="153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8</w:t>
            </w:r>
          </w:p>
        </w:tc>
        <w:tc>
          <w:tcPr>
            <w:tcW w:w="144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1</w:t>
            </w:r>
          </w:p>
        </w:tc>
        <w:tc>
          <w:tcPr>
            <w:tcW w:w="1715"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r>
      <w:tr w:rsidR="00A04470" w:rsidRPr="00A04470" w:rsidTr="00A04470">
        <w:trPr>
          <w:trHeight w:val="300"/>
        </w:trPr>
        <w:tc>
          <w:tcPr>
            <w:tcW w:w="1255" w:type="dxa"/>
            <w:tcBorders>
              <w:top w:val="nil"/>
              <w:left w:val="single" w:sz="4" w:space="0" w:color="auto"/>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ind w:firstLineChars="100" w:firstLine="180"/>
              <w:rPr>
                <w:rFonts w:ascii="Arial" w:eastAsia="Times New Roman" w:hAnsi="Arial" w:cs="Arial"/>
                <w:color w:val="000000"/>
                <w:sz w:val="18"/>
                <w:szCs w:val="18"/>
              </w:rPr>
            </w:pPr>
            <w:r w:rsidRPr="00A04470">
              <w:rPr>
                <w:rFonts w:ascii="Arial" w:eastAsia="Times New Roman" w:hAnsi="Arial" w:cs="Arial"/>
                <w:color w:val="000000"/>
                <w:sz w:val="18"/>
                <w:szCs w:val="18"/>
              </w:rPr>
              <w:t>Plav</w:t>
            </w:r>
          </w:p>
        </w:tc>
        <w:tc>
          <w:tcPr>
            <w:tcW w:w="270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Gornja Rženica</w:t>
            </w:r>
          </w:p>
        </w:tc>
        <w:tc>
          <w:tcPr>
            <w:tcW w:w="153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10</w:t>
            </w:r>
          </w:p>
        </w:tc>
        <w:tc>
          <w:tcPr>
            <w:tcW w:w="144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r>
      <w:tr w:rsidR="00A04470" w:rsidRPr="00A04470" w:rsidTr="00A04470">
        <w:trPr>
          <w:trHeight w:val="300"/>
        </w:trPr>
        <w:tc>
          <w:tcPr>
            <w:tcW w:w="1255" w:type="dxa"/>
            <w:tcBorders>
              <w:top w:val="nil"/>
              <w:left w:val="single" w:sz="4" w:space="0" w:color="auto"/>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ind w:firstLineChars="100" w:firstLine="180"/>
              <w:rPr>
                <w:rFonts w:ascii="Arial" w:eastAsia="Times New Roman" w:hAnsi="Arial" w:cs="Arial"/>
                <w:color w:val="000000"/>
                <w:sz w:val="18"/>
                <w:szCs w:val="18"/>
              </w:rPr>
            </w:pPr>
            <w:r w:rsidRPr="00A04470">
              <w:rPr>
                <w:rFonts w:ascii="Arial" w:eastAsia="Times New Roman" w:hAnsi="Arial" w:cs="Arial"/>
                <w:color w:val="000000"/>
                <w:sz w:val="18"/>
                <w:szCs w:val="18"/>
              </w:rPr>
              <w:t xml:space="preserve">Plav                          </w:t>
            </w:r>
          </w:p>
        </w:tc>
        <w:tc>
          <w:tcPr>
            <w:tcW w:w="270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Grncar</w:t>
            </w:r>
          </w:p>
        </w:tc>
        <w:tc>
          <w:tcPr>
            <w:tcW w:w="153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1</w:t>
            </w:r>
          </w:p>
        </w:tc>
        <w:tc>
          <w:tcPr>
            <w:tcW w:w="144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r>
      <w:tr w:rsidR="00A04470" w:rsidRPr="00A04470" w:rsidTr="00A04470">
        <w:trPr>
          <w:trHeight w:val="300"/>
        </w:trPr>
        <w:tc>
          <w:tcPr>
            <w:tcW w:w="1255" w:type="dxa"/>
            <w:tcBorders>
              <w:top w:val="nil"/>
              <w:left w:val="single" w:sz="4" w:space="0" w:color="auto"/>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ind w:firstLineChars="100" w:firstLine="180"/>
              <w:rPr>
                <w:rFonts w:ascii="Arial" w:eastAsia="Times New Roman" w:hAnsi="Arial" w:cs="Arial"/>
                <w:color w:val="000000"/>
                <w:sz w:val="18"/>
                <w:szCs w:val="18"/>
              </w:rPr>
            </w:pPr>
            <w:r w:rsidRPr="00A04470">
              <w:rPr>
                <w:rFonts w:ascii="Arial" w:eastAsia="Times New Roman" w:hAnsi="Arial" w:cs="Arial"/>
                <w:color w:val="000000"/>
                <w:sz w:val="18"/>
                <w:szCs w:val="18"/>
              </w:rPr>
              <w:t xml:space="preserve">Plav                          </w:t>
            </w:r>
          </w:p>
        </w:tc>
        <w:tc>
          <w:tcPr>
            <w:tcW w:w="270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Gusinje</w:t>
            </w:r>
          </w:p>
        </w:tc>
        <w:tc>
          <w:tcPr>
            <w:tcW w:w="153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45</w:t>
            </w:r>
          </w:p>
        </w:tc>
        <w:tc>
          <w:tcPr>
            <w:tcW w:w="144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2</w:t>
            </w:r>
          </w:p>
        </w:tc>
        <w:tc>
          <w:tcPr>
            <w:tcW w:w="1715"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r>
      <w:tr w:rsidR="00A04470" w:rsidRPr="00A04470" w:rsidTr="00A04470">
        <w:trPr>
          <w:trHeight w:val="300"/>
        </w:trPr>
        <w:tc>
          <w:tcPr>
            <w:tcW w:w="1255" w:type="dxa"/>
            <w:tcBorders>
              <w:top w:val="nil"/>
              <w:left w:val="single" w:sz="4" w:space="0" w:color="auto"/>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ind w:firstLineChars="100" w:firstLine="180"/>
              <w:rPr>
                <w:rFonts w:ascii="Arial" w:eastAsia="Times New Roman" w:hAnsi="Arial" w:cs="Arial"/>
                <w:color w:val="000000"/>
                <w:sz w:val="18"/>
                <w:szCs w:val="18"/>
              </w:rPr>
            </w:pPr>
            <w:r w:rsidRPr="00A04470">
              <w:rPr>
                <w:rFonts w:ascii="Arial" w:eastAsia="Times New Roman" w:hAnsi="Arial" w:cs="Arial"/>
                <w:color w:val="000000"/>
                <w:sz w:val="18"/>
                <w:szCs w:val="18"/>
              </w:rPr>
              <w:t>Plav</w:t>
            </w:r>
          </w:p>
        </w:tc>
        <w:tc>
          <w:tcPr>
            <w:tcW w:w="270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Hoti</w:t>
            </w:r>
          </w:p>
        </w:tc>
        <w:tc>
          <w:tcPr>
            <w:tcW w:w="153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1</w:t>
            </w:r>
          </w:p>
        </w:tc>
        <w:tc>
          <w:tcPr>
            <w:tcW w:w="144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r>
      <w:tr w:rsidR="00A04470" w:rsidRPr="00A04470" w:rsidTr="00A04470">
        <w:trPr>
          <w:trHeight w:val="300"/>
        </w:trPr>
        <w:tc>
          <w:tcPr>
            <w:tcW w:w="1255" w:type="dxa"/>
            <w:tcBorders>
              <w:top w:val="nil"/>
              <w:left w:val="single" w:sz="4" w:space="0" w:color="auto"/>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ind w:firstLineChars="100" w:firstLine="180"/>
              <w:rPr>
                <w:rFonts w:ascii="Arial" w:eastAsia="Times New Roman" w:hAnsi="Arial" w:cs="Arial"/>
                <w:color w:val="000000"/>
                <w:sz w:val="18"/>
                <w:szCs w:val="18"/>
              </w:rPr>
            </w:pPr>
            <w:r w:rsidRPr="00A04470">
              <w:rPr>
                <w:rFonts w:ascii="Arial" w:eastAsia="Times New Roman" w:hAnsi="Arial" w:cs="Arial"/>
                <w:color w:val="000000"/>
                <w:sz w:val="18"/>
                <w:szCs w:val="18"/>
              </w:rPr>
              <w:t xml:space="preserve">Plav                          </w:t>
            </w:r>
          </w:p>
        </w:tc>
        <w:tc>
          <w:tcPr>
            <w:tcW w:w="270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Kolenovici</w:t>
            </w:r>
          </w:p>
        </w:tc>
        <w:tc>
          <w:tcPr>
            <w:tcW w:w="153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0</w:t>
            </w:r>
          </w:p>
        </w:tc>
        <w:tc>
          <w:tcPr>
            <w:tcW w:w="144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r>
      <w:tr w:rsidR="00A04470" w:rsidRPr="00A04470" w:rsidTr="00A04470">
        <w:trPr>
          <w:trHeight w:val="300"/>
        </w:trPr>
        <w:tc>
          <w:tcPr>
            <w:tcW w:w="1255" w:type="dxa"/>
            <w:tcBorders>
              <w:top w:val="nil"/>
              <w:left w:val="single" w:sz="4" w:space="0" w:color="auto"/>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ind w:firstLineChars="100" w:firstLine="180"/>
              <w:rPr>
                <w:rFonts w:ascii="Arial" w:eastAsia="Times New Roman" w:hAnsi="Arial" w:cs="Arial"/>
                <w:color w:val="000000"/>
                <w:sz w:val="18"/>
                <w:szCs w:val="18"/>
              </w:rPr>
            </w:pPr>
            <w:r w:rsidRPr="00A04470">
              <w:rPr>
                <w:rFonts w:ascii="Arial" w:eastAsia="Times New Roman" w:hAnsi="Arial" w:cs="Arial"/>
                <w:color w:val="000000"/>
                <w:sz w:val="18"/>
                <w:szCs w:val="18"/>
              </w:rPr>
              <w:t>Plav</w:t>
            </w:r>
          </w:p>
        </w:tc>
        <w:tc>
          <w:tcPr>
            <w:tcW w:w="270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Kruševo</w:t>
            </w:r>
          </w:p>
        </w:tc>
        <w:tc>
          <w:tcPr>
            <w:tcW w:w="153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4</w:t>
            </w:r>
          </w:p>
        </w:tc>
        <w:tc>
          <w:tcPr>
            <w:tcW w:w="144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r>
      <w:tr w:rsidR="00A04470" w:rsidRPr="00A04470" w:rsidTr="00A04470">
        <w:trPr>
          <w:trHeight w:val="300"/>
        </w:trPr>
        <w:tc>
          <w:tcPr>
            <w:tcW w:w="1255" w:type="dxa"/>
            <w:tcBorders>
              <w:top w:val="nil"/>
              <w:left w:val="single" w:sz="4" w:space="0" w:color="auto"/>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ind w:firstLineChars="100" w:firstLine="180"/>
              <w:rPr>
                <w:rFonts w:ascii="Arial" w:eastAsia="Times New Roman" w:hAnsi="Arial" w:cs="Arial"/>
                <w:color w:val="000000"/>
                <w:sz w:val="18"/>
                <w:szCs w:val="18"/>
              </w:rPr>
            </w:pPr>
            <w:r w:rsidRPr="00A04470">
              <w:rPr>
                <w:rFonts w:ascii="Arial" w:eastAsia="Times New Roman" w:hAnsi="Arial" w:cs="Arial"/>
                <w:color w:val="000000"/>
                <w:sz w:val="18"/>
                <w:szCs w:val="18"/>
              </w:rPr>
              <w:t xml:space="preserve">Plav                          </w:t>
            </w:r>
          </w:p>
        </w:tc>
        <w:tc>
          <w:tcPr>
            <w:tcW w:w="270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Martinovici</w:t>
            </w:r>
          </w:p>
        </w:tc>
        <w:tc>
          <w:tcPr>
            <w:tcW w:w="153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15</w:t>
            </w:r>
          </w:p>
        </w:tc>
        <w:tc>
          <w:tcPr>
            <w:tcW w:w="144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2</w:t>
            </w:r>
          </w:p>
        </w:tc>
        <w:tc>
          <w:tcPr>
            <w:tcW w:w="1715"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r>
      <w:tr w:rsidR="00A04470" w:rsidRPr="00A04470" w:rsidTr="00A04470">
        <w:trPr>
          <w:trHeight w:val="300"/>
        </w:trPr>
        <w:tc>
          <w:tcPr>
            <w:tcW w:w="1255" w:type="dxa"/>
            <w:tcBorders>
              <w:top w:val="nil"/>
              <w:left w:val="single" w:sz="4" w:space="0" w:color="auto"/>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ind w:firstLineChars="100" w:firstLine="180"/>
              <w:rPr>
                <w:rFonts w:ascii="Arial" w:eastAsia="Times New Roman" w:hAnsi="Arial" w:cs="Arial"/>
                <w:color w:val="000000"/>
                <w:sz w:val="18"/>
                <w:szCs w:val="18"/>
              </w:rPr>
            </w:pPr>
            <w:r w:rsidRPr="00A04470">
              <w:rPr>
                <w:rFonts w:ascii="Arial" w:eastAsia="Times New Roman" w:hAnsi="Arial" w:cs="Arial"/>
                <w:color w:val="000000"/>
                <w:sz w:val="18"/>
                <w:szCs w:val="18"/>
              </w:rPr>
              <w:t>Plav</w:t>
            </w:r>
          </w:p>
        </w:tc>
        <w:tc>
          <w:tcPr>
            <w:tcW w:w="270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Mašnica</w:t>
            </w:r>
          </w:p>
        </w:tc>
        <w:tc>
          <w:tcPr>
            <w:tcW w:w="153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10</w:t>
            </w:r>
          </w:p>
        </w:tc>
        <w:tc>
          <w:tcPr>
            <w:tcW w:w="144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1</w:t>
            </w:r>
          </w:p>
        </w:tc>
        <w:tc>
          <w:tcPr>
            <w:tcW w:w="1715"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r>
      <w:tr w:rsidR="00A04470" w:rsidRPr="00A04470" w:rsidTr="00A04470">
        <w:trPr>
          <w:trHeight w:val="300"/>
        </w:trPr>
        <w:tc>
          <w:tcPr>
            <w:tcW w:w="1255" w:type="dxa"/>
            <w:tcBorders>
              <w:top w:val="nil"/>
              <w:left w:val="single" w:sz="4" w:space="0" w:color="auto"/>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ind w:firstLineChars="100" w:firstLine="180"/>
              <w:rPr>
                <w:rFonts w:ascii="Arial" w:eastAsia="Times New Roman" w:hAnsi="Arial" w:cs="Arial"/>
                <w:color w:val="000000"/>
                <w:sz w:val="18"/>
                <w:szCs w:val="18"/>
              </w:rPr>
            </w:pPr>
            <w:r w:rsidRPr="00A04470">
              <w:rPr>
                <w:rFonts w:ascii="Arial" w:eastAsia="Times New Roman" w:hAnsi="Arial" w:cs="Arial"/>
                <w:color w:val="000000"/>
                <w:sz w:val="18"/>
                <w:szCs w:val="18"/>
              </w:rPr>
              <w:t>Plav</w:t>
            </w:r>
          </w:p>
        </w:tc>
        <w:tc>
          <w:tcPr>
            <w:tcW w:w="270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Meteh</w:t>
            </w:r>
          </w:p>
        </w:tc>
        <w:tc>
          <w:tcPr>
            <w:tcW w:w="153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0</w:t>
            </w:r>
          </w:p>
        </w:tc>
        <w:tc>
          <w:tcPr>
            <w:tcW w:w="144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r>
      <w:tr w:rsidR="00A04470" w:rsidRPr="00A04470" w:rsidTr="00A04470">
        <w:trPr>
          <w:trHeight w:val="300"/>
        </w:trPr>
        <w:tc>
          <w:tcPr>
            <w:tcW w:w="1255" w:type="dxa"/>
            <w:tcBorders>
              <w:top w:val="nil"/>
              <w:left w:val="single" w:sz="4" w:space="0" w:color="auto"/>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ind w:firstLineChars="100" w:firstLine="180"/>
              <w:rPr>
                <w:rFonts w:ascii="Arial" w:eastAsia="Times New Roman" w:hAnsi="Arial" w:cs="Arial"/>
                <w:color w:val="000000"/>
                <w:sz w:val="18"/>
                <w:szCs w:val="18"/>
              </w:rPr>
            </w:pPr>
            <w:r w:rsidRPr="00A04470">
              <w:rPr>
                <w:rFonts w:ascii="Arial" w:eastAsia="Times New Roman" w:hAnsi="Arial" w:cs="Arial"/>
                <w:color w:val="000000"/>
                <w:sz w:val="18"/>
                <w:szCs w:val="18"/>
              </w:rPr>
              <w:t>Plav</w:t>
            </w:r>
          </w:p>
        </w:tc>
        <w:tc>
          <w:tcPr>
            <w:tcW w:w="270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Murino</w:t>
            </w:r>
          </w:p>
        </w:tc>
        <w:tc>
          <w:tcPr>
            <w:tcW w:w="153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20</w:t>
            </w:r>
          </w:p>
        </w:tc>
        <w:tc>
          <w:tcPr>
            <w:tcW w:w="144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r>
      <w:tr w:rsidR="00A04470" w:rsidRPr="00A04470" w:rsidTr="00A04470">
        <w:trPr>
          <w:trHeight w:val="300"/>
        </w:trPr>
        <w:tc>
          <w:tcPr>
            <w:tcW w:w="1255" w:type="dxa"/>
            <w:tcBorders>
              <w:top w:val="nil"/>
              <w:left w:val="single" w:sz="4" w:space="0" w:color="auto"/>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ind w:firstLineChars="100" w:firstLine="180"/>
              <w:rPr>
                <w:rFonts w:ascii="Arial" w:eastAsia="Times New Roman" w:hAnsi="Arial" w:cs="Arial"/>
                <w:color w:val="000000"/>
                <w:sz w:val="18"/>
                <w:szCs w:val="18"/>
              </w:rPr>
            </w:pPr>
            <w:r w:rsidRPr="00A04470">
              <w:rPr>
                <w:rFonts w:ascii="Arial" w:eastAsia="Times New Roman" w:hAnsi="Arial" w:cs="Arial"/>
                <w:color w:val="000000"/>
                <w:sz w:val="18"/>
                <w:szCs w:val="18"/>
              </w:rPr>
              <w:t xml:space="preserve">Plav                          </w:t>
            </w:r>
          </w:p>
        </w:tc>
        <w:tc>
          <w:tcPr>
            <w:tcW w:w="270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Novšici</w:t>
            </w:r>
          </w:p>
        </w:tc>
        <w:tc>
          <w:tcPr>
            <w:tcW w:w="153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0</w:t>
            </w:r>
          </w:p>
        </w:tc>
        <w:tc>
          <w:tcPr>
            <w:tcW w:w="144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r>
      <w:tr w:rsidR="00A04470" w:rsidRPr="00A04470" w:rsidTr="00A04470">
        <w:trPr>
          <w:trHeight w:val="300"/>
        </w:trPr>
        <w:tc>
          <w:tcPr>
            <w:tcW w:w="1255" w:type="dxa"/>
            <w:tcBorders>
              <w:top w:val="nil"/>
              <w:left w:val="single" w:sz="4" w:space="0" w:color="auto"/>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ind w:firstLineChars="100" w:firstLine="180"/>
              <w:rPr>
                <w:rFonts w:ascii="Arial" w:eastAsia="Times New Roman" w:hAnsi="Arial" w:cs="Arial"/>
                <w:color w:val="000000"/>
                <w:sz w:val="18"/>
                <w:szCs w:val="18"/>
              </w:rPr>
            </w:pPr>
            <w:r w:rsidRPr="00A04470">
              <w:rPr>
                <w:rFonts w:ascii="Arial" w:eastAsia="Times New Roman" w:hAnsi="Arial" w:cs="Arial"/>
                <w:color w:val="000000"/>
                <w:sz w:val="18"/>
                <w:szCs w:val="18"/>
              </w:rPr>
              <w:t xml:space="preserve">Plav                          </w:t>
            </w:r>
          </w:p>
        </w:tc>
        <w:tc>
          <w:tcPr>
            <w:tcW w:w="270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Plav</w:t>
            </w:r>
          </w:p>
        </w:tc>
        <w:tc>
          <w:tcPr>
            <w:tcW w:w="153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155</w:t>
            </w:r>
          </w:p>
        </w:tc>
        <w:tc>
          <w:tcPr>
            <w:tcW w:w="144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9</w:t>
            </w:r>
          </w:p>
        </w:tc>
        <w:tc>
          <w:tcPr>
            <w:tcW w:w="1715"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5</w:t>
            </w:r>
          </w:p>
        </w:tc>
      </w:tr>
      <w:tr w:rsidR="00A04470" w:rsidRPr="00A04470" w:rsidTr="00A04470">
        <w:trPr>
          <w:trHeight w:val="300"/>
        </w:trPr>
        <w:tc>
          <w:tcPr>
            <w:tcW w:w="1255" w:type="dxa"/>
            <w:tcBorders>
              <w:top w:val="nil"/>
              <w:left w:val="single" w:sz="4" w:space="0" w:color="auto"/>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ind w:firstLineChars="100" w:firstLine="180"/>
              <w:rPr>
                <w:rFonts w:ascii="Arial" w:eastAsia="Times New Roman" w:hAnsi="Arial" w:cs="Arial"/>
                <w:color w:val="000000"/>
                <w:sz w:val="18"/>
                <w:szCs w:val="18"/>
              </w:rPr>
            </w:pPr>
            <w:r w:rsidRPr="00A04470">
              <w:rPr>
                <w:rFonts w:ascii="Arial" w:eastAsia="Times New Roman" w:hAnsi="Arial" w:cs="Arial"/>
                <w:color w:val="000000"/>
                <w:sz w:val="18"/>
                <w:szCs w:val="18"/>
              </w:rPr>
              <w:t xml:space="preserve">Plav                          </w:t>
            </w:r>
          </w:p>
        </w:tc>
        <w:tc>
          <w:tcPr>
            <w:tcW w:w="2700" w:type="dxa"/>
            <w:tcBorders>
              <w:top w:val="nil"/>
              <w:left w:val="nil"/>
              <w:bottom w:val="single" w:sz="4" w:space="0" w:color="auto"/>
              <w:right w:val="single" w:sz="4" w:space="0" w:color="auto"/>
            </w:tcBorders>
            <w:shd w:val="clear" w:color="000000" w:fill="FFFF00"/>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Prnjavor</w:t>
            </w:r>
          </w:p>
        </w:tc>
        <w:tc>
          <w:tcPr>
            <w:tcW w:w="153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39</w:t>
            </w:r>
          </w:p>
        </w:tc>
        <w:tc>
          <w:tcPr>
            <w:tcW w:w="144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4</w:t>
            </w:r>
          </w:p>
        </w:tc>
        <w:tc>
          <w:tcPr>
            <w:tcW w:w="1715"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2</w:t>
            </w:r>
          </w:p>
        </w:tc>
      </w:tr>
      <w:tr w:rsidR="00A04470" w:rsidRPr="00A04470" w:rsidTr="00A04470">
        <w:trPr>
          <w:trHeight w:val="300"/>
        </w:trPr>
        <w:tc>
          <w:tcPr>
            <w:tcW w:w="1255" w:type="dxa"/>
            <w:tcBorders>
              <w:top w:val="nil"/>
              <w:left w:val="single" w:sz="4" w:space="0" w:color="auto"/>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ind w:firstLineChars="100" w:firstLine="180"/>
              <w:rPr>
                <w:rFonts w:ascii="Arial" w:eastAsia="Times New Roman" w:hAnsi="Arial" w:cs="Arial"/>
                <w:color w:val="000000"/>
                <w:sz w:val="18"/>
                <w:szCs w:val="18"/>
              </w:rPr>
            </w:pPr>
            <w:r w:rsidRPr="00A04470">
              <w:rPr>
                <w:rFonts w:ascii="Arial" w:eastAsia="Times New Roman" w:hAnsi="Arial" w:cs="Arial"/>
                <w:color w:val="000000"/>
                <w:sz w:val="18"/>
                <w:szCs w:val="18"/>
              </w:rPr>
              <w:t xml:space="preserve">Plav                          </w:t>
            </w:r>
          </w:p>
        </w:tc>
        <w:tc>
          <w:tcPr>
            <w:tcW w:w="270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Skic</w:t>
            </w:r>
          </w:p>
        </w:tc>
        <w:tc>
          <w:tcPr>
            <w:tcW w:w="153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6</w:t>
            </w:r>
          </w:p>
        </w:tc>
        <w:tc>
          <w:tcPr>
            <w:tcW w:w="144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r>
      <w:tr w:rsidR="00A04470" w:rsidRPr="00A04470" w:rsidTr="00A04470">
        <w:trPr>
          <w:trHeight w:val="300"/>
        </w:trPr>
        <w:tc>
          <w:tcPr>
            <w:tcW w:w="1255" w:type="dxa"/>
            <w:tcBorders>
              <w:top w:val="nil"/>
              <w:left w:val="single" w:sz="4" w:space="0" w:color="auto"/>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ind w:firstLineChars="100" w:firstLine="180"/>
              <w:rPr>
                <w:rFonts w:ascii="Arial" w:eastAsia="Times New Roman" w:hAnsi="Arial" w:cs="Arial"/>
                <w:color w:val="000000"/>
                <w:sz w:val="18"/>
                <w:szCs w:val="18"/>
              </w:rPr>
            </w:pPr>
            <w:r w:rsidRPr="00A04470">
              <w:rPr>
                <w:rFonts w:ascii="Arial" w:eastAsia="Times New Roman" w:hAnsi="Arial" w:cs="Arial"/>
                <w:color w:val="000000"/>
                <w:sz w:val="18"/>
                <w:szCs w:val="18"/>
              </w:rPr>
              <w:t>Plav</w:t>
            </w:r>
          </w:p>
        </w:tc>
        <w:tc>
          <w:tcPr>
            <w:tcW w:w="270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Velika</w:t>
            </w:r>
          </w:p>
        </w:tc>
        <w:tc>
          <w:tcPr>
            <w:tcW w:w="153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5</w:t>
            </w:r>
          </w:p>
        </w:tc>
        <w:tc>
          <w:tcPr>
            <w:tcW w:w="144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r>
      <w:tr w:rsidR="00A04470" w:rsidRPr="00A04470" w:rsidTr="00A04470">
        <w:trPr>
          <w:trHeight w:val="300"/>
        </w:trPr>
        <w:tc>
          <w:tcPr>
            <w:tcW w:w="1255" w:type="dxa"/>
            <w:tcBorders>
              <w:top w:val="nil"/>
              <w:left w:val="single" w:sz="4" w:space="0" w:color="auto"/>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ind w:firstLineChars="100" w:firstLine="180"/>
              <w:rPr>
                <w:rFonts w:ascii="Arial" w:eastAsia="Times New Roman" w:hAnsi="Arial" w:cs="Arial"/>
                <w:color w:val="000000"/>
                <w:sz w:val="18"/>
                <w:szCs w:val="18"/>
              </w:rPr>
            </w:pPr>
            <w:r w:rsidRPr="00A04470">
              <w:rPr>
                <w:rFonts w:ascii="Arial" w:eastAsia="Times New Roman" w:hAnsi="Arial" w:cs="Arial"/>
                <w:color w:val="000000"/>
                <w:sz w:val="18"/>
                <w:szCs w:val="18"/>
              </w:rPr>
              <w:t xml:space="preserve">Plav                          </w:t>
            </w:r>
          </w:p>
        </w:tc>
        <w:tc>
          <w:tcPr>
            <w:tcW w:w="270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Višnjevo</w:t>
            </w:r>
          </w:p>
        </w:tc>
        <w:tc>
          <w:tcPr>
            <w:tcW w:w="153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2</w:t>
            </w:r>
          </w:p>
        </w:tc>
        <w:tc>
          <w:tcPr>
            <w:tcW w:w="144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r>
      <w:tr w:rsidR="00A04470" w:rsidRPr="00A04470" w:rsidTr="00A04470">
        <w:trPr>
          <w:trHeight w:val="300"/>
        </w:trPr>
        <w:tc>
          <w:tcPr>
            <w:tcW w:w="1255" w:type="dxa"/>
            <w:tcBorders>
              <w:top w:val="nil"/>
              <w:left w:val="single" w:sz="4" w:space="0" w:color="auto"/>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ind w:firstLineChars="100" w:firstLine="180"/>
              <w:rPr>
                <w:rFonts w:ascii="Arial" w:eastAsia="Times New Roman" w:hAnsi="Arial" w:cs="Arial"/>
                <w:color w:val="000000"/>
                <w:sz w:val="18"/>
                <w:szCs w:val="18"/>
              </w:rPr>
            </w:pPr>
            <w:r w:rsidRPr="00A04470">
              <w:rPr>
                <w:rFonts w:ascii="Arial" w:eastAsia="Times New Roman" w:hAnsi="Arial" w:cs="Arial"/>
                <w:color w:val="000000"/>
                <w:sz w:val="18"/>
                <w:szCs w:val="18"/>
              </w:rPr>
              <w:t xml:space="preserve">Plav                          </w:t>
            </w:r>
          </w:p>
        </w:tc>
        <w:tc>
          <w:tcPr>
            <w:tcW w:w="270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Vojno Selo</w:t>
            </w:r>
          </w:p>
        </w:tc>
        <w:tc>
          <w:tcPr>
            <w:tcW w:w="153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16</w:t>
            </w:r>
          </w:p>
        </w:tc>
        <w:tc>
          <w:tcPr>
            <w:tcW w:w="144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c>
          <w:tcPr>
            <w:tcW w:w="1715"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r>
      <w:tr w:rsidR="00A04470" w:rsidRPr="00A04470" w:rsidTr="00A04470">
        <w:trPr>
          <w:trHeight w:val="300"/>
        </w:trPr>
        <w:tc>
          <w:tcPr>
            <w:tcW w:w="1255" w:type="dxa"/>
            <w:tcBorders>
              <w:top w:val="nil"/>
              <w:left w:val="single" w:sz="4" w:space="0" w:color="auto"/>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ind w:firstLineChars="100" w:firstLine="180"/>
              <w:rPr>
                <w:rFonts w:ascii="Arial" w:eastAsia="Times New Roman" w:hAnsi="Arial" w:cs="Arial"/>
                <w:color w:val="000000"/>
                <w:sz w:val="18"/>
                <w:szCs w:val="18"/>
              </w:rPr>
            </w:pPr>
            <w:r w:rsidRPr="00A04470">
              <w:rPr>
                <w:rFonts w:ascii="Arial" w:eastAsia="Times New Roman" w:hAnsi="Arial" w:cs="Arial"/>
                <w:color w:val="000000"/>
                <w:sz w:val="18"/>
                <w:szCs w:val="18"/>
              </w:rPr>
              <w:t>Plav</w:t>
            </w:r>
          </w:p>
        </w:tc>
        <w:tc>
          <w:tcPr>
            <w:tcW w:w="270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Vusanje</w:t>
            </w:r>
          </w:p>
        </w:tc>
        <w:tc>
          <w:tcPr>
            <w:tcW w:w="153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20</w:t>
            </w:r>
          </w:p>
        </w:tc>
        <w:tc>
          <w:tcPr>
            <w:tcW w:w="1440" w:type="dxa"/>
            <w:tcBorders>
              <w:top w:val="nil"/>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jc w:val="right"/>
              <w:rPr>
                <w:rFonts w:ascii="Arial" w:eastAsia="Times New Roman" w:hAnsi="Arial" w:cs="Arial"/>
                <w:color w:val="000000"/>
                <w:sz w:val="18"/>
                <w:szCs w:val="18"/>
              </w:rPr>
            </w:pPr>
            <w:r w:rsidRPr="00A04470">
              <w:rPr>
                <w:rFonts w:ascii="Arial" w:eastAsia="Times New Roman" w:hAnsi="Arial" w:cs="Arial"/>
                <w:color w:val="000000"/>
                <w:sz w:val="18"/>
                <w:szCs w:val="18"/>
              </w:rPr>
              <w:t>1</w:t>
            </w:r>
          </w:p>
        </w:tc>
        <w:tc>
          <w:tcPr>
            <w:tcW w:w="1715"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rPr>
                <w:rFonts w:ascii="Arial" w:eastAsia="Times New Roman" w:hAnsi="Arial" w:cs="Arial"/>
                <w:color w:val="000000"/>
                <w:sz w:val="18"/>
                <w:szCs w:val="18"/>
              </w:rPr>
            </w:pPr>
            <w:r w:rsidRPr="00A04470">
              <w:rPr>
                <w:rFonts w:ascii="Arial" w:eastAsia="Times New Roman" w:hAnsi="Arial" w:cs="Arial"/>
                <w:color w:val="000000"/>
                <w:sz w:val="18"/>
                <w:szCs w:val="18"/>
              </w:rPr>
              <w:t> </w:t>
            </w:r>
          </w:p>
        </w:tc>
      </w:tr>
      <w:tr w:rsidR="00A04470" w:rsidRPr="00A04470" w:rsidTr="00A04470">
        <w:trPr>
          <w:trHeight w:val="300"/>
        </w:trPr>
        <w:tc>
          <w:tcPr>
            <w:tcW w:w="39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jc w:val="center"/>
              <w:rPr>
                <w:rFonts w:ascii="Arial" w:eastAsia="Times New Roman" w:hAnsi="Arial" w:cs="Arial"/>
                <w:color w:val="000000"/>
                <w:sz w:val="18"/>
                <w:szCs w:val="18"/>
              </w:rPr>
            </w:pPr>
            <w:r w:rsidRPr="00A04470">
              <w:rPr>
                <w:rFonts w:ascii="Arial" w:eastAsia="Times New Roman" w:hAnsi="Arial" w:cs="Arial"/>
                <w:color w:val="000000"/>
                <w:sz w:val="18"/>
                <w:szCs w:val="18"/>
              </w:rPr>
              <w:t>Ukupno Opština</w:t>
            </w:r>
          </w:p>
        </w:tc>
        <w:tc>
          <w:tcPr>
            <w:tcW w:w="153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jc w:val="right"/>
              <w:rPr>
                <w:rFonts w:ascii="Calibri" w:eastAsia="Times New Roman" w:hAnsi="Calibri" w:cs="Times New Roman"/>
                <w:color w:val="000000"/>
              </w:rPr>
            </w:pPr>
            <w:r w:rsidRPr="00A04470">
              <w:rPr>
                <w:rFonts w:ascii="Calibri" w:eastAsia="Times New Roman" w:hAnsi="Calibri" w:cs="Times New Roman"/>
                <w:color w:val="000000"/>
              </w:rPr>
              <w:t>410</w:t>
            </w:r>
          </w:p>
        </w:tc>
        <w:tc>
          <w:tcPr>
            <w:tcW w:w="1440"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jc w:val="right"/>
              <w:rPr>
                <w:rFonts w:ascii="Calibri" w:eastAsia="Times New Roman" w:hAnsi="Calibri" w:cs="Times New Roman"/>
                <w:color w:val="000000"/>
              </w:rPr>
            </w:pPr>
            <w:r w:rsidRPr="00A04470">
              <w:rPr>
                <w:rFonts w:ascii="Calibri" w:eastAsia="Times New Roman" w:hAnsi="Calibri" w:cs="Times New Roman"/>
                <w:color w:val="000000"/>
              </w:rPr>
              <w:t>22</w:t>
            </w:r>
          </w:p>
        </w:tc>
        <w:tc>
          <w:tcPr>
            <w:tcW w:w="1715" w:type="dxa"/>
            <w:tcBorders>
              <w:top w:val="nil"/>
              <w:left w:val="nil"/>
              <w:bottom w:val="single" w:sz="4" w:space="0" w:color="auto"/>
              <w:right w:val="single" w:sz="4" w:space="0" w:color="auto"/>
            </w:tcBorders>
            <w:shd w:val="clear" w:color="auto" w:fill="auto"/>
            <w:noWrap/>
            <w:vAlign w:val="bottom"/>
            <w:hideMark/>
          </w:tcPr>
          <w:p w:rsidR="00A04470" w:rsidRPr="00A04470" w:rsidRDefault="00A04470" w:rsidP="00A04470">
            <w:pPr>
              <w:spacing w:after="0" w:line="240" w:lineRule="auto"/>
              <w:jc w:val="right"/>
              <w:rPr>
                <w:rFonts w:ascii="Calibri" w:eastAsia="Times New Roman" w:hAnsi="Calibri" w:cs="Times New Roman"/>
                <w:color w:val="000000"/>
              </w:rPr>
            </w:pPr>
            <w:r w:rsidRPr="00A04470">
              <w:rPr>
                <w:rFonts w:ascii="Calibri" w:eastAsia="Times New Roman" w:hAnsi="Calibri" w:cs="Times New Roman"/>
                <w:color w:val="000000"/>
              </w:rPr>
              <w:t>7</w:t>
            </w:r>
          </w:p>
        </w:tc>
      </w:tr>
      <w:tr w:rsidR="00A04470" w:rsidRPr="00A04470" w:rsidTr="00A04470">
        <w:trPr>
          <w:trHeight w:val="300"/>
        </w:trPr>
        <w:tc>
          <w:tcPr>
            <w:tcW w:w="39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 xml:space="preserve">% od 15+ starih </w:t>
            </w:r>
          </w:p>
        </w:tc>
        <w:tc>
          <w:tcPr>
            <w:tcW w:w="4685" w:type="dxa"/>
            <w:gridSpan w:val="3"/>
            <w:tcBorders>
              <w:top w:val="single" w:sz="4" w:space="0" w:color="auto"/>
              <w:left w:val="nil"/>
              <w:bottom w:val="single" w:sz="4" w:space="0" w:color="auto"/>
              <w:right w:val="single" w:sz="4" w:space="0" w:color="auto"/>
            </w:tcBorders>
            <w:shd w:val="clear" w:color="auto" w:fill="auto"/>
            <w:vAlign w:val="bottom"/>
            <w:hideMark/>
          </w:tcPr>
          <w:p w:rsidR="00A04470" w:rsidRPr="00A04470" w:rsidRDefault="00A04470" w:rsidP="00A04470">
            <w:pPr>
              <w:spacing w:after="0" w:line="240" w:lineRule="auto"/>
              <w:jc w:val="center"/>
              <w:rPr>
                <w:rFonts w:ascii="Calibri" w:eastAsia="Times New Roman" w:hAnsi="Calibri" w:cs="Times New Roman"/>
                <w:color w:val="000000"/>
              </w:rPr>
            </w:pPr>
            <w:r w:rsidRPr="00A04470">
              <w:rPr>
                <w:rFonts w:ascii="Calibri" w:eastAsia="Times New Roman" w:hAnsi="Calibri" w:cs="Times New Roman"/>
                <w:color w:val="000000"/>
              </w:rPr>
              <w:t>4.39%</w:t>
            </w:r>
          </w:p>
        </w:tc>
      </w:tr>
    </w:tbl>
    <w:p w:rsidR="00A04470" w:rsidRDefault="00A04470" w:rsidP="00A04470">
      <w:pPr>
        <w:spacing w:line="276" w:lineRule="auto"/>
      </w:pPr>
      <w:r>
        <w:t xml:space="preserve">Izvor: Monstat; Popis stanovništva Crne Gore 2011. </w:t>
      </w:r>
    </w:p>
    <w:p w:rsidR="00A04470" w:rsidRDefault="00A04470"/>
    <w:p w:rsidR="00A04470" w:rsidRDefault="00A04470"/>
    <w:p w:rsidR="00BB05D6" w:rsidRDefault="00BB05D6"/>
    <w:p w:rsidR="00BB05D6" w:rsidRDefault="00BB05D6"/>
    <w:p w:rsidR="00BB05D6" w:rsidRDefault="00BB05D6"/>
    <w:p w:rsidR="008A4B8B" w:rsidRDefault="008A4B8B"/>
    <w:p w:rsidR="008A4B8B" w:rsidRDefault="00905242" w:rsidP="00BB05D6">
      <w:pPr>
        <w:spacing w:after="0" w:line="240" w:lineRule="auto"/>
        <w:rPr>
          <w:rFonts w:cs="ArialMT"/>
        </w:rPr>
      </w:pPr>
      <w:r>
        <w:rPr>
          <w:rFonts w:cs="ArialMT"/>
        </w:rPr>
        <w:t>Tabela 7</w:t>
      </w:r>
      <w:r w:rsidR="00BB05D6" w:rsidRPr="00BB05D6">
        <w:rPr>
          <w:rFonts w:cs="ArialMT"/>
        </w:rPr>
        <w:t xml:space="preserve">: Porodična polјоprivredna gazdinstva preme veličini razreda korišćenog poljoprivrednog zemljišta po opštinama </w:t>
      </w:r>
    </w:p>
    <w:p w:rsidR="00943C70" w:rsidRDefault="00943C70" w:rsidP="00BB05D6">
      <w:pPr>
        <w:spacing w:after="0" w:line="240" w:lineRule="auto"/>
        <w:rPr>
          <w:rFonts w:cs="ArialMT"/>
        </w:rPr>
      </w:pPr>
      <w:r w:rsidRPr="00943C70">
        <w:rPr>
          <w:noProof/>
        </w:rPr>
        <w:drawing>
          <wp:inline distT="0" distB="0" distL="0" distR="0">
            <wp:extent cx="5943600" cy="18896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889631"/>
                    </a:xfrm>
                    <a:prstGeom prst="rect">
                      <a:avLst/>
                    </a:prstGeom>
                    <a:noFill/>
                    <a:ln>
                      <a:noFill/>
                    </a:ln>
                  </pic:spPr>
                </pic:pic>
              </a:graphicData>
            </a:graphic>
          </wp:inline>
        </w:drawing>
      </w:r>
    </w:p>
    <w:p w:rsidR="000A7C0F" w:rsidRPr="00233423" w:rsidRDefault="000A7C0F" w:rsidP="000A7C0F">
      <w:pPr>
        <w:spacing w:line="276" w:lineRule="auto"/>
        <w:rPr>
          <w:sz w:val="20"/>
          <w:szCs w:val="20"/>
        </w:rPr>
      </w:pPr>
      <w:r w:rsidRPr="00233423">
        <w:rPr>
          <w:sz w:val="20"/>
          <w:szCs w:val="20"/>
        </w:rPr>
        <w:t xml:space="preserve">Izvor: Monstat; Popis poljoprivrede Crne Gore 2010. </w:t>
      </w:r>
    </w:p>
    <w:p w:rsidR="00372657" w:rsidRDefault="00372657" w:rsidP="00372657">
      <w:pPr>
        <w:spacing w:line="276" w:lineRule="auto"/>
        <w:rPr>
          <w:rFonts w:cs="ArialMT"/>
        </w:rPr>
      </w:pPr>
    </w:p>
    <w:p w:rsidR="009356A1" w:rsidRDefault="00AF6053" w:rsidP="00AF6053">
      <w:pPr>
        <w:spacing w:after="0" w:line="276" w:lineRule="auto"/>
        <w:jc w:val="center"/>
        <w:rPr>
          <w:rFonts w:cs="ArialMT"/>
        </w:rPr>
      </w:pPr>
      <w:r>
        <w:rPr>
          <w:rFonts w:cs="ArialMT"/>
          <w:noProof/>
        </w:rPr>
        <w:drawing>
          <wp:inline distT="0" distB="0" distL="0" distR="0">
            <wp:extent cx="4429760" cy="3187312"/>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2315" cy="3196346"/>
                    </a:xfrm>
                    <a:prstGeom prst="rect">
                      <a:avLst/>
                    </a:prstGeom>
                    <a:noFill/>
                  </pic:spPr>
                </pic:pic>
              </a:graphicData>
            </a:graphic>
          </wp:inline>
        </w:drawing>
      </w:r>
    </w:p>
    <w:p w:rsidR="009356A1" w:rsidRPr="00AF6053" w:rsidRDefault="006C496C" w:rsidP="00AF6053">
      <w:pPr>
        <w:tabs>
          <w:tab w:val="left" w:pos="1278"/>
        </w:tabs>
        <w:spacing w:after="0" w:line="276" w:lineRule="auto"/>
        <w:rPr>
          <w:rFonts w:cs="ArialMT"/>
          <w:sz w:val="18"/>
          <w:szCs w:val="18"/>
        </w:rPr>
      </w:pPr>
      <w:r>
        <w:rPr>
          <w:rFonts w:cs="ArialMT"/>
          <w:sz w:val="18"/>
          <w:szCs w:val="18"/>
        </w:rPr>
        <w:tab/>
        <w:t>Grafik: Raspored gazdinstava</w:t>
      </w:r>
      <w:r w:rsidR="00AF6053" w:rsidRPr="00AF6053">
        <w:rPr>
          <w:rFonts w:cs="ArialMT"/>
          <w:sz w:val="18"/>
          <w:szCs w:val="18"/>
        </w:rPr>
        <w:t xml:space="preserve"> prema veličini poseda u Crnoj Gori (plava) i Plavu (crvena boja)</w:t>
      </w:r>
    </w:p>
    <w:p w:rsidR="00AF6053" w:rsidRDefault="00AF6053" w:rsidP="00372657">
      <w:pPr>
        <w:spacing w:line="276" w:lineRule="auto"/>
        <w:rPr>
          <w:rFonts w:cs="ArialMT"/>
        </w:rPr>
      </w:pPr>
    </w:p>
    <w:p w:rsidR="009356A1" w:rsidRDefault="009356A1" w:rsidP="00372657">
      <w:pPr>
        <w:spacing w:line="276" w:lineRule="auto"/>
        <w:rPr>
          <w:rFonts w:cs="ArialMT"/>
        </w:rPr>
      </w:pPr>
    </w:p>
    <w:p w:rsidR="009356A1" w:rsidRDefault="009356A1" w:rsidP="00372657">
      <w:pPr>
        <w:spacing w:line="276" w:lineRule="auto"/>
        <w:rPr>
          <w:rFonts w:cs="ArialMT"/>
        </w:rPr>
        <w:sectPr w:rsidR="009356A1">
          <w:pgSz w:w="12240" w:h="15840"/>
          <w:pgMar w:top="1440" w:right="1440" w:bottom="1440" w:left="1440" w:header="720" w:footer="720" w:gutter="0"/>
          <w:cols w:space="720"/>
          <w:docGrid w:linePitch="360"/>
        </w:sectPr>
      </w:pPr>
    </w:p>
    <w:p w:rsidR="009356A1" w:rsidRDefault="00905242" w:rsidP="00703E50">
      <w:pPr>
        <w:spacing w:after="0" w:line="276" w:lineRule="auto"/>
        <w:rPr>
          <w:rFonts w:cs="ArialMT"/>
        </w:rPr>
      </w:pPr>
      <w:r>
        <w:rPr>
          <w:rFonts w:cs="ArialMT"/>
        </w:rPr>
        <w:lastRenderedPageBreak/>
        <w:t>Tabela 8</w:t>
      </w:r>
      <w:r w:rsidR="00703E50">
        <w:rPr>
          <w:rFonts w:cs="ArialMT"/>
        </w:rPr>
        <w:t xml:space="preserve">: Angažovanje ljudskih resursa u poljoprivredi Crne Gore po pojedinim opštinama </w:t>
      </w:r>
    </w:p>
    <w:p w:rsidR="00703E50" w:rsidRDefault="00703E50" w:rsidP="00703E50">
      <w:pPr>
        <w:spacing w:after="0" w:line="240" w:lineRule="auto"/>
        <w:rPr>
          <w:rFonts w:cs="ArialMT"/>
        </w:rPr>
      </w:pPr>
      <w:r w:rsidRPr="00703E50">
        <w:rPr>
          <w:noProof/>
        </w:rPr>
        <w:drawing>
          <wp:inline distT="0" distB="0" distL="0" distR="0">
            <wp:extent cx="8735291" cy="4925060"/>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73255" cy="4946465"/>
                    </a:xfrm>
                    <a:prstGeom prst="rect">
                      <a:avLst/>
                    </a:prstGeom>
                    <a:noFill/>
                    <a:ln>
                      <a:noFill/>
                    </a:ln>
                  </pic:spPr>
                </pic:pic>
              </a:graphicData>
            </a:graphic>
          </wp:inline>
        </w:drawing>
      </w:r>
    </w:p>
    <w:p w:rsidR="00703E50" w:rsidRPr="00233423" w:rsidRDefault="00703E50" w:rsidP="00703E50">
      <w:pPr>
        <w:spacing w:line="276" w:lineRule="auto"/>
        <w:rPr>
          <w:sz w:val="20"/>
          <w:szCs w:val="20"/>
        </w:rPr>
      </w:pPr>
      <w:r w:rsidRPr="00233423">
        <w:rPr>
          <w:sz w:val="20"/>
          <w:szCs w:val="20"/>
        </w:rPr>
        <w:t xml:space="preserve">Izvor: Monstat; Popis poljoprivrede Crne Gore 2010. </w:t>
      </w:r>
    </w:p>
    <w:p w:rsidR="00703E50" w:rsidRDefault="00703E50" w:rsidP="00703E50">
      <w:pPr>
        <w:spacing w:line="276" w:lineRule="auto"/>
      </w:pPr>
    </w:p>
    <w:p w:rsidR="00703E50" w:rsidRDefault="00703E50" w:rsidP="00703E50">
      <w:pPr>
        <w:spacing w:line="276" w:lineRule="auto"/>
      </w:pPr>
    </w:p>
    <w:p w:rsidR="00703E50" w:rsidRDefault="00703E50" w:rsidP="00233423">
      <w:pPr>
        <w:spacing w:after="0" w:line="276" w:lineRule="auto"/>
      </w:pPr>
    </w:p>
    <w:p w:rsidR="00372657" w:rsidRDefault="00905242" w:rsidP="00233423">
      <w:pPr>
        <w:spacing w:after="0" w:line="276" w:lineRule="auto"/>
      </w:pPr>
      <w:r>
        <w:t>Tabela 9</w:t>
      </w:r>
      <w:r w:rsidR="00233423">
        <w:t>: Upotreba raspoloživ</w:t>
      </w:r>
      <w:r w:rsidR="0048797D">
        <w:t>og zemljišta u opštini Plav i C</w:t>
      </w:r>
      <w:r w:rsidR="00233423">
        <w:t xml:space="preserve">rnoj Gori po veličini posjeda </w:t>
      </w:r>
    </w:p>
    <w:p w:rsidR="00233423" w:rsidRPr="00BB05D6" w:rsidRDefault="00233423" w:rsidP="00233423">
      <w:pPr>
        <w:spacing w:after="0" w:line="240" w:lineRule="auto"/>
      </w:pPr>
      <w:r w:rsidRPr="00233423">
        <w:rPr>
          <w:noProof/>
        </w:rPr>
        <w:drawing>
          <wp:inline distT="0" distB="0" distL="0" distR="0">
            <wp:extent cx="8637905" cy="477981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11250" cy="4820404"/>
                    </a:xfrm>
                    <a:prstGeom prst="rect">
                      <a:avLst/>
                    </a:prstGeom>
                    <a:noFill/>
                    <a:ln>
                      <a:noFill/>
                    </a:ln>
                  </pic:spPr>
                </pic:pic>
              </a:graphicData>
            </a:graphic>
          </wp:inline>
        </w:drawing>
      </w:r>
    </w:p>
    <w:p w:rsidR="00233423" w:rsidRPr="00233423" w:rsidRDefault="00233423" w:rsidP="00233423">
      <w:pPr>
        <w:spacing w:line="276" w:lineRule="auto"/>
        <w:rPr>
          <w:sz w:val="20"/>
          <w:szCs w:val="20"/>
        </w:rPr>
      </w:pPr>
      <w:r w:rsidRPr="00233423">
        <w:rPr>
          <w:sz w:val="20"/>
          <w:szCs w:val="20"/>
        </w:rPr>
        <w:t xml:space="preserve">Izvor: Monstat; Popis poljoprivrede Crne Gore 2010. </w:t>
      </w:r>
    </w:p>
    <w:p w:rsidR="00423D8F" w:rsidRDefault="00423D8F" w:rsidP="00372657">
      <w:pPr>
        <w:spacing w:line="276" w:lineRule="auto"/>
      </w:pPr>
    </w:p>
    <w:p w:rsidR="009356A1" w:rsidRDefault="009356A1" w:rsidP="00423D8F">
      <w:pPr>
        <w:spacing w:after="0"/>
      </w:pPr>
    </w:p>
    <w:p w:rsidR="00703E50" w:rsidRDefault="00703E50" w:rsidP="00423D8F">
      <w:pPr>
        <w:spacing w:after="0"/>
      </w:pPr>
    </w:p>
    <w:p w:rsidR="008A4B8B" w:rsidRDefault="00905242" w:rsidP="00423D8F">
      <w:pPr>
        <w:spacing w:after="0"/>
      </w:pPr>
      <w:r>
        <w:t>Tabela 10</w:t>
      </w:r>
      <w:r w:rsidR="00423D8F">
        <w:t xml:space="preserve">: Broj grla različite vrste stoke u opštini Plav i Crnoj Gori </w:t>
      </w:r>
    </w:p>
    <w:p w:rsidR="00423D8F" w:rsidRDefault="00721FA9" w:rsidP="00721FA9">
      <w:pPr>
        <w:spacing w:after="0"/>
      </w:pPr>
      <w:r w:rsidRPr="00721FA9">
        <w:rPr>
          <w:noProof/>
        </w:rPr>
        <w:drawing>
          <wp:inline distT="0" distB="0" distL="0" distR="0">
            <wp:extent cx="8644890" cy="4925291"/>
            <wp:effectExtent l="0" t="0" r="381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12746" cy="4963951"/>
                    </a:xfrm>
                    <a:prstGeom prst="rect">
                      <a:avLst/>
                    </a:prstGeom>
                    <a:noFill/>
                    <a:ln>
                      <a:noFill/>
                    </a:ln>
                  </pic:spPr>
                </pic:pic>
              </a:graphicData>
            </a:graphic>
          </wp:inline>
        </w:drawing>
      </w:r>
    </w:p>
    <w:p w:rsidR="00233423" w:rsidRPr="009356A1" w:rsidRDefault="00423D8F">
      <w:pPr>
        <w:rPr>
          <w:sz w:val="20"/>
          <w:szCs w:val="20"/>
        </w:rPr>
      </w:pPr>
      <w:r w:rsidRPr="00423D8F">
        <w:rPr>
          <w:sz w:val="20"/>
          <w:szCs w:val="20"/>
        </w:rPr>
        <w:t>Izvor: Monstat; Popis poljoprivrede Crne Gore 2010.</w:t>
      </w:r>
    </w:p>
    <w:p w:rsidR="00233423" w:rsidRDefault="00233423"/>
    <w:p w:rsidR="009356A1" w:rsidRDefault="009356A1">
      <w:pPr>
        <w:sectPr w:rsidR="009356A1" w:rsidSect="009356A1">
          <w:pgSz w:w="15840" w:h="12240" w:orient="landscape"/>
          <w:pgMar w:top="1440" w:right="1440" w:bottom="1440" w:left="1440" w:header="720" w:footer="720" w:gutter="0"/>
          <w:cols w:space="720"/>
          <w:docGrid w:linePitch="360"/>
        </w:sectPr>
      </w:pPr>
    </w:p>
    <w:p w:rsidR="00233423" w:rsidRDefault="00233423"/>
    <w:p w:rsidR="00B232C3" w:rsidRDefault="00B232C3"/>
    <w:p w:rsidR="00B232C3" w:rsidRPr="00B232C3" w:rsidRDefault="00905242" w:rsidP="00B232C3">
      <w:pPr>
        <w:spacing w:after="0" w:line="240" w:lineRule="auto"/>
        <w:rPr>
          <w:rFonts w:ascii="Calibri" w:eastAsia="Times New Roman" w:hAnsi="Calibri" w:cs="Times New Roman"/>
        </w:rPr>
      </w:pPr>
      <w:r>
        <w:rPr>
          <w:rFonts w:ascii="Arial" w:eastAsia="Times New Roman" w:hAnsi="Arial" w:cs="Arial"/>
          <w:sz w:val="18"/>
          <w:szCs w:val="18"/>
        </w:rPr>
        <w:t>Tabela 11</w:t>
      </w:r>
      <w:r w:rsidR="00B232C3" w:rsidRPr="00B232C3">
        <w:rPr>
          <w:rFonts w:ascii="Arial" w:eastAsia="Times New Roman" w:hAnsi="Arial" w:cs="Arial"/>
          <w:sz w:val="18"/>
          <w:szCs w:val="18"/>
        </w:rPr>
        <w:t>. Porodična poljoprivredna gazdinstva prema mjestu ispaše i prema tipu st</w:t>
      </w:r>
      <w:r w:rsidR="00B232C3">
        <w:rPr>
          <w:rFonts w:ascii="Arial" w:eastAsia="Times New Roman" w:hAnsi="Arial" w:cs="Arial"/>
          <w:sz w:val="18"/>
          <w:szCs w:val="18"/>
        </w:rPr>
        <w:t xml:space="preserve">očarske proizvodnje </w:t>
      </w:r>
    </w:p>
    <w:p w:rsidR="00B232C3" w:rsidRDefault="00B232C3" w:rsidP="00B232C3">
      <w:pPr>
        <w:spacing w:after="0" w:line="240" w:lineRule="auto"/>
      </w:pPr>
      <w:r w:rsidRPr="00B232C3">
        <w:rPr>
          <w:noProof/>
        </w:rPr>
        <w:drawing>
          <wp:inline distT="0" distB="0" distL="0" distR="0">
            <wp:extent cx="5375183" cy="662247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7339" cy="6637449"/>
                    </a:xfrm>
                    <a:prstGeom prst="rect">
                      <a:avLst/>
                    </a:prstGeom>
                    <a:noFill/>
                    <a:ln>
                      <a:noFill/>
                    </a:ln>
                  </pic:spPr>
                </pic:pic>
              </a:graphicData>
            </a:graphic>
          </wp:inline>
        </w:drawing>
      </w:r>
    </w:p>
    <w:p w:rsidR="00B232C3" w:rsidRPr="009356A1" w:rsidRDefault="00B232C3" w:rsidP="00B232C3">
      <w:pPr>
        <w:rPr>
          <w:sz w:val="20"/>
          <w:szCs w:val="20"/>
        </w:rPr>
      </w:pPr>
      <w:r w:rsidRPr="00423D8F">
        <w:rPr>
          <w:sz w:val="20"/>
          <w:szCs w:val="20"/>
        </w:rPr>
        <w:t>Izvor: Monstat; Popis poljoprivrede Crne Gore 2010.</w:t>
      </w:r>
    </w:p>
    <w:p w:rsidR="00B232C3" w:rsidRDefault="00B232C3"/>
    <w:p w:rsidR="00B232C3" w:rsidRDefault="00B232C3"/>
    <w:p w:rsidR="00233423" w:rsidRDefault="00233423"/>
    <w:p w:rsidR="00B232C3" w:rsidRDefault="00B232C3"/>
    <w:p w:rsidR="00B232C3" w:rsidRDefault="00B232C3"/>
    <w:p w:rsidR="000E477E" w:rsidRPr="000E477E" w:rsidRDefault="00905242" w:rsidP="000E477E">
      <w:pPr>
        <w:spacing w:after="0"/>
        <w:rPr>
          <w:rFonts w:ascii="Calibri" w:eastAsia="Times New Roman" w:hAnsi="Calibri" w:cs="Times New Roman"/>
          <w:color w:val="000000"/>
        </w:rPr>
      </w:pPr>
      <w:r>
        <w:t>Tabela 12</w:t>
      </w:r>
      <w:r w:rsidR="000E477E">
        <w:t xml:space="preserve">: </w:t>
      </w:r>
      <w:r w:rsidR="000E477E" w:rsidRPr="000E477E">
        <w:rPr>
          <w:rFonts w:ascii="Calibri" w:eastAsia="Times New Roman" w:hAnsi="Calibri" w:cs="Times New Roman"/>
          <w:color w:val="000000"/>
        </w:rPr>
        <w:t>Porodična poljoprivredna gazdinstva prema površini višegodišnjih livada i pašnjaka</w:t>
      </w:r>
    </w:p>
    <w:p w:rsidR="00233423" w:rsidRDefault="000E477E" w:rsidP="00441AE2">
      <w:pPr>
        <w:spacing w:after="0"/>
      </w:pPr>
      <w:r w:rsidRPr="000E477E">
        <w:rPr>
          <w:noProof/>
        </w:rPr>
        <w:drawing>
          <wp:inline distT="0" distB="0" distL="0" distR="0">
            <wp:extent cx="6241473" cy="6060827"/>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60754" cy="6079550"/>
                    </a:xfrm>
                    <a:prstGeom prst="rect">
                      <a:avLst/>
                    </a:prstGeom>
                    <a:noFill/>
                    <a:ln>
                      <a:noFill/>
                    </a:ln>
                  </pic:spPr>
                </pic:pic>
              </a:graphicData>
            </a:graphic>
          </wp:inline>
        </w:drawing>
      </w:r>
    </w:p>
    <w:p w:rsidR="00441AE2" w:rsidRPr="009356A1" w:rsidRDefault="00441AE2" w:rsidP="00441AE2">
      <w:pPr>
        <w:rPr>
          <w:sz w:val="20"/>
          <w:szCs w:val="20"/>
        </w:rPr>
      </w:pPr>
      <w:r w:rsidRPr="00423D8F">
        <w:rPr>
          <w:sz w:val="20"/>
          <w:szCs w:val="20"/>
        </w:rPr>
        <w:t>Izvor: Monstat; Popis poljoprivrede Crne Gore 2010.</w:t>
      </w:r>
    </w:p>
    <w:p w:rsidR="00233423" w:rsidRDefault="00233423"/>
    <w:p w:rsidR="00233423" w:rsidRDefault="00233423"/>
    <w:p w:rsidR="00233423" w:rsidRDefault="00233423"/>
    <w:p w:rsidR="00233423" w:rsidRDefault="00233423"/>
    <w:p w:rsidR="000E477E" w:rsidRDefault="000E477E"/>
    <w:p w:rsidR="008A4B8B" w:rsidRDefault="008A4B8B"/>
    <w:p w:rsidR="00441AE2" w:rsidRDefault="00905242" w:rsidP="00441AE2">
      <w:pPr>
        <w:spacing w:after="0" w:line="240" w:lineRule="auto"/>
        <w:rPr>
          <w:rFonts w:ascii="Calibri" w:eastAsia="Times New Roman" w:hAnsi="Calibri" w:cs="Times New Roman"/>
          <w:color w:val="000000"/>
        </w:rPr>
      </w:pPr>
      <w:r>
        <w:rPr>
          <w:rFonts w:ascii="Calibri" w:eastAsia="Times New Roman" w:hAnsi="Calibri" w:cs="Times New Roman"/>
          <w:color w:val="000000"/>
        </w:rPr>
        <w:t>Tabela 13</w:t>
      </w:r>
      <w:r w:rsidR="00441AE2" w:rsidRPr="00441AE2">
        <w:rPr>
          <w:rFonts w:ascii="Calibri" w:eastAsia="Times New Roman" w:hAnsi="Calibri" w:cs="Times New Roman"/>
          <w:color w:val="000000"/>
        </w:rPr>
        <w:t>. Broj porodičnih poljoprivrednih gazdinstava prema n</w:t>
      </w:r>
      <w:r w:rsidR="00441AE2">
        <w:rPr>
          <w:rFonts w:ascii="Calibri" w:eastAsia="Times New Roman" w:hAnsi="Calibri" w:cs="Times New Roman"/>
          <w:color w:val="000000"/>
        </w:rPr>
        <w:t>avodnjavanoj površini,</w:t>
      </w:r>
      <w:r w:rsidR="00441AE2" w:rsidRPr="00441AE2">
        <w:rPr>
          <w:rFonts w:ascii="Calibri" w:eastAsia="Times New Roman" w:hAnsi="Calibri" w:cs="Times New Roman"/>
          <w:color w:val="000000"/>
        </w:rPr>
        <w:t xml:space="preserve"> 2010</w:t>
      </w:r>
    </w:p>
    <w:p w:rsidR="00441AE2" w:rsidRPr="00441AE2" w:rsidRDefault="00441AE2" w:rsidP="00441AE2">
      <w:pPr>
        <w:spacing w:after="0" w:line="240" w:lineRule="auto"/>
        <w:rPr>
          <w:rFonts w:ascii="Calibri" w:eastAsia="Times New Roman" w:hAnsi="Calibri" w:cs="Times New Roman"/>
          <w:color w:val="000000"/>
        </w:rPr>
      </w:pPr>
      <w:r w:rsidRPr="00441AE2">
        <w:rPr>
          <w:noProof/>
        </w:rPr>
        <w:drawing>
          <wp:inline distT="0" distB="0" distL="0" distR="0">
            <wp:extent cx="6351495" cy="603365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436" cy="6062097"/>
                    </a:xfrm>
                    <a:prstGeom prst="rect">
                      <a:avLst/>
                    </a:prstGeom>
                    <a:noFill/>
                    <a:ln>
                      <a:noFill/>
                    </a:ln>
                  </pic:spPr>
                </pic:pic>
              </a:graphicData>
            </a:graphic>
          </wp:inline>
        </w:drawing>
      </w:r>
    </w:p>
    <w:p w:rsidR="00441AE2" w:rsidRPr="009356A1" w:rsidRDefault="00441AE2" w:rsidP="00441AE2">
      <w:pPr>
        <w:rPr>
          <w:sz w:val="20"/>
          <w:szCs w:val="20"/>
        </w:rPr>
      </w:pPr>
      <w:r w:rsidRPr="00423D8F">
        <w:rPr>
          <w:sz w:val="20"/>
          <w:szCs w:val="20"/>
        </w:rPr>
        <w:t>Izvor: Monstat; Popis poljoprivrede Crne Gore 2010.</w:t>
      </w:r>
    </w:p>
    <w:p w:rsidR="000E477E" w:rsidRDefault="000E477E"/>
    <w:p w:rsidR="000E477E" w:rsidRDefault="000E477E"/>
    <w:p w:rsidR="000E477E" w:rsidRDefault="000E477E"/>
    <w:p w:rsidR="000E477E" w:rsidRDefault="000E477E"/>
    <w:p w:rsidR="000E477E" w:rsidRDefault="000E477E"/>
    <w:p w:rsidR="00441AE2" w:rsidRDefault="00441AE2"/>
    <w:p w:rsidR="00441AE2" w:rsidRDefault="00905242" w:rsidP="004D0FB5">
      <w:pPr>
        <w:spacing w:after="0" w:line="240" w:lineRule="auto"/>
      </w:pPr>
      <w:r>
        <w:rPr>
          <w:rFonts w:ascii="Calibri" w:eastAsia="Times New Roman" w:hAnsi="Calibri" w:cs="Times New Roman"/>
          <w:color w:val="000000"/>
        </w:rPr>
        <w:t>Tabela 14</w:t>
      </w:r>
      <w:r w:rsidR="0014565B">
        <w:rPr>
          <w:rFonts w:ascii="Calibri" w:eastAsia="Times New Roman" w:hAnsi="Calibri" w:cs="Times New Roman"/>
          <w:color w:val="000000"/>
        </w:rPr>
        <w:t>: Broj porodič poljoprivrednih gazdinst</w:t>
      </w:r>
      <w:r w:rsidR="004D0FB5" w:rsidRPr="004D0FB5">
        <w:rPr>
          <w:rFonts w:ascii="Calibri" w:eastAsia="Times New Roman" w:hAnsi="Calibri" w:cs="Times New Roman"/>
          <w:color w:val="000000"/>
        </w:rPr>
        <w:t xml:space="preserve"> prema količ</w:t>
      </w:r>
      <w:r w:rsidR="004D0FB5">
        <w:rPr>
          <w:rFonts w:ascii="Calibri" w:eastAsia="Times New Roman" w:hAnsi="Calibri" w:cs="Times New Roman"/>
          <w:color w:val="000000"/>
        </w:rPr>
        <w:t>ini vode utrošene za</w:t>
      </w:r>
      <w:r w:rsidR="004D0FB5" w:rsidRPr="004D0FB5">
        <w:rPr>
          <w:rFonts w:ascii="Calibri" w:eastAsia="Times New Roman" w:hAnsi="Calibri" w:cs="Times New Roman"/>
          <w:color w:val="000000"/>
        </w:rPr>
        <w:t xml:space="preserve"> navodnjavanje, 2010</w:t>
      </w:r>
    </w:p>
    <w:p w:rsidR="00441AE2" w:rsidRDefault="004D0FB5" w:rsidP="004D0FB5">
      <w:pPr>
        <w:spacing w:after="0"/>
      </w:pPr>
      <w:r w:rsidRPr="004D0FB5">
        <w:rPr>
          <w:noProof/>
        </w:rPr>
        <w:drawing>
          <wp:inline distT="0" distB="0" distL="0" distR="0">
            <wp:extent cx="6303645" cy="5957454"/>
            <wp:effectExtent l="0" t="0" r="190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15112" cy="5968291"/>
                    </a:xfrm>
                    <a:prstGeom prst="rect">
                      <a:avLst/>
                    </a:prstGeom>
                    <a:noFill/>
                    <a:ln>
                      <a:noFill/>
                    </a:ln>
                  </pic:spPr>
                </pic:pic>
              </a:graphicData>
            </a:graphic>
          </wp:inline>
        </w:drawing>
      </w:r>
    </w:p>
    <w:p w:rsidR="004D0FB5" w:rsidRPr="009356A1" w:rsidRDefault="004D0FB5" w:rsidP="004D0FB5">
      <w:pPr>
        <w:rPr>
          <w:sz w:val="20"/>
          <w:szCs w:val="20"/>
        </w:rPr>
      </w:pPr>
      <w:r w:rsidRPr="00423D8F">
        <w:rPr>
          <w:sz w:val="20"/>
          <w:szCs w:val="20"/>
        </w:rPr>
        <w:t>Izvor: Monstat; Popis poljoprivrede Crne Gore 2010.</w:t>
      </w:r>
    </w:p>
    <w:p w:rsidR="004D0FB5" w:rsidRDefault="004D0FB5"/>
    <w:p w:rsidR="00603015" w:rsidRDefault="00603015">
      <w:r>
        <w:br w:type="page"/>
      </w:r>
    </w:p>
    <w:p w:rsidR="00603015" w:rsidRDefault="00603015" w:rsidP="004D1F30">
      <w:pPr>
        <w:spacing w:line="276" w:lineRule="auto"/>
      </w:pPr>
    </w:p>
    <w:p w:rsidR="00832C48" w:rsidRPr="004D1F30" w:rsidRDefault="00832C48" w:rsidP="004D1F30">
      <w:pPr>
        <w:spacing w:line="276" w:lineRule="auto"/>
      </w:pPr>
    </w:p>
    <w:p w:rsidR="0021042C" w:rsidRDefault="00D5582C" w:rsidP="004D1F30">
      <w:pPr>
        <w:spacing w:line="276" w:lineRule="auto"/>
        <w:rPr>
          <w:b/>
          <w:sz w:val="28"/>
          <w:szCs w:val="28"/>
        </w:rPr>
      </w:pPr>
      <w:r>
        <w:rPr>
          <w:b/>
          <w:sz w:val="28"/>
          <w:szCs w:val="28"/>
        </w:rPr>
        <w:t>5.</w:t>
      </w:r>
      <w:r w:rsidR="0021042C" w:rsidRPr="004D1F30">
        <w:rPr>
          <w:b/>
          <w:sz w:val="28"/>
          <w:szCs w:val="28"/>
        </w:rPr>
        <w:t xml:space="preserve"> EKOLOŠKI EFEKTI </w:t>
      </w:r>
      <w:r w:rsidR="00016BCE">
        <w:rPr>
          <w:b/>
          <w:sz w:val="28"/>
          <w:szCs w:val="28"/>
        </w:rPr>
        <w:t xml:space="preserve">I </w:t>
      </w:r>
      <w:r w:rsidR="00BB47ED">
        <w:rPr>
          <w:b/>
          <w:sz w:val="28"/>
          <w:szCs w:val="28"/>
        </w:rPr>
        <w:t xml:space="preserve">MOGUĆNOST </w:t>
      </w:r>
      <w:r w:rsidR="005537CC">
        <w:rPr>
          <w:b/>
          <w:sz w:val="28"/>
          <w:szCs w:val="28"/>
        </w:rPr>
        <w:t>NJIHOVE EKONOMSKE EVALUACIJE</w:t>
      </w:r>
    </w:p>
    <w:p w:rsidR="00280925" w:rsidRDefault="00E51FE3" w:rsidP="00E51FE3">
      <w:pPr>
        <w:spacing w:line="276" w:lineRule="auto"/>
        <w:jc w:val="both"/>
      </w:pPr>
      <w:r>
        <w:t>Glavni motiv i glavno opravdanje za pokretanje projekata malih i mikro elektrana je ekološke prirode. Zasniva se na tvrdnji da kao obnovljiv izvor</w:t>
      </w:r>
      <w:r w:rsidR="00280925">
        <w:t xml:space="preserve"> energije,</w:t>
      </w:r>
      <w:r>
        <w:t xml:space="preserve"> koji uz to </w:t>
      </w:r>
      <w:r w:rsidR="00280925">
        <w:t xml:space="preserve">ne pravi nikakve </w:t>
      </w:r>
      <w:r w:rsidR="009525CA">
        <w:t xml:space="preserve">aero ili druge </w:t>
      </w:r>
      <w:r w:rsidR="00280925">
        <w:t xml:space="preserve">polucije, male hidroelektrane značajno povećavaju tokove ekoloških usluga i na taj nemonetarni način direktno povećavaju naše blagostanje. </w:t>
      </w:r>
    </w:p>
    <w:p w:rsidR="00E51FE3" w:rsidRDefault="00280925" w:rsidP="00E51FE3">
      <w:pPr>
        <w:spacing w:line="276" w:lineRule="auto"/>
        <w:jc w:val="both"/>
      </w:pPr>
      <w:r>
        <w:t>Ovo je, zaista, tačno ukoliko je, kako dalje ide argumentacija, jedina alternativa u proizvodnji energije upotreba električne energije iz novih termoelektrana</w:t>
      </w:r>
      <w:r w:rsidR="009525CA">
        <w:t xml:space="preserve"> (TE)</w:t>
      </w:r>
      <w:r>
        <w:t>. U tom slučaju, mHE zaista, sprečava</w:t>
      </w:r>
      <w:r w:rsidR="00E34F1B">
        <w:t xml:space="preserve">jući gradnju </w:t>
      </w:r>
      <w:r w:rsidR="009525CA">
        <w:t xml:space="preserve">novih i smanjenje broja starih </w:t>
      </w:r>
      <w:r w:rsidR="00E34F1B">
        <w:t>termo-</w:t>
      </w:r>
      <w:r>
        <w:t>elektrana</w:t>
      </w:r>
      <w:r w:rsidR="00E34F1B">
        <w:t xml:space="preserve"> (TE)</w:t>
      </w:r>
      <w:r>
        <w:t>, smanjuju emisiju CO2 smanjijući na taj način životne neugodnosti, smrtnost populacije, zdravstvene troškove i slično. Sve ovo se može monetarno izraziti i može služiti kao mjera koristi od ekoloških usluga</w:t>
      </w:r>
      <w:r w:rsidR="00E34F1B">
        <w:t xml:space="preserve"> malih elektrana</w:t>
      </w:r>
      <w:r>
        <w:t xml:space="preserve">. Nažalost, postoje bar dva </w:t>
      </w:r>
      <w:r w:rsidR="00E34F1B">
        <w:t>problema kada j</w:t>
      </w:r>
      <w:r w:rsidR="009525CA">
        <w:t>e riječ o ideji da su mHEjedina</w:t>
      </w:r>
      <w:r w:rsidR="00E34F1B">
        <w:t xml:space="preserve"> alternativa za TE ili za ekstremno rizične atomske elektrane. Kada je Crnoj gori riječ u ovom času postoji alternative podizanja velikih hidroelektrana kod kojih su troškovi proizvodnje jako niski pa nema potrebe za subvencijama. Drugo, zahvaljujući tehnološkom progresu samo je pitanje časa kada će proizvodnja solarne električne energije postati jeftinija od sadašnje komercijalne cijene električne struje. Prema Rifkin-u (2014), na primjer, </w:t>
      </w:r>
      <w:r w:rsidR="0017012D">
        <w:t xml:space="preserve">cijena troškova električne energije zasnovane na solarnim panelima se prepolovljuje svakih 7 godina. </w:t>
      </w:r>
    </w:p>
    <w:p w:rsidR="005317CB" w:rsidRDefault="0017012D" w:rsidP="00F571AB">
      <w:pPr>
        <w:spacing w:line="276" w:lineRule="auto"/>
        <w:jc w:val="both"/>
      </w:pPr>
      <w:r>
        <w:t xml:space="preserve">S druge strane, način na koji se mHE projekti projektuju i realizuju kod nas uticao je da su se ekološki troškovi, nasuprot tvrdnjama i obećanjima, zapravo povećavaju. </w:t>
      </w:r>
      <w:r w:rsidR="00F571AB">
        <w:t xml:space="preserve">Ne radi se, naravno, o aero polucijama kao u slučaju TE, već o nizu drugačijih oštećenja i poremećaja eko sistema. Ovdje ćemo identifikovati ukupne ekološke efekte, pozitivne i negativne, koje su ove dvije mHE proizvele u toku gradnje kao i tokom dosadašnje (i buduće) eksploatacije vodozahvata. Prije toga u ovoj ćemo glavi dati nešto opširniji pregled nekih važnih koncepcijskih pitanja vezanih za prirodu ekoloških usluga i način njihovog mjerenja. </w:t>
      </w:r>
    </w:p>
    <w:p w:rsidR="00F571AB" w:rsidRPr="00F571AB" w:rsidRDefault="00F571AB" w:rsidP="00F571AB">
      <w:pPr>
        <w:spacing w:line="276" w:lineRule="auto"/>
        <w:jc w:val="both"/>
      </w:pPr>
    </w:p>
    <w:p w:rsidR="00F571AB" w:rsidRDefault="00F571AB" w:rsidP="004D1F30">
      <w:pPr>
        <w:spacing w:line="276" w:lineRule="auto"/>
      </w:pPr>
    </w:p>
    <w:p w:rsidR="005317CB" w:rsidRDefault="005317CB">
      <w:r>
        <w:br w:type="page"/>
      </w:r>
    </w:p>
    <w:p w:rsidR="005317CB" w:rsidRDefault="005317CB" w:rsidP="004D1F30">
      <w:pPr>
        <w:spacing w:line="276" w:lineRule="auto"/>
      </w:pPr>
    </w:p>
    <w:p w:rsidR="005317CB" w:rsidRPr="005317CB" w:rsidRDefault="005317CB" w:rsidP="004D1F30">
      <w:pPr>
        <w:spacing w:line="276" w:lineRule="auto"/>
      </w:pPr>
    </w:p>
    <w:p w:rsidR="00F70A30" w:rsidRDefault="00D5582C" w:rsidP="004D1F30">
      <w:pPr>
        <w:spacing w:line="276" w:lineRule="auto"/>
        <w:rPr>
          <w:b/>
          <w:sz w:val="28"/>
          <w:szCs w:val="28"/>
        </w:rPr>
      </w:pPr>
      <w:r>
        <w:rPr>
          <w:b/>
          <w:sz w:val="28"/>
          <w:szCs w:val="28"/>
        </w:rPr>
        <w:t xml:space="preserve">5.1. </w:t>
      </w:r>
      <w:r w:rsidR="00766B21" w:rsidRPr="00DD4ADE">
        <w:rPr>
          <w:b/>
          <w:sz w:val="28"/>
          <w:szCs w:val="28"/>
        </w:rPr>
        <w:t xml:space="preserve">Ekološke usluge </w:t>
      </w:r>
    </w:p>
    <w:p w:rsidR="001606EB" w:rsidRDefault="00414C64" w:rsidP="005A764D">
      <w:pPr>
        <w:spacing w:line="276" w:lineRule="auto"/>
        <w:jc w:val="both"/>
      </w:pPr>
      <w:r>
        <w:t xml:space="preserve">Kada je riječ o evaluaciji ekoloških efekta </w:t>
      </w:r>
      <w:r w:rsidR="004D1F30">
        <w:t xml:space="preserve">bilo kojeg antropogenog uticaja, odnosno o </w:t>
      </w:r>
      <w:r>
        <w:t>evaluaciji ekoloških efekta</w:t>
      </w:r>
      <w:r w:rsidR="004D1F30">
        <w:t xml:space="preserve"> novih privrednih sadržaja, u ovom slučaju novih malih hidroelektrana, </w:t>
      </w:r>
      <w:r>
        <w:t xml:space="preserve">onda bi se ona mogla definisati kao </w:t>
      </w:r>
      <w:r w:rsidRPr="00B2520B">
        <w:rPr>
          <w:i/>
        </w:rPr>
        <w:t>nastojanje da se identifikuje i monetarno izrazi uticaj novih privrednih aktivnosti na promjene vrijednosti tokova ekoloških usluga koje kao pojedinci i/ili zajednica(e) dobijamo od životne sredine</w:t>
      </w:r>
      <w:r>
        <w:t>, tj</w:t>
      </w:r>
      <w:r w:rsidR="00856C83">
        <w:t>.</w:t>
      </w:r>
      <w:r>
        <w:t>od eko</w:t>
      </w:r>
      <w:r w:rsidR="000C7752">
        <w:t>-</w:t>
      </w:r>
      <w:r>
        <w:t xml:space="preserve">sistema. </w:t>
      </w:r>
      <w:r w:rsidR="00B2520B">
        <w:t xml:space="preserve">Ovako ustanovljene monetarno izražene promjene vrijednosti tokova ekoloških usluga treba dodati, ako su ti neto tokovi pozitivni, odnosno oduzeti, ako su negativni, prethodno utvrđenoj sumi privatnih i društvenih </w:t>
      </w:r>
      <w:r w:rsidR="004100BA">
        <w:t xml:space="preserve">neto tokova </w:t>
      </w:r>
      <w:r w:rsidR="000C7752">
        <w:t xml:space="preserve">koristi </w:t>
      </w:r>
      <w:r w:rsidR="004100BA">
        <w:t>generiranih novom</w:t>
      </w:r>
      <w:r w:rsidR="00B2520B">
        <w:t xml:space="preserve"> aktivnošću. </w:t>
      </w:r>
      <w:r w:rsidR="005C1811">
        <w:t xml:space="preserve">Da bi </w:t>
      </w:r>
      <w:r w:rsidR="00D4154D">
        <w:t xml:space="preserve">se </w:t>
      </w:r>
      <w:r w:rsidR="005C1811">
        <w:t>bolje r</w:t>
      </w:r>
      <w:r w:rsidR="004100BA">
        <w:t xml:space="preserve">azumjelo značenje naprijed data definicije pojasnićemo </w:t>
      </w:r>
      <w:r w:rsidR="008C153A">
        <w:t>detaljnije neke pojmove sadržane u njoj</w:t>
      </w:r>
      <w:r w:rsidR="004100BA">
        <w:t xml:space="preserve">. </w:t>
      </w:r>
    </w:p>
    <w:p w:rsidR="004100BA" w:rsidRDefault="008C153A" w:rsidP="005A764D">
      <w:pPr>
        <w:spacing w:line="276" w:lineRule="auto"/>
        <w:jc w:val="both"/>
      </w:pPr>
      <w:r>
        <w:t>T</w:t>
      </w:r>
      <w:r w:rsidR="004100BA">
        <w:t xml:space="preserve">ok </w:t>
      </w:r>
      <w:r>
        <w:t xml:space="preserve">ekoloških usluga čini tok svih mogućih koristi koje kao vrsta imamo od ekosistema. </w:t>
      </w:r>
      <w:r w:rsidR="00B22E3C">
        <w:t>Ovdje je riječ o najrazličitijim vrstama usluga</w:t>
      </w:r>
      <w:r w:rsidR="00462EE9">
        <w:t>,</w:t>
      </w:r>
      <w:r w:rsidR="00B22E3C">
        <w:t xml:space="preserve">od onih </w:t>
      </w:r>
      <w:r w:rsidR="00BA242D">
        <w:t xml:space="preserve">koje su </w:t>
      </w:r>
      <w:r w:rsidR="004B11D3" w:rsidRPr="003444DE">
        <w:rPr>
          <w:i/>
        </w:rPr>
        <w:t>sine qua non</w:t>
      </w:r>
      <w:r w:rsidR="00BA242D">
        <w:t xml:space="preserve"> našeg opstanka</w:t>
      </w:r>
      <w:r w:rsidR="00B22E3C">
        <w:t xml:space="preserve"> do estetskih</w:t>
      </w:r>
      <w:r w:rsidR="00BA242D">
        <w:t xml:space="preserve"> sadržaja koje eko</w:t>
      </w:r>
      <w:r w:rsidR="00F44E8F">
        <w:t>-si</w:t>
      </w:r>
      <w:r w:rsidR="00BA242D">
        <w:t>stem može dati</w:t>
      </w:r>
      <w:r w:rsidR="00B22E3C">
        <w:t xml:space="preserve">. Jedno od prvih ali i najcitiranijih i najautoritativnijih mjerenja dato za svijet kao cjelinu i cio ekosistem planete Zemljepokazalo je </w:t>
      </w:r>
      <w:r w:rsidR="00BA242D">
        <w:t>da je vrijednost godišnjih usluga eko</w:t>
      </w:r>
      <w:r w:rsidR="000C7752">
        <w:t>-</w:t>
      </w:r>
      <w:r w:rsidR="00BA242D">
        <w:t xml:space="preserve">sistema skoro dvostruko, tačnije za 1,8 puta, veća od ukupne </w:t>
      </w:r>
      <w:r w:rsidR="000C7752">
        <w:t>vrijednosti BDP-a sv</w:t>
      </w:r>
      <w:r w:rsidR="00BA242D">
        <w:t>jetske ekonomije.</w:t>
      </w:r>
      <w:r w:rsidR="00120194">
        <w:rPr>
          <w:rStyle w:val="FootnoteReference"/>
        </w:rPr>
        <w:footnoteReference w:id="13"/>
      </w:r>
      <w:r w:rsidR="00BA242D">
        <w:t xml:space="preserve"> Pri tom onaj dio usluga eko</w:t>
      </w:r>
      <w:r w:rsidR="000C7752">
        <w:t>-</w:t>
      </w:r>
      <w:r w:rsidR="00BA242D">
        <w:t xml:space="preserve">sistema koje se javljaju u vidu prirodnih inputa u samoj proizvodnji BDP-a predstavlja, zahvaljujući tehnološkom progresu, zanemarljivu stavku u ovom pokušaju mjerenja vrijednosti </w:t>
      </w:r>
      <w:r w:rsidR="000C7752">
        <w:t>usluga eko-sistema.</w:t>
      </w:r>
      <w:r w:rsidR="00BA242D">
        <w:t xml:space="preserve"> Neka druga</w:t>
      </w:r>
      <w:r w:rsidR="000C7752">
        <w:t xml:space="preserve"> docnija</w:t>
      </w:r>
      <w:r w:rsidR="00BA242D">
        <w:t xml:space="preserve"> istraživanja su pokazala </w:t>
      </w:r>
      <w:r w:rsidR="00DF5B29">
        <w:t>da bi ova vrijednost mogla</w:t>
      </w:r>
      <w:r w:rsidR="000C7752">
        <w:t xml:space="preserve"> biti i znatno veća ali i </w:t>
      </w:r>
      <w:r w:rsidR="00E64283">
        <w:t>dosta</w:t>
      </w:r>
      <w:r w:rsidR="000C7752">
        <w:t xml:space="preserve"> manja </w:t>
      </w:r>
      <w:r w:rsidR="00E64283">
        <w:t xml:space="preserve">od napred date, </w:t>
      </w:r>
      <w:r w:rsidR="000C7752">
        <w:t xml:space="preserve">sve zavisno od pretpostavki od kojih se u mjerenju polazi. </w:t>
      </w:r>
      <w:r w:rsidR="00E64283">
        <w:t xml:space="preserve">Ipak sva ta istraživanja pokazuju da je vrijednost toka usluga od eko-sistema enormna posebno kada se ima u vidu </w:t>
      </w:r>
      <w:r w:rsidR="00856C83">
        <w:t xml:space="preserve">činjenica </w:t>
      </w:r>
      <w:r w:rsidR="00E64283">
        <w:t xml:space="preserve">da su sva ova mjerenja </w:t>
      </w:r>
      <w:r w:rsidR="00D1315D">
        <w:t>toka eko-korisnosti rađena</w:t>
      </w:r>
      <w:r w:rsidR="00E64283">
        <w:t xml:space="preserve"> polaze</w:t>
      </w:r>
      <w:r w:rsidR="00D1315D">
        <w:t>ći od marginalne korisnosti</w:t>
      </w:r>
      <w:r w:rsidR="00E64283">
        <w:t>. Kada bi se</w:t>
      </w:r>
      <w:r w:rsidR="00D1315D">
        <w:t>,</w:t>
      </w:r>
      <w:r w:rsidR="00E64283">
        <w:t xml:space="preserve"> integrisanjem</w:t>
      </w:r>
      <w:r w:rsidR="00D1315D">
        <w:t xml:space="preserve"> funkcije marginalne korisnosti, utvrdila totalna korisnost ekoloških usluga došli bi do </w:t>
      </w:r>
      <w:r w:rsidR="00DF5B29">
        <w:t>zaključka da je ona znatno veća. Z</w:t>
      </w:r>
      <w:r w:rsidR="00D1315D">
        <w:t xml:space="preserve">apravo </w:t>
      </w:r>
      <w:r w:rsidR="00DF5B29">
        <w:t xml:space="preserve">došli bi do zaključka </w:t>
      </w:r>
      <w:r w:rsidR="00D1315D">
        <w:t>da je ona beskonačna</w:t>
      </w:r>
      <w:r w:rsidR="00DF5B29">
        <w:t>te da je, samim tim, gore pomenuti racio takođe beskonačan</w:t>
      </w:r>
      <w:r w:rsidR="00D1315D">
        <w:t xml:space="preserve">. Ovo iz prostog razloga što je sam život nezamisliv bez ekoloških usluga. </w:t>
      </w:r>
    </w:p>
    <w:p w:rsidR="009979F0" w:rsidRDefault="003547C3" w:rsidP="005A764D">
      <w:pPr>
        <w:spacing w:line="276" w:lineRule="auto"/>
        <w:jc w:val="both"/>
      </w:pPr>
      <w:r>
        <w:t>Da bi stekli detalniji uvid u prirodu</w:t>
      </w:r>
      <w:r w:rsidR="00832C48">
        <w:t xml:space="preserve"> i opseg</w:t>
      </w:r>
      <w:r>
        <w:t xml:space="preserve"> ekoloških usluga </w:t>
      </w:r>
      <w:r w:rsidR="00832C48">
        <w:t xml:space="preserve">u Tabeli </w:t>
      </w:r>
      <w:r w:rsidR="001E461D">
        <w:t>5.</w:t>
      </w:r>
      <w:r w:rsidR="00BA2035" w:rsidRPr="00BA2035">
        <w:t>1</w:t>
      </w:r>
      <w:r w:rsidR="001E461D">
        <w:t>.</w:t>
      </w:r>
      <w:r>
        <w:t>dajemo sledeću n</w:t>
      </w:r>
      <w:r w:rsidR="00832C48">
        <w:t>jihovu klasifikaciju posuđenu iz analize stanja i sadašnje prakse vrednovanja ekoloških usluga u Evropi urađenoj od</w:t>
      </w:r>
      <w:r w:rsidR="00832C48" w:rsidRPr="00832C48">
        <w:rPr>
          <w:iCs/>
        </w:rPr>
        <w:t>Ling</w:t>
      </w:r>
      <w:r w:rsidR="00832C48">
        <w:rPr>
          <w:iCs/>
        </w:rPr>
        <w:t>, King, Mapendembe, i Brown(</w:t>
      </w:r>
      <w:r w:rsidR="00832C48" w:rsidRPr="00832C48">
        <w:rPr>
          <w:iCs/>
        </w:rPr>
        <w:t>2018</w:t>
      </w:r>
      <w:r w:rsidR="00832C48">
        <w:rPr>
          <w:iCs/>
        </w:rPr>
        <w:t>)</w:t>
      </w:r>
      <w:r w:rsidR="00832C48" w:rsidRPr="00832C48">
        <w:rPr>
          <w:iCs/>
        </w:rPr>
        <w:t>.</w:t>
      </w:r>
      <w:r w:rsidR="00832C48">
        <w:rPr>
          <w:iCs/>
        </w:rPr>
        <w:t xml:space="preserve"> Iako je preged ekoloških usluga dat u ovoj tabeli daleko od toga da bude iole iscrpan on je ipak dovoljan da uka</w:t>
      </w:r>
      <w:r w:rsidR="00AC25BC">
        <w:rPr>
          <w:iCs/>
        </w:rPr>
        <w:t>ž</w:t>
      </w:r>
      <w:r w:rsidR="00832C48">
        <w:rPr>
          <w:iCs/>
        </w:rPr>
        <w:t>e ne samo na skoro beskrajno mnoštvo usluga koje ovdje</w:t>
      </w:r>
      <w:r w:rsidR="00AC25BC">
        <w:rPr>
          <w:iCs/>
        </w:rPr>
        <w:t xml:space="preserve"> možemo sresti</w:t>
      </w:r>
      <w:r w:rsidR="00832C48">
        <w:rPr>
          <w:iCs/>
        </w:rPr>
        <w:t xml:space="preserve"> već, što je još važnije, na kompleksnost odnosa koja između njih postoji i na teškoće sa kojima se nužno moramo sresti u nastojanju da njihovu vrijednost, prvo, identifikujemo i izmjerimo u fizičkim jedinicama mjere a, potom, radi uporedivosti evaluiramo i u monetarnim jedinicama mjere.</w:t>
      </w:r>
      <w:r w:rsidR="00A77606">
        <w:rPr>
          <w:rStyle w:val="FootnoteReference"/>
          <w:iCs/>
        </w:rPr>
        <w:footnoteReference w:id="14"/>
      </w:r>
      <w:r w:rsidR="00832C48">
        <w:rPr>
          <w:iCs/>
        </w:rPr>
        <w:t xml:space="preserve"> Kao što iz Tabele vidimo prvu grupu ekoloških usluga </w:t>
      </w:r>
      <w:r w:rsidR="00E83A2B">
        <w:rPr>
          <w:iCs/>
        </w:rPr>
        <w:t xml:space="preserve">čine one usluge koje direktno </w:t>
      </w:r>
      <w:r w:rsidR="00E83A2B">
        <w:rPr>
          <w:iCs/>
        </w:rPr>
        <w:lastRenderedPageBreak/>
        <w:t>utiču na blagostanje domaćinstava ili služe kao input</w:t>
      </w:r>
      <w:r w:rsidR="00597AF2">
        <w:rPr>
          <w:iCs/>
        </w:rPr>
        <w:t>i</w:t>
      </w:r>
      <w:r w:rsidR="00E83A2B">
        <w:rPr>
          <w:iCs/>
        </w:rPr>
        <w:t xml:space="preserve"> u procesu proizvodnje</w:t>
      </w:r>
      <w:r w:rsidR="00597AF2">
        <w:rPr>
          <w:iCs/>
        </w:rPr>
        <w:t xml:space="preserve"> drugih usluga</w:t>
      </w:r>
      <w:r w:rsidR="00E83A2B">
        <w:rPr>
          <w:iCs/>
        </w:rPr>
        <w:t>. Drugu grupu čine one usluge eko sistema koje indirektno utiču na blagostanje preko uticaja na regulaciju i održavanje prirodnog okruženja</w:t>
      </w:r>
      <w:r w:rsidR="005341CD">
        <w:rPr>
          <w:iCs/>
        </w:rPr>
        <w:t>u potrebnoj ravnoteži</w:t>
      </w:r>
      <w:r w:rsidR="00E83A2B">
        <w:rPr>
          <w:iCs/>
        </w:rPr>
        <w:t xml:space="preserve">. </w:t>
      </w:r>
      <w:r w:rsidR="005341CD">
        <w:rPr>
          <w:iCs/>
        </w:rPr>
        <w:t>Konačno, poslednju grupu usluga čine tzv</w:t>
      </w:r>
      <w:r w:rsidR="00856C83">
        <w:rPr>
          <w:iCs/>
        </w:rPr>
        <w:t>.</w:t>
      </w:r>
      <w:r w:rsidR="005341CD">
        <w:rPr>
          <w:iCs/>
        </w:rPr>
        <w:t>kulturne usluge koje eko sistem može generirati. Naravno, antropogeni uticaji mogu smanjiti</w:t>
      </w:r>
      <w:r w:rsidR="00597AF2">
        <w:rPr>
          <w:iCs/>
        </w:rPr>
        <w:t>, što se češće dešava,</w:t>
      </w:r>
      <w:r w:rsidR="005341CD">
        <w:rPr>
          <w:iCs/>
        </w:rPr>
        <w:t xml:space="preserve"> a mogu i povećati vrijednost tok</w:t>
      </w:r>
      <w:r w:rsidR="00597AF2">
        <w:rPr>
          <w:iCs/>
        </w:rPr>
        <w:t>ova svih</w:t>
      </w:r>
      <w:r w:rsidR="005341CD">
        <w:rPr>
          <w:iCs/>
        </w:rPr>
        <w:t xml:space="preserve"> ovih usluga. </w:t>
      </w:r>
      <w:r w:rsidR="00597AF2">
        <w:rPr>
          <w:iCs/>
        </w:rPr>
        <w:t>Primijeti</w:t>
      </w:r>
      <w:r w:rsidR="00856C83">
        <w:rPr>
          <w:iCs/>
        </w:rPr>
        <w:t>m</w:t>
      </w:r>
      <w:r w:rsidR="00597AF2">
        <w:rPr>
          <w:iCs/>
        </w:rPr>
        <w:t>o, takođe, da se već na bazi in</w:t>
      </w:r>
      <w:r w:rsidR="00856C83">
        <w:rPr>
          <w:iCs/>
        </w:rPr>
        <w:t>s</w:t>
      </w:r>
      <w:r w:rsidR="00597AF2">
        <w:rPr>
          <w:iCs/>
        </w:rPr>
        <w:t xml:space="preserve">tuicije može zaključiti da je najlakše izmjeriti monetarnu protiv vrijednost </w:t>
      </w:r>
      <w:r w:rsidR="000E62D4">
        <w:rPr>
          <w:iCs/>
        </w:rPr>
        <w:t>prve grupe ekoloških usluga</w:t>
      </w:r>
      <w:r w:rsidR="00856C83">
        <w:rPr>
          <w:iCs/>
        </w:rPr>
        <w:t>,</w:t>
      </w:r>
      <w:r w:rsidR="000E62D4">
        <w:rPr>
          <w:iCs/>
        </w:rPr>
        <w:t xml:space="preserve"> a mnogo </w:t>
      </w:r>
      <w:r w:rsidR="00597AF2">
        <w:rPr>
          <w:iCs/>
        </w:rPr>
        <w:t xml:space="preserve">teže druge i treće grupe. </w:t>
      </w:r>
    </w:p>
    <w:p w:rsidR="000E4269" w:rsidRDefault="000E4269" w:rsidP="000E4269">
      <w:pPr>
        <w:spacing w:after="0" w:line="276" w:lineRule="auto"/>
        <w:jc w:val="both"/>
      </w:pPr>
      <w:r>
        <w:t xml:space="preserve">Tabela </w:t>
      </w:r>
      <w:r w:rsidR="00D5582C">
        <w:t>5.</w:t>
      </w:r>
      <w:r w:rsidR="00BA2035" w:rsidRPr="00BA2035">
        <w:t>1</w:t>
      </w:r>
      <w:r w:rsidRPr="00BA2035">
        <w:t>:</w:t>
      </w:r>
      <w:r>
        <w:t xml:space="preserve"> Osnovne kategorije bazičnih</w:t>
      </w:r>
      <w:r w:rsidR="00832C48">
        <w:t xml:space="preserve"> ekoloških</w:t>
      </w:r>
      <w:r>
        <w:t xml:space="preserve"> usluga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3"/>
        <w:gridCol w:w="1952"/>
        <w:gridCol w:w="1980"/>
        <w:gridCol w:w="4945"/>
      </w:tblGrid>
      <w:tr w:rsidR="00487AEC" w:rsidRPr="006D0F9F" w:rsidTr="00120CEB">
        <w:trPr>
          <w:trHeight w:val="1259"/>
        </w:trPr>
        <w:tc>
          <w:tcPr>
            <w:tcW w:w="0" w:type="auto"/>
            <w:vMerge w:val="restart"/>
            <w:shd w:val="clear" w:color="000000" w:fill="F4AF84"/>
            <w:textDirection w:val="tbRl"/>
            <w:vAlign w:val="center"/>
            <w:hideMark/>
          </w:tcPr>
          <w:p w:rsidR="006D0F9F" w:rsidRPr="006D0F9F" w:rsidRDefault="006D0F9F" w:rsidP="00E0318D">
            <w:pPr>
              <w:spacing w:after="0" w:line="240" w:lineRule="auto"/>
              <w:ind w:left="113" w:right="113"/>
              <w:jc w:val="center"/>
              <w:rPr>
                <w:rFonts w:ascii="Calibri" w:eastAsia="Times New Roman" w:hAnsi="Calibri" w:cs="Times New Roman"/>
                <w:b/>
                <w:bCs/>
                <w:sz w:val="20"/>
                <w:szCs w:val="20"/>
              </w:rPr>
            </w:pPr>
            <w:r w:rsidRPr="006D0F9F">
              <w:rPr>
                <w:rFonts w:ascii="Calibri" w:eastAsia="Times New Roman" w:hAnsi="Calibri" w:cs="Times New Roman"/>
                <w:b/>
                <w:bCs/>
                <w:sz w:val="20"/>
                <w:szCs w:val="20"/>
              </w:rPr>
              <w:t>Provisioning</w:t>
            </w:r>
            <w:r w:rsidR="00E0318D">
              <w:rPr>
                <w:rFonts w:ascii="Calibri" w:eastAsia="Times New Roman" w:hAnsi="Calibri" w:cs="Times New Roman"/>
                <w:b/>
                <w:bCs/>
                <w:sz w:val="20"/>
                <w:szCs w:val="20"/>
              </w:rPr>
              <w:t xml:space="preserve"> (Rezervisanja)</w:t>
            </w:r>
          </w:p>
        </w:tc>
        <w:tc>
          <w:tcPr>
            <w:tcW w:w="1952" w:type="dxa"/>
            <w:vMerge w:val="restart"/>
            <w:shd w:val="clear" w:color="000000" w:fill="F8CAAC"/>
            <w:vAlign w:val="center"/>
            <w:hideMark/>
          </w:tcPr>
          <w:p w:rsidR="006D0F9F" w:rsidRPr="006D0F9F" w:rsidRDefault="00E0318D" w:rsidP="001E0F60">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Ishrana </w:t>
            </w:r>
          </w:p>
        </w:tc>
        <w:tc>
          <w:tcPr>
            <w:tcW w:w="1980" w:type="dxa"/>
            <w:shd w:val="clear" w:color="000000" w:fill="FBE3D5"/>
            <w:vAlign w:val="center"/>
            <w:hideMark/>
          </w:tcPr>
          <w:p w:rsidR="006D0F9F" w:rsidRPr="006D0F9F" w:rsidRDefault="00256832" w:rsidP="001E0F60">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Biomasa</w:t>
            </w:r>
          </w:p>
        </w:tc>
        <w:tc>
          <w:tcPr>
            <w:tcW w:w="4945" w:type="dxa"/>
            <w:shd w:val="clear" w:color="auto" w:fill="auto"/>
            <w:vAlign w:val="center"/>
            <w:hideMark/>
          </w:tcPr>
          <w:p w:rsidR="000E4269" w:rsidRDefault="00972918" w:rsidP="00120CE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K</w:t>
            </w:r>
            <w:r w:rsidR="001F0562">
              <w:rPr>
                <w:rFonts w:ascii="Calibri" w:eastAsia="Times New Roman" w:hAnsi="Calibri" w:cs="Times New Roman"/>
                <w:sz w:val="20"/>
                <w:szCs w:val="20"/>
              </w:rPr>
              <w:t xml:space="preserve">ultivisani usjevi / plodovi </w:t>
            </w:r>
          </w:p>
          <w:p w:rsidR="000E4269" w:rsidRDefault="001F0562" w:rsidP="00120CE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Domaće životinje i njihovi autputi</w:t>
            </w:r>
          </w:p>
          <w:p w:rsidR="000E4269" w:rsidRDefault="001F0562" w:rsidP="00120CE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Nekultivisane, šumske biljke, alge i njihovi autputi</w:t>
            </w:r>
          </w:p>
          <w:p w:rsidR="000E4269" w:rsidRDefault="001F0562" w:rsidP="00120CE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Divlje životinje i njihovi autputi</w:t>
            </w:r>
          </w:p>
          <w:p w:rsidR="006D0F9F" w:rsidRPr="006D0F9F" w:rsidRDefault="006D0F9F" w:rsidP="00120CEB">
            <w:pPr>
              <w:spacing w:after="0" w:line="240" w:lineRule="auto"/>
              <w:rPr>
                <w:rFonts w:ascii="Times New Roman" w:eastAsia="Times New Roman" w:hAnsi="Times New Roman" w:cs="Times New Roman"/>
                <w:color w:val="000000"/>
                <w:sz w:val="20"/>
                <w:szCs w:val="20"/>
              </w:rPr>
            </w:pPr>
            <w:r w:rsidRPr="006D0F9F">
              <w:rPr>
                <w:rFonts w:ascii="Calibri" w:eastAsia="Times New Roman" w:hAnsi="Calibri" w:cs="Times New Roman"/>
                <w:sz w:val="20"/>
                <w:szCs w:val="20"/>
              </w:rPr>
              <w:t>Animals from in-situ aquaculture</w:t>
            </w:r>
          </w:p>
        </w:tc>
      </w:tr>
      <w:tr w:rsidR="00487AEC" w:rsidRPr="006D0F9F" w:rsidTr="00120CEB">
        <w:trPr>
          <w:trHeight w:val="422"/>
        </w:trPr>
        <w:tc>
          <w:tcPr>
            <w:tcW w:w="0" w:type="auto"/>
            <w:vMerge/>
            <w:textDirection w:val="tbRl"/>
            <w:vAlign w:val="center"/>
            <w:hideMark/>
          </w:tcPr>
          <w:p w:rsidR="006D0F9F" w:rsidRPr="006D0F9F" w:rsidRDefault="006D0F9F" w:rsidP="001E0F60">
            <w:pPr>
              <w:spacing w:after="0" w:line="240" w:lineRule="auto"/>
              <w:ind w:left="113" w:right="113"/>
              <w:jc w:val="center"/>
              <w:rPr>
                <w:rFonts w:ascii="Calibri" w:eastAsia="Times New Roman" w:hAnsi="Calibri" w:cs="Times New Roman"/>
                <w:b/>
                <w:bCs/>
                <w:sz w:val="20"/>
                <w:szCs w:val="20"/>
              </w:rPr>
            </w:pPr>
          </w:p>
        </w:tc>
        <w:tc>
          <w:tcPr>
            <w:tcW w:w="1952" w:type="dxa"/>
            <w:vMerge/>
            <w:vAlign w:val="center"/>
            <w:hideMark/>
          </w:tcPr>
          <w:p w:rsidR="006D0F9F" w:rsidRPr="006D0F9F" w:rsidRDefault="006D0F9F" w:rsidP="001E0F60">
            <w:pPr>
              <w:spacing w:after="0" w:line="240" w:lineRule="auto"/>
              <w:rPr>
                <w:rFonts w:ascii="Calibri" w:eastAsia="Times New Roman" w:hAnsi="Calibri" w:cs="Times New Roman"/>
                <w:sz w:val="20"/>
                <w:szCs w:val="20"/>
              </w:rPr>
            </w:pPr>
          </w:p>
        </w:tc>
        <w:tc>
          <w:tcPr>
            <w:tcW w:w="1980" w:type="dxa"/>
            <w:shd w:val="clear" w:color="000000" w:fill="FBE3D5"/>
            <w:vAlign w:val="center"/>
            <w:hideMark/>
          </w:tcPr>
          <w:p w:rsidR="006D0F9F" w:rsidRPr="006D0F9F" w:rsidRDefault="00256832" w:rsidP="001E0F60">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Voda</w:t>
            </w:r>
          </w:p>
        </w:tc>
        <w:tc>
          <w:tcPr>
            <w:tcW w:w="4945" w:type="dxa"/>
            <w:shd w:val="clear" w:color="auto" w:fill="auto"/>
            <w:vAlign w:val="center"/>
            <w:hideMark/>
          </w:tcPr>
          <w:p w:rsidR="000E4269" w:rsidRDefault="00F14190" w:rsidP="00120CE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Površ</w:t>
            </w:r>
            <w:r w:rsidR="00FB2F16">
              <w:rPr>
                <w:rFonts w:ascii="Calibri" w:eastAsia="Times New Roman" w:hAnsi="Calibri" w:cs="Times New Roman"/>
                <w:sz w:val="20"/>
                <w:szCs w:val="20"/>
              </w:rPr>
              <w:t xml:space="preserve">inska voda za piće </w:t>
            </w:r>
          </w:p>
          <w:p w:rsidR="006D0F9F" w:rsidRPr="006D0F9F" w:rsidRDefault="00FB2F16" w:rsidP="00120CE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Podzemna voda za piće </w:t>
            </w:r>
          </w:p>
        </w:tc>
      </w:tr>
      <w:tr w:rsidR="00487AEC" w:rsidRPr="006D0F9F" w:rsidTr="00120CEB">
        <w:trPr>
          <w:trHeight w:val="1025"/>
        </w:trPr>
        <w:tc>
          <w:tcPr>
            <w:tcW w:w="0" w:type="auto"/>
            <w:vMerge/>
            <w:textDirection w:val="tbRl"/>
            <w:vAlign w:val="center"/>
            <w:hideMark/>
          </w:tcPr>
          <w:p w:rsidR="006D0F9F" w:rsidRPr="006D0F9F" w:rsidRDefault="006D0F9F" w:rsidP="001E0F60">
            <w:pPr>
              <w:spacing w:after="0" w:line="240" w:lineRule="auto"/>
              <w:ind w:left="113" w:right="113"/>
              <w:jc w:val="center"/>
              <w:rPr>
                <w:rFonts w:ascii="Calibri" w:eastAsia="Times New Roman" w:hAnsi="Calibri" w:cs="Times New Roman"/>
                <w:b/>
                <w:bCs/>
                <w:sz w:val="20"/>
                <w:szCs w:val="20"/>
              </w:rPr>
            </w:pPr>
          </w:p>
        </w:tc>
        <w:tc>
          <w:tcPr>
            <w:tcW w:w="1952" w:type="dxa"/>
            <w:shd w:val="clear" w:color="000000" w:fill="F8CAAC"/>
            <w:vAlign w:val="center"/>
            <w:hideMark/>
          </w:tcPr>
          <w:p w:rsidR="006D0F9F" w:rsidRPr="006D0F9F" w:rsidRDefault="00256832" w:rsidP="001E0F60">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Materijali</w:t>
            </w:r>
          </w:p>
        </w:tc>
        <w:tc>
          <w:tcPr>
            <w:tcW w:w="1980" w:type="dxa"/>
            <w:shd w:val="clear" w:color="000000" w:fill="FBE3D5"/>
            <w:vAlign w:val="center"/>
            <w:hideMark/>
          </w:tcPr>
          <w:p w:rsidR="006D0F9F" w:rsidRPr="006D0F9F" w:rsidRDefault="00256832" w:rsidP="001E0F60">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Biomasa</w:t>
            </w:r>
          </w:p>
        </w:tc>
        <w:tc>
          <w:tcPr>
            <w:tcW w:w="4945" w:type="dxa"/>
            <w:shd w:val="clear" w:color="auto" w:fill="auto"/>
            <w:vAlign w:val="center"/>
            <w:hideMark/>
          </w:tcPr>
          <w:p w:rsidR="000E4269" w:rsidRDefault="00FB2F16" w:rsidP="00120CE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Vlakna i ostali materijali od biljaka, algi </w:t>
            </w:r>
          </w:p>
          <w:p w:rsidR="000E4269" w:rsidRDefault="00FB2F16" w:rsidP="00120CE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i životinja za direktnu upotrebu ili dalje procesiranje </w:t>
            </w:r>
          </w:p>
          <w:p w:rsidR="00D74830" w:rsidRDefault="00FB2F16" w:rsidP="00120CE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Materijali od biljaka, algi i životinja za poljoprivrednu </w:t>
            </w:r>
          </w:p>
          <w:p w:rsidR="006D0F9F" w:rsidRPr="006D0F9F" w:rsidRDefault="00FB2F16" w:rsidP="00120CEB">
            <w:pPr>
              <w:spacing w:after="0" w:line="240" w:lineRule="auto"/>
              <w:rPr>
                <w:rFonts w:ascii="Times New Roman" w:eastAsia="Times New Roman" w:hAnsi="Times New Roman" w:cs="Times New Roman"/>
                <w:color w:val="000000"/>
                <w:sz w:val="20"/>
                <w:szCs w:val="20"/>
              </w:rPr>
            </w:pPr>
            <w:r>
              <w:rPr>
                <w:rFonts w:ascii="Calibri" w:eastAsia="Times New Roman" w:hAnsi="Calibri" w:cs="Times New Roman"/>
                <w:sz w:val="20"/>
                <w:szCs w:val="20"/>
              </w:rPr>
              <w:t xml:space="preserve">upotrebu </w:t>
            </w:r>
          </w:p>
        </w:tc>
      </w:tr>
      <w:tr w:rsidR="00487AEC" w:rsidRPr="006D0F9F" w:rsidTr="00120CEB">
        <w:trPr>
          <w:trHeight w:val="300"/>
        </w:trPr>
        <w:tc>
          <w:tcPr>
            <w:tcW w:w="0" w:type="auto"/>
            <w:vMerge/>
            <w:textDirection w:val="tbRl"/>
            <w:vAlign w:val="center"/>
            <w:hideMark/>
          </w:tcPr>
          <w:p w:rsidR="006D0F9F" w:rsidRPr="006D0F9F" w:rsidRDefault="006D0F9F" w:rsidP="001E0F60">
            <w:pPr>
              <w:spacing w:after="0" w:line="240" w:lineRule="auto"/>
              <w:ind w:left="113" w:right="113"/>
              <w:jc w:val="center"/>
              <w:rPr>
                <w:rFonts w:ascii="Calibri" w:eastAsia="Times New Roman" w:hAnsi="Calibri" w:cs="Times New Roman"/>
                <w:b/>
                <w:bCs/>
                <w:sz w:val="20"/>
                <w:szCs w:val="20"/>
              </w:rPr>
            </w:pPr>
          </w:p>
        </w:tc>
        <w:tc>
          <w:tcPr>
            <w:tcW w:w="1952" w:type="dxa"/>
            <w:shd w:val="clear" w:color="000000" w:fill="F8CAAC"/>
            <w:vAlign w:val="center"/>
            <w:hideMark/>
          </w:tcPr>
          <w:p w:rsidR="006D0F9F" w:rsidRPr="006D0F9F" w:rsidRDefault="00256832" w:rsidP="001E0F60">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Energija</w:t>
            </w:r>
          </w:p>
        </w:tc>
        <w:tc>
          <w:tcPr>
            <w:tcW w:w="1980" w:type="dxa"/>
            <w:shd w:val="clear" w:color="000000" w:fill="FBE3D5"/>
            <w:vAlign w:val="center"/>
            <w:hideMark/>
          </w:tcPr>
          <w:p w:rsidR="006D0F9F" w:rsidRPr="006D0F9F" w:rsidRDefault="00256832" w:rsidP="001E0F60">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Zasnovano na biomasi</w:t>
            </w:r>
          </w:p>
        </w:tc>
        <w:tc>
          <w:tcPr>
            <w:tcW w:w="4945" w:type="dxa"/>
            <w:shd w:val="clear" w:color="auto" w:fill="auto"/>
            <w:vAlign w:val="center"/>
            <w:hideMark/>
          </w:tcPr>
          <w:p w:rsidR="006D0F9F" w:rsidRPr="006D0F9F" w:rsidRDefault="00FB2F16" w:rsidP="00120CE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Zasnovana na biljkama </w:t>
            </w:r>
          </w:p>
        </w:tc>
      </w:tr>
      <w:tr w:rsidR="00487AEC" w:rsidRPr="006D0F9F" w:rsidTr="00120CEB">
        <w:trPr>
          <w:trHeight w:val="935"/>
        </w:trPr>
        <w:tc>
          <w:tcPr>
            <w:tcW w:w="0" w:type="auto"/>
            <w:vMerge w:val="restart"/>
            <w:shd w:val="clear" w:color="000000" w:fill="A9D08E"/>
            <w:textDirection w:val="tbRl"/>
            <w:vAlign w:val="center"/>
            <w:hideMark/>
          </w:tcPr>
          <w:p w:rsidR="006D0F9F" w:rsidRPr="006D0F9F" w:rsidRDefault="00E0318D" w:rsidP="001E0F60">
            <w:pPr>
              <w:spacing w:after="0" w:line="240" w:lineRule="auto"/>
              <w:ind w:left="113" w:right="113"/>
              <w:jc w:val="center"/>
              <w:rPr>
                <w:rFonts w:ascii="Calibri" w:eastAsia="Times New Roman" w:hAnsi="Calibri" w:cs="Times New Roman"/>
                <w:b/>
                <w:bCs/>
                <w:sz w:val="20"/>
                <w:szCs w:val="20"/>
              </w:rPr>
            </w:pPr>
            <w:r>
              <w:rPr>
                <w:rFonts w:ascii="Calibri" w:eastAsia="Times New Roman" w:hAnsi="Calibri" w:cs="Times New Roman"/>
                <w:b/>
                <w:bCs/>
                <w:sz w:val="20"/>
                <w:szCs w:val="20"/>
              </w:rPr>
              <w:t>Regulacija i održavanje</w:t>
            </w:r>
          </w:p>
        </w:tc>
        <w:tc>
          <w:tcPr>
            <w:tcW w:w="1952" w:type="dxa"/>
            <w:shd w:val="clear" w:color="000000" w:fill="C5DFB4"/>
            <w:vAlign w:val="center"/>
            <w:hideMark/>
          </w:tcPr>
          <w:p w:rsidR="006D0F9F" w:rsidRPr="006D0F9F" w:rsidRDefault="005E3A70" w:rsidP="005E3A70">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Medijacija smeća, toksičkih i drugih otpada</w:t>
            </w:r>
          </w:p>
        </w:tc>
        <w:tc>
          <w:tcPr>
            <w:tcW w:w="1980" w:type="dxa"/>
            <w:shd w:val="clear" w:color="000000" w:fill="E1EEDA"/>
            <w:vAlign w:val="center"/>
            <w:hideMark/>
          </w:tcPr>
          <w:p w:rsidR="006D0F9F" w:rsidRPr="006D0F9F" w:rsidRDefault="006D0F9F" w:rsidP="001E0F60">
            <w:pPr>
              <w:spacing w:after="0" w:line="240" w:lineRule="auto"/>
              <w:rPr>
                <w:rFonts w:ascii="Calibri" w:eastAsia="Times New Roman" w:hAnsi="Calibri" w:cs="Times New Roman"/>
                <w:sz w:val="20"/>
                <w:szCs w:val="20"/>
              </w:rPr>
            </w:pPr>
            <w:r w:rsidRPr="006D0F9F">
              <w:rPr>
                <w:rFonts w:ascii="Calibri" w:eastAsia="Times New Roman" w:hAnsi="Calibri" w:cs="Times New Roman"/>
                <w:sz w:val="20"/>
                <w:szCs w:val="20"/>
              </w:rPr>
              <w:t>M</w:t>
            </w:r>
            <w:r w:rsidR="005E3A70">
              <w:rPr>
                <w:rFonts w:ascii="Calibri" w:eastAsia="Times New Roman" w:hAnsi="Calibri" w:cs="Times New Roman"/>
                <w:sz w:val="20"/>
                <w:szCs w:val="20"/>
              </w:rPr>
              <w:t>edijaciaj putem ekosistema</w:t>
            </w:r>
          </w:p>
        </w:tc>
        <w:tc>
          <w:tcPr>
            <w:tcW w:w="4945" w:type="dxa"/>
            <w:shd w:val="clear" w:color="auto" w:fill="auto"/>
            <w:vAlign w:val="center"/>
            <w:hideMark/>
          </w:tcPr>
          <w:p w:rsidR="006D0F9F" w:rsidRPr="006D0F9F" w:rsidRDefault="00FB2F16" w:rsidP="00FB2F16">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Rešavanje problema smrada / buke </w:t>
            </w:r>
            <w:r w:rsidR="006D0F9F" w:rsidRPr="006D0F9F">
              <w:rPr>
                <w:rFonts w:ascii="Calibri" w:eastAsia="Times New Roman" w:hAnsi="Calibri" w:cs="Times New Roman"/>
                <w:sz w:val="20"/>
                <w:szCs w:val="20"/>
              </w:rPr>
              <w:t>/</w:t>
            </w:r>
            <w:r>
              <w:rPr>
                <w:rFonts w:ascii="Calibri" w:eastAsia="Times New Roman" w:hAnsi="Calibri" w:cs="Times New Roman"/>
                <w:sz w:val="20"/>
                <w:szCs w:val="20"/>
              </w:rPr>
              <w:t xml:space="preserve"> vizuelnih uticaja </w:t>
            </w:r>
          </w:p>
        </w:tc>
      </w:tr>
      <w:tr w:rsidR="00487AEC" w:rsidRPr="006D0F9F" w:rsidTr="00120CEB">
        <w:trPr>
          <w:trHeight w:val="530"/>
        </w:trPr>
        <w:tc>
          <w:tcPr>
            <w:tcW w:w="0" w:type="auto"/>
            <w:vMerge/>
            <w:textDirection w:val="tbRl"/>
            <w:vAlign w:val="center"/>
            <w:hideMark/>
          </w:tcPr>
          <w:p w:rsidR="006D0F9F" w:rsidRPr="006D0F9F" w:rsidRDefault="006D0F9F" w:rsidP="001E0F60">
            <w:pPr>
              <w:spacing w:after="0" w:line="240" w:lineRule="auto"/>
              <w:ind w:left="113" w:right="113"/>
              <w:jc w:val="center"/>
              <w:rPr>
                <w:rFonts w:ascii="Calibri" w:eastAsia="Times New Roman" w:hAnsi="Calibri" w:cs="Times New Roman"/>
                <w:b/>
                <w:bCs/>
                <w:sz w:val="20"/>
                <w:szCs w:val="20"/>
              </w:rPr>
            </w:pPr>
          </w:p>
        </w:tc>
        <w:tc>
          <w:tcPr>
            <w:tcW w:w="1952" w:type="dxa"/>
            <w:vMerge w:val="restart"/>
            <w:shd w:val="clear" w:color="000000" w:fill="C5DFB4"/>
            <w:vAlign w:val="center"/>
            <w:hideMark/>
          </w:tcPr>
          <w:p w:rsidR="006D0F9F" w:rsidRPr="006D0F9F" w:rsidRDefault="0062438B" w:rsidP="001E0F60">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Medijacija tokova</w:t>
            </w:r>
          </w:p>
        </w:tc>
        <w:tc>
          <w:tcPr>
            <w:tcW w:w="1980" w:type="dxa"/>
            <w:shd w:val="clear" w:color="000000" w:fill="E1EEDA"/>
            <w:vAlign w:val="center"/>
            <w:hideMark/>
          </w:tcPr>
          <w:p w:rsidR="006D0F9F" w:rsidRPr="006D0F9F" w:rsidRDefault="0062438B" w:rsidP="001E0F60">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Masovni tokovi </w:t>
            </w:r>
          </w:p>
        </w:tc>
        <w:tc>
          <w:tcPr>
            <w:tcW w:w="4945" w:type="dxa"/>
            <w:shd w:val="clear" w:color="auto" w:fill="auto"/>
            <w:vAlign w:val="center"/>
            <w:hideMark/>
          </w:tcPr>
          <w:p w:rsidR="00D74830" w:rsidRDefault="0048282D" w:rsidP="00120CE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w:t>
            </w:r>
            <w:r w:rsidR="0062438B">
              <w:rPr>
                <w:rFonts w:ascii="Calibri" w:eastAsia="Times New Roman" w:hAnsi="Calibri" w:cs="Times New Roman"/>
                <w:sz w:val="20"/>
                <w:szCs w:val="20"/>
              </w:rPr>
              <w:t>tabilizacija tokova</w:t>
            </w:r>
            <w:r>
              <w:rPr>
                <w:rFonts w:ascii="Calibri" w:eastAsia="Times New Roman" w:hAnsi="Calibri" w:cs="Times New Roman"/>
                <w:sz w:val="20"/>
                <w:szCs w:val="20"/>
              </w:rPr>
              <w:t xml:space="preserve"> kretanja</w:t>
            </w:r>
            <w:r w:rsidR="0062438B">
              <w:rPr>
                <w:rFonts w:ascii="Calibri" w:eastAsia="Times New Roman" w:hAnsi="Calibri" w:cs="Times New Roman"/>
                <w:sz w:val="20"/>
                <w:szCs w:val="20"/>
              </w:rPr>
              <w:t xml:space="preserve"> masa i ostalih erozija </w:t>
            </w:r>
          </w:p>
          <w:p w:rsidR="006D0F9F" w:rsidRPr="006D0F9F" w:rsidRDefault="0048282D" w:rsidP="00120CE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Amortizovanje i smanjenje tokova masa </w:t>
            </w:r>
          </w:p>
        </w:tc>
      </w:tr>
      <w:tr w:rsidR="00487AEC" w:rsidRPr="006D0F9F" w:rsidTr="00120CEB">
        <w:trPr>
          <w:trHeight w:val="300"/>
        </w:trPr>
        <w:tc>
          <w:tcPr>
            <w:tcW w:w="0" w:type="auto"/>
            <w:vMerge/>
            <w:textDirection w:val="tbRl"/>
            <w:vAlign w:val="center"/>
            <w:hideMark/>
          </w:tcPr>
          <w:p w:rsidR="006D0F9F" w:rsidRPr="006D0F9F" w:rsidRDefault="006D0F9F" w:rsidP="001E0F60">
            <w:pPr>
              <w:spacing w:after="0" w:line="240" w:lineRule="auto"/>
              <w:ind w:left="113" w:right="113"/>
              <w:jc w:val="center"/>
              <w:rPr>
                <w:rFonts w:ascii="Calibri" w:eastAsia="Times New Roman" w:hAnsi="Calibri" w:cs="Times New Roman"/>
                <w:b/>
                <w:bCs/>
                <w:sz w:val="20"/>
                <w:szCs w:val="20"/>
              </w:rPr>
            </w:pPr>
          </w:p>
        </w:tc>
        <w:tc>
          <w:tcPr>
            <w:tcW w:w="1952" w:type="dxa"/>
            <w:vMerge/>
            <w:vAlign w:val="center"/>
            <w:hideMark/>
          </w:tcPr>
          <w:p w:rsidR="006D0F9F" w:rsidRPr="006D0F9F" w:rsidRDefault="006D0F9F" w:rsidP="001E0F60">
            <w:pPr>
              <w:spacing w:after="0" w:line="240" w:lineRule="auto"/>
              <w:rPr>
                <w:rFonts w:ascii="Calibri" w:eastAsia="Times New Roman" w:hAnsi="Calibri" w:cs="Times New Roman"/>
                <w:sz w:val="20"/>
                <w:szCs w:val="20"/>
              </w:rPr>
            </w:pPr>
          </w:p>
        </w:tc>
        <w:tc>
          <w:tcPr>
            <w:tcW w:w="1980" w:type="dxa"/>
            <w:shd w:val="clear" w:color="000000" w:fill="E1EEDA"/>
            <w:vAlign w:val="center"/>
            <w:hideMark/>
          </w:tcPr>
          <w:p w:rsidR="006D0F9F" w:rsidRPr="006D0F9F" w:rsidRDefault="0062438B" w:rsidP="0062438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Tečni tokovi</w:t>
            </w:r>
          </w:p>
        </w:tc>
        <w:tc>
          <w:tcPr>
            <w:tcW w:w="4945" w:type="dxa"/>
            <w:shd w:val="clear" w:color="auto" w:fill="auto"/>
            <w:vAlign w:val="center"/>
            <w:hideMark/>
          </w:tcPr>
          <w:p w:rsidR="006D0F9F" w:rsidRPr="006D0F9F" w:rsidRDefault="0062438B" w:rsidP="00120CE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Zaštita od poplava </w:t>
            </w:r>
          </w:p>
        </w:tc>
      </w:tr>
      <w:tr w:rsidR="00487AEC" w:rsidRPr="006D0F9F" w:rsidTr="00120CEB">
        <w:trPr>
          <w:trHeight w:val="960"/>
        </w:trPr>
        <w:tc>
          <w:tcPr>
            <w:tcW w:w="0" w:type="auto"/>
            <w:vMerge/>
            <w:textDirection w:val="tbRl"/>
            <w:vAlign w:val="center"/>
            <w:hideMark/>
          </w:tcPr>
          <w:p w:rsidR="006D0F9F" w:rsidRPr="006D0F9F" w:rsidRDefault="006D0F9F" w:rsidP="001E0F60">
            <w:pPr>
              <w:spacing w:after="0" w:line="240" w:lineRule="auto"/>
              <w:ind w:left="113" w:right="113"/>
              <w:jc w:val="center"/>
              <w:rPr>
                <w:rFonts w:ascii="Calibri" w:eastAsia="Times New Roman" w:hAnsi="Calibri" w:cs="Times New Roman"/>
                <w:b/>
                <w:bCs/>
                <w:sz w:val="20"/>
                <w:szCs w:val="20"/>
              </w:rPr>
            </w:pPr>
          </w:p>
        </w:tc>
        <w:tc>
          <w:tcPr>
            <w:tcW w:w="1952" w:type="dxa"/>
            <w:vMerge w:val="restart"/>
            <w:shd w:val="clear" w:color="000000" w:fill="C5DFB4"/>
            <w:vAlign w:val="center"/>
            <w:hideMark/>
          </w:tcPr>
          <w:p w:rsidR="006D0F9F" w:rsidRPr="006D0F9F" w:rsidRDefault="0062438B" w:rsidP="0062438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Održavanjefizičkih, hemijskih &amp; bioloških uslova</w:t>
            </w:r>
          </w:p>
        </w:tc>
        <w:tc>
          <w:tcPr>
            <w:tcW w:w="1980" w:type="dxa"/>
            <w:shd w:val="clear" w:color="000000" w:fill="E1EEDA"/>
            <w:vAlign w:val="center"/>
            <w:hideMark/>
          </w:tcPr>
          <w:p w:rsidR="006D0F9F" w:rsidRPr="006D0F9F" w:rsidRDefault="0062438B" w:rsidP="00F63197">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Održavanje životnih ciklusa</w:t>
            </w:r>
            <w:r w:rsidR="006D0F9F" w:rsidRPr="006D0F9F">
              <w:rPr>
                <w:rFonts w:ascii="Calibri" w:eastAsia="Times New Roman" w:hAnsi="Calibri" w:cs="Times New Roman"/>
                <w:sz w:val="20"/>
                <w:szCs w:val="20"/>
              </w:rPr>
              <w:t>, habitat</w:t>
            </w:r>
            <w:r>
              <w:rPr>
                <w:rFonts w:ascii="Calibri" w:eastAsia="Times New Roman" w:hAnsi="Calibri" w:cs="Times New Roman"/>
                <w:sz w:val="20"/>
                <w:szCs w:val="20"/>
              </w:rPr>
              <w:t>a izaštita baze gena</w:t>
            </w:r>
          </w:p>
        </w:tc>
        <w:tc>
          <w:tcPr>
            <w:tcW w:w="4945" w:type="dxa"/>
            <w:shd w:val="clear" w:color="auto" w:fill="auto"/>
            <w:vAlign w:val="center"/>
            <w:hideMark/>
          </w:tcPr>
          <w:p w:rsidR="006D0F9F" w:rsidRPr="006D0F9F" w:rsidRDefault="00F63197" w:rsidP="00120CE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Oprašivanje i rasprašivanje semena </w:t>
            </w:r>
          </w:p>
        </w:tc>
      </w:tr>
      <w:tr w:rsidR="00487AEC" w:rsidRPr="006D0F9F" w:rsidTr="00120CEB">
        <w:trPr>
          <w:trHeight w:val="674"/>
        </w:trPr>
        <w:tc>
          <w:tcPr>
            <w:tcW w:w="0" w:type="auto"/>
            <w:vMerge/>
            <w:textDirection w:val="tbRl"/>
            <w:vAlign w:val="center"/>
            <w:hideMark/>
          </w:tcPr>
          <w:p w:rsidR="006D0F9F" w:rsidRPr="006D0F9F" w:rsidRDefault="006D0F9F" w:rsidP="001E0F60">
            <w:pPr>
              <w:spacing w:after="0" w:line="240" w:lineRule="auto"/>
              <w:ind w:left="113" w:right="113"/>
              <w:jc w:val="center"/>
              <w:rPr>
                <w:rFonts w:ascii="Calibri" w:eastAsia="Times New Roman" w:hAnsi="Calibri" w:cs="Times New Roman"/>
                <w:b/>
                <w:bCs/>
                <w:sz w:val="20"/>
                <w:szCs w:val="20"/>
              </w:rPr>
            </w:pPr>
          </w:p>
        </w:tc>
        <w:tc>
          <w:tcPr>
            <w:tcW w:w="1952" w:type="dxa"/>
            <w:vMerge/>
            <w:vAlign w:val="center"/>
            <w:hideMark/>
          </w:tcPr>
          <w:p w:rsidR="006D0F9F" w:rsidRPr="006D0F9F" w:rsidRDefault="006D0F9F" w:rsidP="001E0F60">
            <w:pPr>
              <w:spacing w:after="0" w:line="240" w:lineRule="auto"/>
              <w:rPr>
                <w:rFonts w:ascii="Calibri" w:eastAsia="Times New Roman" w:hAnsi="Calibri" w:cs="Times New Roman"/>
                <w:sz w:val="20"/>
                <w:szCs w:val="20"/>
              </w:rPr>
            </w:pPr>
          </w:p>
        </w:tc>
        <w:tc>
          <w:tcPr>
            <w:tcW w:w="1980" w:type="dxa"/>
            <w:shd w:val="clear" w:color="000000" w:fill="E1EEDA"/>
            <w:vAlign w:val="center"/>
            <w:hideMark/>
          </w:tcPr>
          <w:p w:rsidR="006D0F9F" w:rsidRPr="006D0F9F" w:rsidRDefault="00F63197" w:rsidP="00F63197">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Održavanje tla injegovog sastava</w:t>
            </w:r>
          </w:p>
        </w:tc>
        <w:tc>
          <w:tcPr>
            <w:tcW w:w="4945" w:type="dxa"/>
            <w:shd w:val="clear" w:color="auto" w:fill="auto"/>
            <w:vAlign w:val="center"/>
            <w:hideMark/>
          </w:tcPr>
          <w:p w:rsidR="00F63197" w:rsidRDefault="00F63197" w:rsidP="00120CE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Procesi trošenja </w:t>
            </w:r>
          </w:p>
          <w:p w:rsidR="006D0F9F" w:rsidRPr="006D0F9F" w:rsidRDefault="00F63197" w:rsidP="00120CE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Razgradnja i procesi dovođenja u red </w:t>
            </w:r>
          </w:p>
        </w:tc>
      </w:tr>
      <w:tr w:rsidR="00487AEC" w:rsidRPr="006D0F9F" w:rsidTr="00120CEB">
        <w:trPr>
          <w:trHeight w:val="881"/>
        </w:trPr>
        <w:tc>
          <w:tcPr>
            <w:tcW w:w="0" w:type="auto"/>
            <w:vMerge/>
            <w:textDirection w:val="tbRl"/>
            <w:vAlign w:val="center"/>
            <w:hideMark/>
          </w:tcPr>
          <w:p w:rsidR="006D0F9F" w:rsidRPr="006D0F9F" w:rsidRDefault="006D0F9F" w:rsidP="001E0F60">
            <w:pPr>
              <w:spacing w:after="0" w:line="240" w:lineRule="auto"/>
              <w:ind w:left="113" w:right="113"/>
              <w:jc w:val="center"/>
              <w:rPr>
                <w:rFonts w:ascii="Calibri" w:eastAsia="Times New Roman" w:hAnsi="Calibri" w:cs="Times New Roman"/>
                <w:b/>
                <w:bCs/>
                <w:sz w:val="20"/>
                <w:szCs w:val="20"/>
              </w:rPr>
            </w:pPr>
          </w:p>
        </w:tc>
        <w:tc>
          <w:tcPr>
            <w:tcW w:w="1952" w:type="dxa"/>
            <w:vMerge/>
            <w:vAlign w:val="center"/>
            <w:hideMark/>
          </w:tcPr>
          <w:p w:rsidR="006D0F9F" w:rsidRPr="006D0F9F" w:rsidRDefault="006D0F9F" w:rsidP="001E0F60">
            <w:pPr>
              <w:spacing w:after="0" w:line="240" w:lineRule="auto"/>
              <w:rPr>
                <w:rFonts w:ascii="Calibri" w:eastAsia="Times New Roman" w:hAnsi="Calibri" w:cs="Times New Roman"/>
                <w:sz w:val="20"/>
                <w:szCs w:val="20"/>
              </w:rPr>
            </w:pPr>
          </w:p>
        </w:tc>
        <w:tc>
          <w:tcPr>
            <w:tcW w:w="1980" w:type="dxa"/>
            <w:shd w:val="clear" w:color="000000" w:fill="E1EEDA"/>
            <w:vAlign w:val="center"/>
            <w:hideMark/>
          </w:tcPr>
          <w:p w:rsidR="006D0F9F" w:rsidRPr="006D0F9F" w:rsidRDefault="003910F5" w:rsidP="001E0F60">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Atmosferski sastav i regulacija klime </w:t>
            </w:r>
          </w:p>
        </w:tc>
        <w:tc>
          <w:tcPr>
            <w:tcW w:w="4945" w:type="dxa"/>
            <w:shd w:val="clear" w:color="auto" w:fill="auto"/>
            <w:vAlign w:val="center"/>
            <w:hideMark/>
          </w:tcPr>
          <w:p w:rsidR="00D74830" w:rsidRDefault="003910F5" w:rsidP="00120CE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Globalna klimatska regulacija smanjenjem </w:t>
            </w:r>
            <w:r w:rsidR="006D0F9F" w:rsidRPr="006D0F9F">
              <w:rPr>
                <w:rFonts w:ascii="Calibri" w:eastAsia="Times New Roman" w:hAnsi="Calibri" w:cs="Times New Roman"/>
                <w:sz w:val="20"/>
                <w:szCs w:val="20"/>
              </w:rPr>
              <w:t xml:space="preserve">greenhouse </w:t>
            </w:r>
          </w:p>
          <w:p w:rsidR="006D0F9F" w:rsidRPr="006D0F9F" w:rsidRDefault="003910F5" w:rsidP="00120CE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efekta </w:t>
            </w:r>
          </w:p>
        </w:tc>
      </w:tr>
      <w:tr w:rsidR="00487AEC" w:rsidRPr="006D0F9F" w:rsidTr="00120CEB">
        <w:trPr>
          <w:trHeight w:val="980"/>
        </w:trPr>
        <w:tc>
          <w:tcPr>
            <w:tcW w:w="0" w:type="auto"/>
            <w:vMerge w:val="restart"/>
            <w:shd w:val="clear" w:color="000000" w:fill="9BC2E6"/>
            <w:textDirection w:val="tbRl"/>
            <w:vAlign w:val="center"/>
            <w:hideMark/>
          </w:tcPr>
          <w:p w:rsidR="006D0F9F" w:rsidRPr="006D0F9F" w:rsidRDefault="00856C83" w:rsidP="001E0F60">
            <w:pPr>
              <w:spacing w:after="0" w:line="240" w:lineRule="auto"/>
              <w:ind w:left="113" w:right="113"/>
              <w:jc w:val="center"/>
              <w:rPr>
                <w:rFonts w:ascii="Calibri" w:eastAsia="Times New Roman" w:hAnsi="Calibri" w:cs="Times New Roman"/>
                <w:b/>
                <w:bCs/>
                <w:sz w:val="20"/>
                <w:szCs w:val="20"/>
              </w:rPr>
            </w:pPr>
            <w:r>
              <w:rPr>
                <w:rFonts w:ascii="Calibri" w:eastAsia="Times New Roman" w:hAnsi="Calibri" w:cs="Times New Roman"/>
                <w:b/>
                <w:bCs/>
                <w:sz w:val="20"/>
                <w:szCs w:val="20"/>
              </w:rPr>
              <w:t>Kultura</w:t>
            </w:r>
          </w:p>
        </w:tc>
        <w:tc>
          <w:tcPr>
            <w:tcW w:w="1952" w:type="dxa"/>
            <w:vMerge w:val="restart"/>
            <w:shd w:val="clear" w:color="000000" w:fill="BCD6ED"/>
            <w:vAlign w:val="center"/>
            <w:hideMark/>
          </w:tcPr>
          <w:p w:rsidR="006D0F9F" w:rsidRPr="006D0F9F" w:rsidRDefault="003910F5" w:rsidP="003910F5">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Psihička i intelek</w:t>
            </w:r>
            <w:r w:rsidR="006D0F9F" w:rsidRPr="006D0F9F">
              <w:rPr>
                <w:rFonts w:ascii="Calibri" w:eastAsia="Times New Roman" w:hAnsi="Calibri" w:cs="Times New Roman"/>
                <w:sz w:val="20"/>
                <w:szCs w:val="20"/>
              </w:rPr>
              <w:t>tual</w:t>
            </w:r>
            <w:r>
              <w:rPr>
                <w:rFonts w:ascii="Calibri" w:eastAsia="Times New Roman" w:hAnsi="Calibri" w:cs="Times New Roman"/>
                <w:sz w:val="20"/>
                <w:szCs w:val="20"/>
              </w:rPr>
              <w:t xml:space="preserve">na interaakcija </w:t>
            </w:r>
            <w:r w:rsidR="00A04C28">
              <w:rPr>
                <w:rFonts w:ascii="Calibri" w:eastAsia="Times New Roman" w:hAnsi="Calibri" w:cs="Times New Roman"/>
                <w:sz w:val="20"/>
                <w:szCs w:val="20"/>
              </w:rPr>
              <w:t>sa bioti, ekosistemima, i pejzaž</w:t>
            </w:r>
            <w:r>
              <w:rPr>
                <w:rFonts w:ascii="Calibri" w:eastAsia="Times New Roman" w:hAnsi="Calibri" w:cs="Times New Roman"/>
                <w:sz w:val="20"/>
                <w:szCs w:val="20"/>
              </w:rPr>
              <w:t>ima zemlje &amp; mora</w:t>
            </w:r>
          </w:p>
        </w:tc>
        <w:tc>
          <w:tcPr>
            <w:tcW w:w="1980" w:type="dxa"/>
            <w:shd w:val="clear" w:color="000000" w:fill="DDEBF7"/>
            <w:vAlign w:val="center"/>
            <w:hideMark/>
          </w:tcPr>
          <w:p w:rsidR="006D0F9F" w:rsidRPr="006D0F9F" w:rsidRDefault="003910F5" w:rsidP="001E0F60">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Fizička i iskustvena interakcija</w:t>
            </w:r>
          </w:p>
        </w:tc>
        <w:tc>
          <w:tcPr>
            <w:tcW w:w="4945" w:type="dxa"/>
            <w:shd w:val="clear" w:color="auto" w:fill="auto"/>
            <w:vAlign w:val="center"/>
            <w:hideMark/>
          </w:tcPr>
          <w:p w:rsidR="00D74830" w:rsidRDefault="00C50A71" w:rsidP="00120CE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Iskustvena upotreba biljaka, životinja i pejzaža u raznim </w:t>
            </w:r>
          </w:p>
          <w:p w:rsidR="00D74830" w:rsidRDefault="00C50A71" w:rsidP="00120CE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stanjima životne sredine </w:t>
            </w:r>
          </w:p>
          <w:p w:rsidR="00D74830" w:rsidRDefault="00C50A71" w:rsidP="00120CE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Fizička upotreba pejzaža u različitim</w:t>
            </w:r>
          </w:p>
          <w:p w:rsidR="006D0F9F" w:rsidRPr="006D0F9F" w:rsidRDefault="00C50A71" w:rsidP="00120CEB">
            <w:pPr>
              <w:spacing w:after="0" w:line="240" w:lineRule="auto"/>
              <w:rPr>
                <w:rFonts w:ascii="Times New Roman" w:eastAsia="Times New Roman" w:hAnsi="Times New Roman" w:cs="Times New Roman"/>
                <w:color w:val="000000"/>
                <w:sz w:val="20"/>
                <w:szCs w:val="20"/>
              </w:rPr>
            </w:pPr>
            <w:r>
              <w:rPr>
                <w:rFonts w:ascii="Calibri" w:eastAsia="Times New Roman" w:hAnsi="Calibri" w:cs="Times New Roman"/>
                <w:sz w:val="20"/>
                <w:szCs w:val="20"/>
              </w:rPr>
              <w:t xml:space="preserve">stanjima životne sredine </w:t>
            </w:r>
          </w:p>
        </w:tc>
      </w:tr>
      <w:tr w:rsidR="00487AEC" w:rsidRPr="006D0F9F" w:rsidTr="00120CEB">
        <w:trPr>
          <w:trHeight w:val="854"/>
        </w:trPr>
        <w:tc>
          <w:tcPr>
            <w:tcW w:w="0" w:type="auto"/>
            <w:vMerge/>
            <w:textDirection w:val="tbRl"/>
            <w:vAlign w:val="center"/>
            <w:hideMark/>
          </w:tcPr>
          <w:p w:rsidR="006D0F9F" w:rsidRPr="006D0F9F" w:rsidRDefault="006D0F9F" w:rsidP="001E0F60">
            <w:pPr>
              <w:spacing w:after="0" w:line="240" w:lineRule="auto"/>
              <w:ind w:left="113" w:right="113"/>
              <w:jc w:val="center"/>
              <w:rPr>
                <w:rFonts w:ascii="Calibri" w:eastAsia="Times New Roman" w:hAnsi="Calibri" w:cs="Times New Roman"/>
                <w:b/>
                <w:bCs/>
                <w:sz w:val="20"/>
                <w:szCs w:val="20"/>
              </w:rPr>
            </w:pPr>
          </w:p>
        </w:tc>
        <w:tc>
          <w:tcPr>
            <w:tcW w:w="1952" w:type="dxa"/>
            <w:vMerge/>
            <w:vAlign w:val="center"/>
            <w:hideMark/>
          </w:tcPr>
          <w:p w:rsidR="006D0F9F" w:rsidRPr="006D0F9F" w:rsidRDefault="006D0F9F" w:rsidP="001E0F60">
            <w:pPr>
              <w:spacing w:after="0" w:line="240" w:lineRule="auto"/>
              <w:rPr>
                <w:rFonts w:ascii="Calibri" w:eastAsia="Times New Roman" w:hAnsi="Calibri" w:cs="Times New Roman"/>
                <w:sz w:val="20"/>
                <w:szCs w:val="20"/>
              </w:rPr>
            </w:pPr>
          </w:p>
        </w:tc>
        <w:tc>
          <w:tcPr>
            <w:tcW w:w="1980" w:type="dxa"/>
            <w:shd w:val="clear" w:color="000000" w:fill="DDEBF7"/>
            <w:vAlign w:val="center"/>
            <w:hideMark/>
          </w:tcPr>
          <w:p w:rsidR="006D0F9F" w:rsidRPr="006D0F9F" w:rsidRDefault="003910F5" w:rsidP="003910F5">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Intelek</w:t>
            </w:r>
            <w:r w:rsidR="006D0F9F" w:rsidRPr="006D0F9F">
              <w:rPr>
                <w:rFonts w:ascii="Calibri" w:eastAsia="Times New Roman" w:hAnsi="Calibri" w:cs="Times New Roman"/>
                <w:sz w:val="20"/>
                <w:szCs w:val="20"/>
              </w:rPr>
              <w:t>tual</w:t>
            </w:r>
            <w:r>
              <w:rPr>
                <w:rFonts w:ascii="Calibri" w:eastAsia="Times New Roman" w:hAnsi="Calibri" w:cs="Times New Roman"/>
                <w:sz w:val="20"/>
                <w:szCs w:val="20"/>
              </w:rPr>
              <w:t>na &amp; reprezentativna interakcija</w:t>
            </w:r>
          </w:p>
        </w:tc>
        <w:tc>
          <w:tcPr>
            <w:tcW w:w="4945" w:type="dxa"/>
            <w:shd w:val="clear" w:color="auto" w:fill="auto"/>
            <w:vAlign w:val="center"/>
            <w:hideMark/>
          </w:tcPr>
          <w:p w:rsidR="006D0F9F" w:rsidRPr="006D0F9F" w:rsidRDefault="003910F5" w:rsidP="00120CEB">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Naučna </w:t>
            </w:r>
          </w:p>
        </w:tc>
      </w:tr>
    </w:tbl>
    <w:p w:rsidR="009D4FF5" w:rsidRPr="00A44634" w:rsidRDefault="001E0F60" w:rsidP="005A764D">
      <w:pPr>
        <w:spacing w:line="276" w:lineRule="auto"/>
        <w:jc w:val="both"/>
        <w:rPr>
          <w:sz w:val="20"/>
          <w:szCs w:val="20"/>
        </w:rPr>
      </w:pPr>
      <w:r w:rsidRPr="00A44634">
        <w:rPr>
          <w:sz w:val="20"/>
          <w:szCs w:val="20"/>
        </w:rPr>
        <w:t xml:space="preserve">Izvor: </w:t>
      </w:r>
      <w:r w:rsidR="00592719">
        <w:rPr>
          <w:iCs/>
          <w:sz w:val="20"/>
          <w:szCs w:val="20"/>
        </w:rPr>
        <w:t>Ling, King, Mapendembe, i Brown</w:t>
      </w:r>
      <w:r w:rsidR="00832C48" w:rsidRPr="00A44634">
        <w:rPr>
          <w:iCs/>
          <w:sz w:val="20"/>
          <w:szCs w:val="20"/>
        </w:rPr>
        <w:t xml:space="preserve"> (2018). </w:t>
      </w:r>
    </w:p>
    <w:p w:rsidR="00AC25BC" w:rsidRDefault="00AC25BC" w:rsidP="005A764D">
      <w:pPr>
        <w:spacing w:line="276" w:lineRule="auto"/>
        <w:jc w:val="both"/>
      </w:pPr>
      <w:r>
        <w:lastRenderedPageBreak/>
        <w:t>Imajući u vidu beskrajn</w:t>
      </w:r>
      <w:r w:rsidR="001B62DC">
        <w:t>o</w:t>
      </w:r>
      <w:r>
        <w:t xml:space="preserve"> mnoštvo razlih vrsta ekoloških uslug</w:t>
      </w:r>
      <w:r w:rsidR="001B62DC">
        <w:t>a kao i njihovu kompleksnost, oč</w:t>
      </w:r>
      <w:r>
        <w:t>ito je da se u analizi svake konkretne zemlje ili čak užeg prostora moramo fokusirati samo na najvažnije ekološke usluge karakteristične za dati pro</w:t>
      </w:r>
      <w:r w:rsidR="00856C83">
        <w:t>s</w:t>
      </w:r>
      <w:r>
        <w:t xml:space="preserve">tor. Ovo je vrlo lijepo ilustrovano u već citiranom radu Ling at all (2018) gde je, u tabelama 3, 4, i 5, prikazano koje se ekološke funkcije recimo u Finskoj tretiraju kao najvažnije imajući u vidu specifična objeležja ekosistema ove zemlje. </w:t>
      </w:r>
      <w:r w:rsidR="00A4374C">
        <w:t>Shodno tome, kod identifikacije i mjerenja promjena ekoloških usluga focus se stavlja na ovim funkcijama. U citiranom radu je dat pregled i za ostale zemlje ali očito da se finski može koristiti kao najbolji primjer i ka</w:t>
      </w:r>
      <w:r w:rsidR="00856C83">
        <w:t>o</w:t>
      </w:r>
      <w:r w:rsidR="00A4374C">
        <w:t xml:space="preserve"> uzor za to kako pristupiti ovom poslu u ostalim zemljama. Ovo je posebno važno za zemlju poput Crne Gore koja ima ekstremno zanimljiv </w:t>
      </w:r>
      <w:r w:rsidR="004D0503">
        <w:t xml:space="preserve">i specifičan </w:t>
      </w:r>
      <w:r w:rsidR="00A4374C">
        <w:t>tok ekoloških usluga</w:t>
      </w:r>
      <w:r w:rsidR="00856C83">
        <w:t>,</w:t>
      </w:r>
      <w:r w:rsidR="00A4374C">
        <w:t xml:space="preserve"> a koja uz to pretenduje da bude “ekološka država”. </w:t>
      </w:r>
    </w:p>
    <w:p w:rsidR="00DD4ADE" w:rsidRDefault="00DD4ADE" w:rsidP="005A764D">
      <w:pPr>
        <w:spacing w:line="276" w:lineRule="auto"/>
        <w:jc w:val="both"/>
      </w:pPr>
    </w:p>
    <w:p w:rsidR="00DD4ADE" w:rsidRDefault="00DD4ADE" w:rsidP="005A764D">
      <w:pPr>
        <w:spacing w:line="276" w:lineRule="auto"/>
        <w:jc w:val="both"/>
      </w:pPr>
    </w:p>
    <w:p w:rsidR="00DD4ADE" w:rsidRDefault="00DD4ADE" w:rsidP="005A764D">
      <w:pPr>
        <w:spacing w:line="276" w:lineRule="auto"/>
        <w:jc w:val="both"/>
      </w:pPr>
    </w:p>
    <w:p w:rsidR="00DD4ADE" w:rsidRDefault="00DD4ADE">
      <w:r>
        <w:br w:type="page"/>
      </w:r>
    </w:p>
    <w:p w:rsidR="00DD4ADE" w:rsidRDefault="00DD4ADE" w:rsidP="005A764D">
      <w:pPr>
        <w:spacing w:line="276" w:lineRule="auto"/>
        <w:jc w:val="both"/>
      </w:pPr>
    </w:p>
    <w:p w:rsidR="00DD4ADE" w:rsidRDefault="00DD4ADE" w:rsidP="005A764D">
      <w:pPr>
        <w:spacing w:line="276" w:lineRule="auto"/>
        <w:jc w:val="both"/>
      </w:pPr>
    </w:p>
    <w:p w:rsidR="00766B21" w:rsidRPr="00DD4ADE" w:rsidRDefault="00D5582C" w:rsidP="005A764D">
      <w:pPr>
        <w:spacing w:line="276" w:lineRule="auto"/>
        <w:jc w:val="both"/>
        <w:rPr>
          <w:b/>
          <w:sz w:val="28"/>
          <w:szCs w:val="28"/>
        </w:rPr>
      </w:pPr>
      <w:r>
        <w:rPr>
          <w:b/>
          <w:sz w:val="28"/>
          <w:szCs w:val="28"/>
        </w:rPr>
        <w:t xml:space="preserve">5.2. </w:t>
      </w:r>
      <w:r w:rsidR="00766B21" w:rsidRPr="00DD4ADE">
        <w:rPr>
          <w:b/>
          <w:sz w:val="28"/>
          <w:szCs w:val="28"/>
        </w:rPr>
        <w:t xml:space="preserve">Ekonomska vrijednost ekoloških usluga </w:t>
      </w:r>
    </w:p>
    <w:p w:rsidR="00953DD4" w:rsidRDefault="00832C48" w:rsidP="005A764D">
      <w:pPr>
        <w:spacing w:line="276" w:lineRule="auto"/>
        <w:jc w:val="both"/>
      </w:pPr>
      <w:r>
        <w:t>Imajući prethodna razmatranja</w:t>
      </w:r>
      <w:r w:rsidR="00120A07">
        <w:t xml:space="preserve"> u vidu, ne treba da čudi ćinjenica da se u poslednje vrijeme sve više insistira</w:t>
      </w:r>
      <w:r w:rsidR="00953DD4">
        <w:t>, kako u okviru mnogobrojnih</w:t>
      </w:r>
      <w:r w:rsidR="00120A07">
        <w:t xml:space="preserve"> međunarodnih organizacija tako </w:t>
      </w:r>
      <w:r w:rsidR="00016C06">
        <w:t>i od nauč</w:t>
      </w:r>
      <w:r w:rsidR="00120A07">
        <w:t xml:space="preserve">ne javnosti, </w:t>
      </w:r>
      <w:r w:rsidR="00953DD4">
        <w:t>na takvom daljem razvoju sistema nacionalnih računa koji bi obuhvatio i napred pomenute promjene u monetarno izraženoj vrijednosti tokova ekoloških usluga</w:t>
      </w:r>
      <w:r w:rsidR="00371846">
        <w:t xml:space="preserve"> kao i u mjerenju vrijednosti tzv</w:t>
      </w:r>
      <w:r w:rsidR="000151BF">
        <w:t>.</w:t>
      </w:r>
      <w:r w:rsidR="00371846">
        <w:t>prirodnog kapitala</w:t>
      </w:r>
      <w:r w:rsidR="00953DD4">
        <w:t xml:space="preserve">. </w:t>
      </w:r>
      <w:r w:rsidR="00371846">
        <w:t>Za po</w:t>
      </w:r>
      <w:r w:rsidR="000151BF">
        <w:t>č</w:t>
      </w:r>
      <w:r w:rsidR="00371846">
        <w:t>etak se u tom smislu insistira na ra</w:t>
      </w:r>
      <w:r w:rsidR="00787EAB">
        <w:t>zvoju takozvanih satelitskih rač</w:t>
      </w:r>
      <w:r w:rsidR="00371846">
        <w:t>una za ekološke tokove usluga.</w:t>
      </w:r>
      <w:r w:rsidR="00CD5D8E">
        <w:rPr>
          <w:rStyle w:val="FootnoteReference"/>
        </w:rPr>
        <w:footnoteReference w:id="15"/>
      </w:r>
      <w:r w:rsidR="00953DD4">
        <w:t>U dosadašnjoj ekonomskoj istoriji ove vrijednosti promjena</w:t>
      </w:r>
      <w:r w:rsidR="00371846">
        <w:t xml:space="preserve"> ekoloških uslugasu uglavnom bile negativne</w:t>
      </w:r>
      <w:r w:rsidR="00A57724">
        <w:t>. Pošto</w:t>
      </w:r>
      <w:r w:rsidR="00C57759">
        <w:t xml:space="preserve"> ih nikada</w:t>
      </w:r>
      <w:r w:rsidR="00A57724">
        <w:t xml:space="preserve"> do sada</w:t>
      </w:r>
      <w:r w:rsidR="00C57759">
        <w:t xml:space="preserve"> ni</w:t>
      </w:r>
      <w:r w:rsidR="00A57724">
        <w:t>je</w:t>
      </w:r>
      <w:r w:rsidR="00C57759">
        <w:t xml:space="preserve">smo registrovali </w:t>
      </w:r>
      <w:r w:rsidR="00AC5D0A">
        <w:t>u</w:t>
      </w:r>
      <w:r w:rsidR="00A57724">
        <w:t xml:space="preserve"> našim nacionalnim računovodstvima stvarala se</w:t>
      </w:r>
      <w:r w:rsidR="00AC5D0A">
        <w:t>na taj način iluziju da je rast naših BDP-a znatno veći nego što je stvarno bio</w:t>
      </w:r>
      <w:r w:rsidR="00371846">
        <w:t xml:space="preserve">. </w:t>
      </w:r>
      <w:r w:rsidR="00A57724">
        <w:t xml:space="preserve">Novim sistemon nacionalnih računa bi se ta greška trebala ispraviti. </w:t>
      </w:r>
      <w:r w:rsidR="00371846">
        <w:t>Kod projekata restauracije pojedinih delova eko-sistema</w:t>
      </w:r>
      <w:r w:rsidR="00DF5B29">
        <w:t>, koji se u razvijenim zemljama sve češće preduzimaju,</w:t>
      </w:r>
      <w:r w:rsidR="001B62DC">
        <w:t>efekti</w:t>
      </w:r>
      <w:r w:rsidR="00AC5D0A">
        <w:t>na</w:t>
      </w:r>
      <w:r w:rsidR="00E63A42">
        <w:t xml:space="preserve">nove </w:t>
      </w:r>
      <w:r w:rsidR="00AC5D0A">
        <w:t>nacionalne račune</w:t>
      </w:r>
      <w:r w:rsidR="00E63A42">
        <w:t>bi</w:t>
      </w:r>
      <w:r w:rsidR="00AC5D0A">
        <w:t>, naravno,</w:t>
      </w:r>
      <w:r w:rsidR="001B62DC">
        <w:t xml:space="preserve"> bili</w:t>
      </w:r>
      <w:r w:rsidR="00787EAB">
        <w:t xml:space="preserve"> pozitivni iako prinos</w:t>
      </w:r>
      <w:r w:rsidR="00DF5B29">
        <w:t>i</w:t>
      </w:r>
      <w:r w:rsidR="00787EAB">
        <w:t xml:space="preserve"> od ovakvih projekata najčešće nijesu monetarne prirode. </w:t>
      </w:r>
      <w:r w:rsidR="00E63A42">
        <w:t>To bi se, dakle</w:t>
      </w:r>
      <w:r w:rsidR="00A57724">
        <w:t xml:space="preserve">, u novim sistemima nacionalnnih računa reflektovalo kao rast BDP-a. </w:t>
      </w:r>
      <w:r w:rsidR="00EC668C">
        <w:t>Još</w:t>
      </w:r>
      <w:r w:rsidR="00451085">
        <w:t>je važniji</w:t>
      </w:r>
      <w:r w:rsidR="00231237">
        <w:t>uticaj adekvatne ekološke politike</w:t>
      </w:r>
      <w:r w:rsidR="00EC668C">
        <w:t xml:space="preserve"> koja</w:t>
      </w:r>
      <w:r w:rsidR="00C57759">
        <w:t xml:space="preserve"> na eksplicitan (na primjer, “polluter pay” ili bilo koji oblik kaznenih poreza) ili implicitan način (tehnički standardi recimo) stavlja</w:t>
      </w:r>
      <w:r w:rsidR="003E41E2">
        <w:t xml:space="preserve"> “pravu” cijenu na sve ekološke</w:t>
      </w:r>
      <w:r w:rsidR="00A57724">
        <w:t xml:space="preserve"> resurse</w:t>
      </w:r>
      <w:r w:rsidR="00231237">
        <w:t>. N</w:t>
      </w:r>
      <w:r w:rsidR="00E63A42">
        <w:t>a taj način</w:t>
      </w:r>
      <w:r w:rsidR="00231237">
        <w:t xml:space="preserve">ekološka politika već na kratak rok </w:t>
      </w:r>
      <w:r w:rsidR="00351534">
        <w:t xml:space="preserve">doprinosi </w:t>
      </w:r>
      <w:r w:rsidR="00C57759">
        <w:t>supstituci</w:t>
      </w:r>
      <w:r w:rsidR="00AC5D0A">
        <w:t>ji skupog prirodnog</w:t>
      </w:r>
      <w:r w:rsidR="00231237">
        <w:t xml:space="preserve"> kapitala</w:t>
      </w:r>
      <w:r w:rsidR="000151BF">
        <w:t>,</w:t>
      </w:r>
      <w:r w:rsidR="00231237">
        <w:t xml:space="preserve">a na dug rok, kroz R&amp;D aktivnost, doprinosi </w:t>
      </w:r>
      <w:r w:rsidR="003E41E2">
        <w:t>stvaranju č</w:t>
      </w:r>
      <w:r w:rsidR="00C57759">
        <w:t>istih tehnologija</w:t>
      </w:r>
      <w:r w:rsidR="00AC5D0A">
        <w:t>. Sve ovo</w:t>
      </w:r>
      <w:r w:rsidR="00654205">
        <w:t>, naravno,mora imati</w:t>
      </w:r>
      <w:r w:rsidR="00AC5D0A">
        <w:t xml:space="preserve"> enorman pozitivan uticaj na</w:t>
      </w:r>
      <w:r w:rsidR="002E41BF">
        <w:t xml:space="preserve">rast BDP-a čije je mjerenje zasnovano na sistemu nacionalnih računa koji obuhvataju i ekološke efekte ljudskih aktivnosti. </w:t>
      </w:r>
    </w:p>
    <w:p w:rsidR="00872920" w:rsidRDefault="00CB34F9" w:rsidP="005A764D">
      <w:pPr>
        <w:spacing w:line="276" w:lineRule="auto"/>
        <w:jc w:val="both"/>
      </w:pPr>
      <w:r>
        <w:t>Sva</w:t>
      </w:r>
      <w:r w:rsidR="007705C2">
        <w:t>ki konkretan projekat</w:t>
      </w:r>
      <w:r>
        <w:t xml:space="preserve"> utiče na promjenu svih ekoloških </w:t>
      </w:r>
      <w:r w:rsidR="00880CB5">
        <w:t>(</w:t>
      </w:r>
      <w:r>
        <w:t>a i dugih</w:t>
      </w:r>
      <w:r w:rsidR="00880CB5">
        <w:t>)</w:t>
      </w:r>
      <w:r>
        <w:t xml:space="preserve"> tokova koristi i troškova.</w:t>
      </w:r>
      <w:r w:rsidR="00880CB5">
        <w:t xml:space="preserve"> U stvari,suma svih tih promjena</w:t>
      </w:r>
      <w:r w:rsidR="007705C2">
        <w:t xml:space="preserve"> ekoloških</w:t>
      </w:r>
      <w:r w:rsidR="00880CB5">
        <w:t xml:space="preserve"> net</w:t>
      </w:r>
      <w:r w:rsidR="007705C2">
        <w:t xml:space="preserve">o koristi predstavlja ono što ulazi kao glavni input u računanju </w:t>
      </w:r>
      <w:r w:rsidR="00872920">
        <w:t xml:space="preserve">prethodno pomenutog </w:t>
      </w:r>
      <w:r w:rsidR="007705C2">
        <w:t xml:space="preserve">BDP-a zasnovanog na novom sistemu nacionalnih računa. </w:t>
      </w:r>
      <w:r w:rsidR="00CA64B1">
        <w:t xml:space="preserve">Najveći dio ekoloških troškova i koristi </w:t>
      </w:r>
      <w:r w:rsidR="00B77DAC">
        <w:t>se</w:t>
      </w:r>
      <w:r w:rsidR="00872920">
        <w:t>, kao što smo rekli,</w:t>
      </w:r>
      <w:r w:rsidR="00B77DAC">
        <w:t xml:space="preserve"> javlja</w:t>
      </w:r>
      <w:r w:rsidR="00872920">
        <w:t xml:space="preserve"> u nemonetarnoj formi. Radi njihove uporedivosti sa čisto komercijalnim koristima i troškovima a i radi njihove međusobne uporedivosti sve ove nemonetarne koristi i troškovi trebamo pretvoriti u njihov monetarni ekvivalent</w:t>
      </w:r>
      <w:r w:rsidR="00810C2D">
        <w:t>. Ovako računata vrednost najčeće se označava kao ekonom</w:t>
      </w:r>
      <w:r w:rsidR="004F6E05">
        <w:t>ska vrijednost</w:t>
      </w:r>
      <w:r w:rsidR="00C91559">
        <w:t xml:space="preserve"> (EV)</w:t>
      </w:r>
      <w:r w:rsidR="004F6E05">
        <w:t xml:space="preserve"> ekolo</w:t>
      </w:r>
      <w:r w:rsidR="000151BF">
        <w:t>š</w:t>
      </w:r>
      <w:r w:rsidR="004F6E05">
        <w:t>kih usluga</w:t>
      </w:r>
      <w:r w:rsidR="00810C2D">
        <w:t xml:space="preserve">. </w:t>
      </w:r>
      <w:r w:rsidR="0082045F">
        <w:t>Kod konkretnih projekata nas zanimaju promjene ovako shva</w:t>
      </w:r>
      <w:r w:rsidR="000151BF">
        <w:t>ć</w:t>
      </w:r>
      <w:r w:rsidR="0082045F">
        <w:t xml:space="preserve">enih ekonomskih vrijednosti ekoloških usluga. Kada su te promjene pozitivne, kao u slučaju </w:t>
      </w:r>
      <w:r w:rsidR="00C3671A">
        <w:t xml:space="preserve">rijetkih projekata </w:t>
      </w:r>
      <w:r w:rsidR="0082045F">
        <w:t>restauracije eko-sistema, tada imamo posla sa projektima koji imaju poz</w:t>
      </w:r>
      <w:r w:rsidR="000151BF">
        <w:t>i</w:t>
      </w:r>
      <w:r w:rsidR="0082045F">
        <w:t xml:space="preserve">tivne ekonomske efekte. Nasuprot tome, kada su ove promjene negativne, a to je slučaj sa daleko najvećim brojem komercijalnih projekata, tada imamo posla sa negativnim ekonomskim vrijednostima. </w:t>
      </w:r>
      <w:r w:rsidR="007345AE">
        <w:t xml:space="preserve">Ovo prosto zato što na ekološke resurse, uprkos naporima koji se kroz ekološku politiku čine, još uvijek nijesu “stavljene prave cijene” ekoloških usluga. </w:t>
      </w:r>
    </w:p>
    <w:p w:rsidR="0052647F" w:rsidRDefault="00C3671A" w:rsidP="005A764D">
      <w:pPr>
        <w:spacing w:line="276" w:lineRule="auto"/>
        <w:jc w:val="both"/>
      </w:pPr>
      <w:r>
        <w:t>No, pogledajmo malo detaljnije sam koncept ekonomske vrijednosi koji ćemo ovdje koristi</w:t>
      </w:r>
      <w:r w:rsidR="000151BF">
        <w:t>,</w:t>
      </w:r>
      <w:r>
        <w:t xml:space="preserve"> a koji je, zapravo, </w:t>
      </w:r>
      <w:r w:rsidR="004808B9">
        <w:t>analogan onom koji imamo u tržiš</w:t>
      </w:r>
      <w:r>
        <w:t xml:space="preserve">noj ekonomiji. Posmatrajmo, u tom smislu, parcijalnu tržišnu </w:t>
      </w:r>
      <w:r>
        <w:lastRenderedPageBreak/>
        <w:t>ravnotežu</w:t>
      </w:r>
      <w:r w:rsidR="00672C17">
        <w:t xml:space="preserve"> tj</w:t>
      </w:r>
      <w:r w:rsidR="000151BF">
        <w:t>.</w:t>
      </w:r>
      <w:r>
        <w:t>ravnotežu na tipičnom tržištu</w:t>
      </w:r>
      <w:r w:rsidR="00672C17">
        <w:t xml:space="preserve"> nekog</w:t>
      </w:r>
      <w:r>
        <w:t xml:space="preserve"> kon</w:t>
      </w:r>
      <w:r w:rsidR="00672C17">
        <w:t>kretnog proizvoda</w:t>
      </w:r>
      <w:r w:rsidR="004808B9">
        <w:t xml:space="preserve"> ili usluge</w:t>
      </w:r>
      <w:r>
        <w:t xml:space="preserve">. </w:t>
      </w:r>
      <w:r w:rsidR="004808B9">
        <w:t>U savršeno funkcioniš</w:t>
      </w:r>
      <w:r w:rsidRPr="00C3671A">
        <w:t xml:space="preserve">ućem tržištu, ekonomska vrijednost dobra ili usluge određena je </w:t>
      </w:r>
      <w:r w:rsidR="00672C17">
        <w:t>ponudom i tražnjom posmatranog dobra / usluge. Tražnja</w:t>
      </w:r>
      <w:r w:rsidRPr="00C3671A">
        <w:t xml:space="preserve"> za </w:t>
      </w:r>
      <w:r w:rsidR="00672C17">
        <w:t xml:space="preserve">nekim </w:t>
      </w:r>
      <w:r w:rsidRPr="00C3671A">
        <w:t>dobrom ili</w:t>
      </w:r>
      <w:r w:rsidR="00672C17">
        <w:t xml:space="preserve"> uslugom je određena korisnošću koje potrošači dobijaju od toga dobra ili usluge a koja se može odrediti na osnovu njihove spremnosti da plate </w:t>
      </w:r>
      <w:r w:rsidR="004D0503">
        <w:t xml:space="preserve">za svaku </w:t>
      </w:r>
      <w:r w:rsidR="00672C17">
        <w:t>dodatnu jedinicu</w:t>
      </w:r>
      <w:r w:rsidR="004D0503">
        <w:t xml:space="preserve"> potrošnje</w:t>
      </w:r>
      <w:r w:rsidRPr="00C3671A">
        <w:t>.</w:t>
      </w:r>
      <w:r w:rsidR="00143549">
        <w:t xml:space="preserve"> Ovako definisana spremnost da se plati predstavlja aproksimaciju krive tražnje shvaćene kao granične korisnosti.</w:t>
      </w:r>
      <w:r w:rsidR="004D0503">
        <w:t>S druge strane, ponuda posmatrane robe ili usluge određena je</w:t>
      </w:r>
      <w:r w:rsidRPr="00C3671A">
        <w:t xml:space="preserve"> troškovima </w:t>
      </w:r>
      <w:r w:rsidR="004D0503">
        <w:t xml:space="preserve">potrebnim za proizvodnju svake dodatne jedinice posmatranog dobra ili usluge (poznatim i kao granični troškovi). </w:t>
      </w:r>
      <w:r w:rsidR="007D6A73">
        <w:t>Na G</w:t>
      </w:r>
      <w:r w:rsidR="00143549">
        <w:t xml:space="preserve">rafiku </w:t>
      </w:r>
      <w:r w:rsidR="001E461D">
        <w:t>5.</w:t>
      </w:r>
      <w:r w:rsidR="00C91559" w:rsidRPr="00477977">
        <w:t>1</w:t>
      </w:r>
      <w:r w:rsidR="001E461D">
        <w:t>.</w:t>
      </w:r>
      <w:r w:rsidR="00143549">
        <w:t>je datapojednostavljena slika tražnje (marginalne korisnosti</w:t>
      </w:r>
      <w:r w:rsidRPr="00C3671A">
        <w:t>)</w:t>
      </w:r>
      <w:r w:rsidR="000C1927">
        <w:t xml:space="preserve"> i ponude (marginalni trošak) dobra koje se promeće na tržištu, kao i tržišne ravnoteže koja se doseže u tačci njihovog presjeka.</w:t>
      </w:r>
      <w:r w:rsidR="004B2C2F">
        <w:t>U toj je tač</w:t>
      </w:r>
      <w:r w:rsidR="000C1927">
        <w:t xml:space="preserve">ci određen nivo ravnotežne količine, Q, i ravnotežne cijene, P, posmatranog dobra ili usluge. </w:t>
      </w:r>
    </w:p>
    <w:p w:rsidR="0052647F" w:rsidRDefault="0052647F" w:rsidP="0052647F">
      <w:pPr>
        <w:spacing w:line="276" w:lineRule="auto"/>
        <w:jc w:val="center"/>
      </w:pPr>
      <w:r w:rsidRPr="0052647F">
        <w:rPr>
          <w:noProof/>
        </w:rPr>
        <w:drawing>
          <wp:inline distT="0" distB="0" distL="0" distR="0">
            <wp:extent cx="3989289" cy="283325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0019" cy="2883487"/>
                    </a:xfrm>
                    <a:prstGeom prst="rect">
                      <a:avLst/>
                    </a:prstGeom>
                    <a:noFill/>
                    <a:ln>
                      <a:noFill/>
                    </a:ln>
                  </pic:spPr>
                </pic:pic>
              </a:graphicData>
            </a:graphic>
          </wp:inline>
        </w:drawing>
      </w:r>
    </w:p>
    <w:p w:rsidR="008B4165" w:rsidRDefault="00A20EAF" w:rsidP="008A01AA">
      <w:pPr>
        <w:spacing w:line="276" w:lineRule="auto"/>
        <w:jc w:val="both"/>
      </w:pPr>
      <w:r>
        <w:t>Na ovom grafiku površina obeležena sa A</w:t>
      </w:r>
      <w:r w:rsidR="00304E4E" w:rsidRPr="00304E4E">
        <w:t xml:space="preserve"> predstavlja </w:t>
      </w:r>
      <w:r>
        <w:t>ono što nazivamo potrošački višak</w:t>
      </w:r>
      <w:r w:rsidR="006412B2">
        <w:t>. Nazivamo ga tako</w:t>
      </w:r>
      <w:r>
        <w:t xml:space="preserve"> zato što</w:t>
      </w:r>
      <w:r w:rsidR="006412B2">
        <w:t>površina A</w:t>
      </w:r>
      <w:r>
        <w:t xml:space="preserve"> predstavlja </w:t>
      </w:r>
      <w:r w:rsidR="006F6791">
        <w:t>čist dobitak</w:t>
      </w:r>
      <w:r>
        <w:t xml:space="preserve"> za</w:t>
      </w:r>
      <w:r w:rsidR="00304E4E" w:rsidRPr="00304E4E">
        <w:t xml:space="preserve"> potrošač</w:t>
      </w:r>
      <w:r>
        <w:t>e</w:t>
      </w:r>
      <w:r w:rsidR="006412B2">
        <w:t>. P</w:t>
      </w:r>
      <w:r w:rsidR="006F6791">
        <w:t>otrošači</w:t>
      </w:r>
      <w:r w:rsidR="006412B2">
        <w:t xml:space="preserve">su </w:t>
      </w:r>
      <w:r>
        <w:t xml:space="preserve">sada u </w:t>
      </w:r>
      <w:r w:rsidR="00304E4E" w:rsidRPr="00304E4E">
        <w:t>mogućnosti kupiti</w:t>
      </w:r>
      <w:r w:rsidR="006F6791">
        <w:t xml:space="preserve"> svaki od Q</w:t>
      </w:r>
      <w:r w:rsidR="00304E4E" w:rsidRPr="00304E4E">
        <w:t xml:space="preserve"> proizvod</w:t>
      </w:r>
      <w:r w:rsidR="006F6791">
        <w:t>a</w:t>
      </w:r>
      <w:r w:rsidR="00304E4E" w:rsidRPr="00304E4E">
        <w:t xml:space="preserve"> po tržišnoj cijeni koja je manj</w:t>
      </w:r>
      <w:r>
        <w:t>a od najviše cijene koju su oni</w:t>
      </w:r>
      <w:r w:rsidR="00304E4E" w:rsidRPr="00304E4E">
        <w:t xml:space="preserve"> spremni platiti </w:t>
      </w:r>
      <w:r>
        <w:t>za svaki pojedinačni proizvod. S druge strane, površina B predstavlja</w:t>
      </w:r>
      <w:r w:rsidR="006F6791">
        <w:t xml:space="preserve"> proizvođačev višak. Ovdje je riječ o dobitku</w:t>
      </w:r>
      <w:r>
        <w:t xml:space="preserve"> za proizvođaća jer </w:t>
      </w:r>
      <w:r w:rsidR="006F6791">
        <w:t xml:space="preserve">B </w:t>
      </w:r>
      <w:r>
        <w:t xml:space="preserve">predstavlja iznos </w:t>
      </w:r>
      <w:r w:rsidR="00304E4E" w:rsidRPr="00304E4E">
        <w:t>koji proizvođači ostvaruju prodajom po tržišnoj cijeni koja je viša od najniže cijene za koju bi</w:t>
      </w:r>
      <w:r>
        <w:t xml:space="preserve"> oni</w:t>
      </w:r>
      <w:r w:rsidR="00304E4E" w:rsidRPr="00304E4E">
        <w:t xml:space="preserve"> bili spremni prodati </w:t>
      </w:r>
      <w:r>
        <w:t xml:space="preserve">svaki pojedinačni proizvod. </w:t>
      </w:r>
      <w:r w:rsidR="006F6791">
        <w:t>Konačno, površina C</w:t>
      </w:r>
      <w:r w:rsidR="00304E4E" w:rsidRPr="00304E4E">
        <w:t xml:space="preserve"> predstavlja</w:t>
      </w:r>
      <w:r w:rsidR="006F6791">
        <w:t xml:space="preserve">sumu proizvodnih troškova za sve proizvedene jedinice. </w:t>
      </w:r>
      <w:r w:rsidR="00F2398F">
        <w:t>Ovdje je od krucijalne važnosti primijeniti da bi prava mjera blagostanja od aktivnosti proizvodnje posmatranog proizvoda ili usluge trebala biti jednaka sumi potrošačevog i proizvođačevog viška (A+</w:t>
      </w:r>
      <w:r w:rsidR="004808B9">
        <w:t>B) tj onom što se označava ka dr</w:t>
      </w:r>
      <w:r w:rsidR="00F2398F">
        <w:t xml:space="preserve">uštveni višak. </w:t>
      </w:r>
      <w:r w:rsidR="008B4165">
        <w:t>Kada bi sum</w:t>
      </w:r>
      <w:r w:rsidR="000151BF">
        <w:t>i</w:t>
      </w:r>
      <w:r w:rsidR="008B4165">
        <w:t xml:space="preserve">rali društvene viškove </w:t>
      </w:r>
      <w:r w:rsidR="00E0318D">
        <w:t xml:space="preserve">svih proizvoda i usluga dobili bi agregatnu vrijednost društvenog viška </w:t>
      </w:r>
      <w:r w:rsidR="008B4165">
        <w:t xml:space="preserve">kao najprecizniju mjeru ukupnog društvenog blagostanja. </w:t>
      </w:r>
    </w:p>
    <w:p w:rsidR="00C647E0" w:rsidRDefault="008B4165" w:rsidP="008A01AA">
      <w:pPr>
        <w:spacing w:line="276" w:lineRule="auto"/>
        <w:jc w:val="both"/>
      </w:pPr>
      <w:r>
        <w:t xml:space="preserve">Nažalost prethodno opisani način mjerenja društvenog blagostanja je </w:t>
      </w:r>
      <w:r w:rsidR="004808B9">
        <w:t xml:space="preserve">u praktičnom smislu </w:t>
      </w:r>
      <w:r>
        <w:t xml:space="preserve">nemoguća </w:t>
      </w:r>
      <w:r w:rsidR="003F68C4">
        <w:t>misija. Mnogo je razloga za to a</w:t>
      </w:r>
      <w:r>
        <w:t>li se dva posebno ističu.</w:t>
      </w:r>
      <w:r w:rsidR="003F68C4">
        <w:t xml:space="preserve"> Prvo, ukupna količina proizvoda i usluga,</w:t>
      </w:r>
      <w:r>
        <w:t xml:space="preserve"> za koje bi morali procijeniti </w:t>
      </w:r>
      <w:r w:rsidR="003F68C4">
        <w:t xml:space="preserve">funkciju ponude i tražnje, se mjeri milionima, što procjenu ovih funkcija čini </w:t>
      </w:r>
      <w:r w:rsidR="003F68C4">
        <w:lastRenderedPageBreak/>
        <w:t>neobično zahtjevnom i e</w:t>
      </w:r>
      <w:r w:rsidR="000151BF">
        <w:t>k</w:t>
      </w:r>
      <w:r w:rsidR="003F68C4">
        <w:t xml:space="preserve">stremno skupim. </w:t>
      </w:r>
      <w:r w:rsidR="00817829">
        <w:t xml:space="preserve">Drugo, još važnije, tehnološki progres, promjene ukusa i mnogobrojne druge promjene, brzo i stalno mijenjaju oblik i funkcije ponude i funkcije tražnje, što znači da bi se ove procjene “miliona” funkcija morale raditi iznova bar svake godine, što pomenuti problem čini još većim. To je i glavni razlog zbog kojeg </w:t>
      </w:r>
      <w:r w:rsidR="00585DDB">
        <w:t>kao mjeru blagostanja</w:t>
      </w:r>
      <w:r w:rsidR="00C91559">
        <w:t>, tj</w:t>
      </w:r>
      <w:r w:rsidR="000151BF">
        <w:t>.</w:t>
      </w:r>
      <w:r w:rsidR="00C91559">
        <w:t>kao mjeru ekonomske vrijednosti (EV)</w:t>
      </w:r>
      <w:r w:rsidR="00817829">
        <w:t xml:space="preserve">koristimo BDP </w:t>
      </w:r>
      <w:r w:rsidR="00585DDB">
        <w:t>iako su odavno poznata njegova i koncepcijska i empirijska ograničenja. Iz perspe</w:t>
      </w:r>
      <w:r w:rsidR="000151BF">
        <w:t>k</w:t>
      </w:r>
      <w:r w:rsidR="00585DDB">
        <w:t>tive napred d</w:t>
      </w:r>
      <w:r w:rsidR="008C40AA">
        <w:t>atog grafika osnov za računanj</w:t>
      </w:r>
      <w:r w:rsidR="004808B9">
        <w:t>e BDP-a je suma površina B</w:t>
      </w:r>
      <w:r w:rsidR="008C40AA">
        <w:t xml:space="preserve">+C, koja je jednaka proizvodu QxP tj ukupnom prihodu od posmatranog dobra na cjelokupnom tržištu. Na našoj kokretnoj slici ove dvije površine, (A+B) i (B+C), se i ne razlikuju mnogo ali je to samo zato što su </w:t>
      </w:r>
      <w:r w:rsidR="003D305D">
        <w:t xml:space="preserve">funkcije ponude i tražnje takvog oblika da na kraju površine A i C ispadaju približmo jednake. </w:t>
      </w:r>
    </w:p>
    <w:p w:rsidR="008B4165" w:rsidRDefault="008A01AA" w:rsidP="008A01AA">
      <w:pPr>
        <w:spacing w:line="276" w:lineRule="auto"/>
        <w:jc w:val="center"/>
      </w:pPr>
      <w:r w:rsidRPr="008A01AA">
        <w:rPr>
          <w:noProof/>
        </w:rPr>
        <w:drawing>
          <wp:inline distT="0" distB="0" distL="0" distR="0">
            <wp:extent cx="4071327" cy="251460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7198" cy="2555284"/>
                    </a:xfrm>
                    <a:prstGeom prst="rect">
                      <a:avLst/>
                    </a:prstGeom>
                    <a:noFill/>
                    <a:ln>
                      <a:noFill/>
                    </a:ln>
                  </pic:spPr>
                </pic:pic>
              </a:graphicData>
            </a:graphic>
          </wp:inline>
        </w:drawing>
      </w:r>
    </w:p>
    <w:p w:rsidR="003D305D" w:rsidRDefault="00ED2409" w:rsidP="00D072EF">
      <w:pPr>
        <w:spacing w:line="276" w:lineRule="auto"/>
        <w:jc w:val="both"/>
      </w:pPr>
      <w:r>
        <w:t xml:space="preserve">U drugim situacijama je ovo daleko od realnosti. Na Grafiku </w:t>
      </w:r>
      <w:r w:rsidR="001E461D">
        <w:t>5.</w:t>
      </w:r>
      <w:r w:rsidR="00C91559" w:rsidRPr="00D921F1">
        <w:t>2</w:t>
      </w:r>
      <w:r w:rsidR="001E461D">
        <w:t>.</w:t>
      </w:r>
      <w:r>
        <w:t>se to jasno vidi. Prvi od ova dva grafika bi zbog neelastičnosti tražnje (karakteristične za esencijalna dobra) i neelastičnosti ponude (karakteristične za slučaj ograničenost resursa) najbolje odgovarao poljoprivrednim proizvodima. Kao što vidimo ovdje je površina C daleko manja od površine A</w:t>
      </w:r>
      <w:r w:rsidR="00D072EF">
        <w:t>. Usled to</w:t>
      </w:r>
      <w:r>
        <w:t xml:space="preserve">ga je </w:t>
      </w:r>
      <w:r w:rsidR="00D072EF">
        <w:t>ovdje nivo blagostanja mjeren društvenim viškom (površina A+B) daleko veći od nivoa blagostanja mjerenog BDP-om (površina B+C). Ovdje, dakle, BDP podcjenjuje vrijednost stvarnog blagostanja. Na drugoj slici je elastičnost obe funkcije jako nisko što bi moglo opisivati stanje u nekoj manufakturnoj djelat</w:t>
      </w:r>
      <w:r w:rsidR="00E65120">
        <w:t>n</w:t>
      </w:r>
      <w:r w:rsidR="00D072EF">
        <w:t xml:space="preserve">osti (lako repliciranje tehnologije </w:t>
      </w:r>
      <w:r w:rsidR="00117A9D">
        <w:t xml:space="preserve">i, zato, </w:t>
      </w:r>
      <w:r w:rsidR="00D072EF">
        <w:t>neelastična ponuda) koja se bavi proizvodnjom luksuznih proizvoda (slaba elastičnost tražnje)</w:t>
      </w:r>
      <w:r w:rsidR="00E65120">
        <w:t>.</w:t>
      </w:r>
      <w:r w:rsidR="00117A9D">
        <w:t>Nasuprot prethodnom slučaju ov</w:t>
      </w:r>
      <w:r w:rsidR="00E65120">
        <w:t>d</w:t>
      </w:r>
      <w:r w:rsidR="00117A9D">
        <w:t xml:space="preserve">je je površina C znatno veća od površine A pa zato ovde i BDP, površina (B+C), znatno precjenjuje blagostanje jer je stvarnu vrijednost blagostanja mjerena društvenim viškom jednaka površini (A+B). </w:t>
      </w:r>
    </w:p>
    <w:p w:rsidR="00D94041" w:rsidRDefault="008E51F1" w:rsidP="00D072EF">
      <w:pPr>
        <w:spacing w:line="276" w:lineRule="auto"/>
        <w:jc w:val="both"/>
      </w:pPr>
      <w:r>
        <w:t>Kod čistih tržišnih dobara, čije tržište i način mjerenja smo prethodno upravo opisali, postoje podaci na osnovu kojih lako možemo izračunati dodatu vrednost kao element računanja BDP-a. Kod čistih javnih i kvazi javnih dobara kao i u slučaju gdje imamo esterne efekte</w:t>
      </w:r>
      <w:r w:rsidR="00BB5583">
        <w:t>, a to su upravo stanja koja im</w:t>
      </w:r>
      <w:r>
        <w:t xml:space="preserve">amok </w:t>
      </w:r>
      <w:r w:rsidR="00BB5583">
        <w:t>k</w:t>
      </w:r>
      <w:r>
        <w:t>od ekoloških dobara i ekoloških usluga, ovakvi podaci, osim u rijetkim situacijama, ne postoje. To jeposledica okolnosti da se ekološka dobra ili ne promeću na tržištu ili, kada se promeću, daju derogirane podatke o stvarnim k</w:t>
      </w:r>
      <w:r w:rsidR="00BB5583">
        <w:t>orisnostima i troškovima vezanim</w:t>
      </w:r>
      <w:r>
        <w:t xml:space="preserve"> za njih. Upravo zato ovdje, pored izvjesnog broja tržišnih podataka, moramo koristiti druge izvore podataka i druge metode procjene </w:t>
      </w:r>
      <w:r w:rsidR="008864ED">
        <w:lastRenderedPageBreak/>
        <w:t xml:space="preserve">ekonomske vrijednosti ekoloških usluga. Vrlo često ti metodi nas dovedu do funkcija tražnje u obliku spremnosti da se plati (WTP - Willingness To Pay) ili spremnosti da se prihvati (WTA – Willingness To </w:t>
      </w:r>
      <w:r w:rsidR="00E65120">
        <w:t>A</w:t>
      </w:r>
      <w:r w:rsidR="008864ED">
        <w:t xml:space="preserve">ccept) što bi mogao biti osnov da se preciznije utvrdi nivo promjena blagostanja korišćenjem društvenog viška kao bolje mjere promjena blagostanja. Ipak, i ovdje, zbog ranije pomenutih razloga uporedivosti, primjenjujemo metod koji simulira metodologiju koju koristimo kod računanja dodate vrijednosti i BDP-a. </w:t>
      </w:r>
      <w:r w:rsidR="00223111">
        <w:t xml:space="preserve">Da bi ovu situaciju sa ekološkim uslugama ilustrovali preciznije predstavićemo je sledećim grafikom. </w:t>
      </w:r>
    </w:p>
    <w:p w:rsidR="00A07855" w:rsidRDefault="00A07855" w:rsidP="00A07855">
      <w:pPr>
        <w:spacing w:line="276" w:lineRule="auto"/>
        <w:jc w:val="center"/>
      </w:pPr>
      <w:r w:rsidRPr="00A07855">
        <w:rPr>
          <w:noProof/>
        </w:rPr>
        <w:drawing>
          <wp:inline distT="0" distB="0" distL="0" distR="0">
            <wp:extent cx="4130413" cy="295794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5404" cy="2990165"/>
                    </a:xfrm>
                    <a:prstGeom prst="rect">
                      <a:avLst/>
                    </a:prstGeom>
                    <a:noFill/>
                    <a:ln>
                      <a:noFill/>
                    </a:ln>
                  </pic:spPr>
                </pic:pic>
              </a:graphicData>
            </a:graphic>
          </wp:inline>
        </w:drawing>
      </w:r>
    </w:p>
    <w:p w:rsidR="00A07855" w:rsidRDefault="00A07855" w:rsidP="00D072EF">
      <w:pPr>
        <w:spacing w:line="276" w:lineRule="auto"/>
        <w:jc w:val="both"/>
      </w:pPr>
      <w:r>
        <w:t>Primijetimo za početak da se funkcija tražnje kod ekoloških usluga ne ispoljava na način kako je to slučaj kod tržišnih, tj</w:t>
      </w:r>
      <w:r w:rsidR="00E65120">
        <w:t>.</w:t>
      </w:r>
      <w:r>
        <w:t>kod</w:t>
      </w:r>
      <w:r w:rsidRPr="00BB2096">
        <w:t xml:space="preserve">ekskluzivnih </w:t>
      </w:r>
      <w:r>
        <w:t>i nerivalnih dobara, već je ona ovdje predstavljena kao unutrašnja vrijednost mjerena našom spremnošću da za svaku jedinicu</w:t>
      </w:r>
      <w:r w:rsidR="00FB38D3">
        <w:t xml:space="preserve"> tihusluga</w:t>
      </w:r>
      <w:r>
        <w:t xml:space="preserve"> platimo </w:t>
      </w:r>
      <w:r w:rsidR="00FB38D3">
        <w:t>u slučaju k</w:t>
      </w:r>
      <w:r w:rsidR="007C3CC7">
        <w:t>ada bi one bile utržive.</w:t>
      </w:r>
      <w:r w:rsidR="00BB2096">
        <w:rPr>
          <w:rStyle w:val="FootnoteReference"/>
        </w:rPr>
        <w:footnoteReference w:id="16"/>
      </w:r>
      <w:r w:rsidR="007C3CC7">
        <w:t xml:space="preserve"> Još važ</w:t>
      </w:r>
      <w:r w:rsidR="00FB38D3">
        <w:t xml:space="preserve">nije je razumjeti zašto funkcija ponude ima vertikalan oblik. Odgovor je jednostavan. </w:t>
      </w:r>
      <w:r w:rsidR="00FB38D3">
        <w:lastRenderedPageBreak/>
        <w:t xml:space="preserve">Ponuda ekoloških usluga je nezavisna od njihove cijene / vrijednosti. Ona je prosto određena kapacitetim eko-sistema. Usled vertikalnog oblika krive ponude ovdje je još veća diskrepanca između društvenog viška (površina A+B) i onoga što ovdje nazivamo ekonomska vrijednost (EV) a koja je jednaka proizvodu marginalne vrijednost usluge i fiksne ponude ekološke usluge (površina B). </w:t>
      </w:r>
      <w:r w:rsidR="009F51CE">
        <w:t xml:space="preserve">Kao što vidimo, ovdje je blagostanje mjereno promjenom BDP-a, odnosno ekonomskom vrijednošću (EV) uvijek znatno manje od stvarnog blagostanja, mjerenog društvenim viškom. </w:t>
      </w:r>
      <w:r w:rsidR="00A474FB">
        <w:t>Kod većine ekoloških usluga j</w:t>
      </w:r>
      <w:r w:rsidR="00123F55">
        <w:t xml:space="preserve">e ova razlika još veća nego što je to predstavljeno na našem grafiku jer je kod njih kriva tražnje još strmija pošto dobar dio tih dobara predstavlja esencijalna dobra. No, i pored toga mi smo, zbog uporedivosti sa ekonomskom aktivnošću i zbog nemogućnosti mjerenja društvenog viška, prinuđeni i ovdje da koristimo metodologiju koju koristimo kod računanja dodate vrijednosti i BDP-a. Vrijednost izmjerenu na ovaj način nazivamo ekonomska vrijednost (EV) ekoloških usluga. </w:t>
      </w:r>
    </w:p>
    <w:p w:rsidR="001006FA" w:rsidRDefault="00BB5583" w:rsidP="005A764D">
      <w:pPr>
        <w:spacing w:line="276" w:lineRule="auto"/>
        <w:jc w:val="both"/>
      </w:pPr>
      <w:r>
        <w:t>Nastojanje da se na prethodno opisani</w:t>
      </w:r>
      <w:r w:rsidR="009F51CE">
        <w:t>, rekli s</w:t>
      </w:r>
      <w:r w:rsidR="00FD2B6B">
        <w:t>mo problematičan</w:t>
      </w:r>
      <w:r w:rsidR="009F51CE">
        <w:t xml:space="preserve"> ali jednostavan i uporediv,</w:t>
      </w:r>
      <w:r>
        <w:t xml:space="preserve"> način izmjeri ekonomska vrijednost ekoloških usluga, odnosno njihovih promjena, </w:t>
      </w:r>
      <w:r w:rsidR="00B463AC">
        <w:t xml:space="preserve">je </w:t>
      </w:r>
      <w:r w:rsidR="009F51CE">
        <w:t xml:space="preserve">ipak vrlo zahtjevno. Ono je </w:t>
      </w:r>
      <w:r w:rsidR="00B463AC">
        <w:t xml:space="preserve">tim koplikovanije kada </w:t>
      </w:r>
      <w:r w:rsidR="00F74D46">
        <w:t>se ima u vidu da se sameekološke</w:t>
      </w:r>
      <w:r w:rsidR="00B463AC">
        <w:t xml:space="preserve"> koristi</w:t>
      </w:r>
      <w:r w:rsidR="00F74D46">
        <w:t xml:space="preserve"> mogu</w:t>
      </w:r>
      <w:r w:rsidR="00B463AC">
        <w:t xml:space="preserve"> sastojati od</w:t>
      </w:r>
      <w:r w:rsidR="00256832">
        <w:t xml:space="preserve"> sasvim</w:t>
      </w:r>
      <w:r w:rsidR="00B463AC">
        <w:t xml:space="preserve"> raz</w:t>
      </w:r>
      <w:r w:rsidR="00256832">
        <w:t>ličitih sadržaja</w:t>
      </w:r>
      <w:r w:rsidR="00EF5719">
        <w:t xml:space="preserve"> tj</w:t>
      </w:r>
      <w:r w:rsidR="002D60EC">
        <w:t xml:space="preserve">. </w:t>
      </w:r>
      <w:r w:rsidR="00EF5719">
        <w:t>od</w:t>
      </w:r>
      <w:r w:rsidR="00EF5719" w:rsidRPr="002A741D">
        <w:rPr>
          <w:i/>
        </w:rPr>
        <w:t>različitih izvora korisnosti</w:t>
      </w:r>
      <w:r w:rsidR="00B463AC">
        <w:t xml:space="preserve">. </w:t>
      </w:r>
      <w:r w:rsidR="00B75944">
        <w:t>Dvije grupe</w:t>
      </w:r>
      <w:r w:rsidR="00EF5719">
        <w:t xml:space="preserve"> korisnosti</w:t>
      </w:r>
      <w:r w:rsidR="00256832">
        <w:t>,</w:t>
      </w:r>
      <w:r w:rsidR="00B75944">
        <w:t xml:space="preserve"> se u tom smislu, posebno mogu razgraničiti: one koje </w:t>
      </w:r>
      <w:r w:rsidR="00B75944" w:rsidRPr="002A741D">
        <w:rPr>
          <w:i/>
        </w:rPr>
        <w:t>proizilaze iz korišćenja tj</w:t>
      </w:r>
      <w:r w:rsidR="002D60EC">
        <w:rPr>
          <w:i/>
        </w:rPr>
        <w:t>.</w:t>
      </w:r>
      <w:r w:rsidR="00B75944" w:rsidRPr="002A741D">
        <w:rPr>
          <w:i/>
        </w:rPr>
        <w:t>upotrebe eko-sistema</w:t>
      </w:r>
      <w:r w:rsidR="00B75944">
        <w:t xml:space="preserve"> i one koje </w:t>
      </w:r>
      <w:r w:rsidR="00B75944" w:rsidRPr="002A741D">
        <w:rPr>
          <w:i/>
        </w:rPr>
        <w:t>ne proiz</w:t>
      </w:r>
      <w:r w:rsidR="002D60EC">
        <w:rPr>
          <w:i/>
        </w:rPr>
        <w:t>i</w:t>
      </w:r>
      <w:r w:rsidR="00B75944" w:rsidRPr="002A741D">
        <w:rPr>
          <w:i/>
        </w:rPr>
        <w:t>laze iz korišćenja eko-sistema</w:t>
      </w:r>
      <w:r w:rsidR="00B75944">
        <w:t>.Kod prve grupe</w:t>
      </w:r>
      <w:r w:rsidR="006B5CFC">
        <w:t>, gdje vrijednost upotrebe čine korisnosti koje proizilaze iz neke fizičke upotrebe resursa</w:t>
      </w:r>
      <w:r w:rsidR="00B75944">
        <w:t xml:space="preserve">, pravimo razliku između tri vrste korisnosti. </w:t>
      </w:r>
      <w:r w:rsidR="006B5CFC">
        <w:t xml:space="preserve">Prvo, možemo govoriti o korisnostima koja proizilazi iz </w:t>
      </w:r>
      <w:r w:rsidR="006B5CFC" w:rsidRPr="006B5CFC">
        <w:rPr>
          <w:i/>
        </w:rPr>
        <w:t>direktneupotrebe</w:t>
      </w:r>
      <w:r w:rsidR="006B5CFC">
        <w:t xml:space="preserve"> bazirane na ekstrakciji</w:t>
      </w:r>
      <w:r w:rsidR="002A741D" w:rsidRPr="002A741D">
        <w:t xml:space="preserve"> resursa na licu mjest</w:t>
      </w:r>
      <w:r w:rsidR="006B5CFC">
        <w:t>a (npr. ogr</w:t>
      </w:r>
      <w:r w:rsidR="002A741D" w:rsidRPr="002A741D">
        <w:t>evnog drva) ili</w:t>
      </w:r>
      <w:r w:rsidR="006B5CFC">
        <w:t xml:space="preserve"> na</w:t>
      </w:r>
      <w:r w:rsidR="002A741D" w:rsidRPr="002A741D">
        <w:t xml:space="preserve"> aktivnosti koje ni</w:t>
      </w:r>
      <w:r w:rsidR="006B5CFC">
        <w:t>jesu potrošne (npr. r</w:t>
      </w:r>
      <w:r w:rsidR="002A741D" w:rsidRPr="002A741D">
        <w:t xml:space="preserve">ekreacija). </w:t>
      </w:r>
      <w:r w:rsidR="006B5CFC">
        <w:t xml:space="preserve">Drugu vrstu čine vrijednosti </w:t>
      </w:r>
      <w:r w:rsidR="006B5CFC" w:rsidRPr="006B5CFC">
        <w:rPr>
          <w:i/>
        </w:rPr>
        <w:t>indirektne</w:t>
      </w:r>
      <w:r w:rsidR="002A741D" w:rsidRPr="006B5CFC">
        <w:rPr>
          <w:i/>
        </w:rPr>
        <w:t xml:space="preserve"> upotrebe</w:t>
      </w:r>
      <w:r w:rsidR="006B5CFC">
        <w:t>koje su izvedene</w:t>
      </w:r>
      <w:r w:rsidR="002A741D" w:rsidRPr="002A741D">
        <w:t xml:space="preserve"> iz usluga izvan mjesta </w:t>
      </w:r>
      <w:r w:rsidR="0000414C">
        <w:t xml:space="preserve">na kojem se nalaze dati resurs </w:t>
      </w:r>
      <w:r w:rsidR="006B5CFC">
        <w:t>(npr. n</w:t>
      </w:r>
      <w:r w:rsidR="002A741D" w:rsidRPr="002A741D">
        <w:t>izvodna kontrola poplav</w:t>
      </w:r>
      <w:r w:rsidR="0000414C">
        <w:t xml:space="preserve">a, regulacija klime). Konačno, treću vrstu čine </w:t>
      </w:r>
      <w:r w:rsidR="0000414C" w:rsidRPr="0000414C">
        <w:rPr>
          <w:i/>
        </w:rPr>
        <w:t xml:space="preserve">opcijone </w:t>
      </w:r>
      <w:r w:rsidR="002A741D" w:rsidRPr="0000414C">
        <w:rPr>
          <w:i/>
        </w:rPr>
        <w:t>vrijednost</w:t>
      </w:r>
      <w:r w:rsidR="0000414C" w:rsidRPr="0000414C">
        <w:rPr>
          <w:i/>
        </w:rPr>
        <w:t>i</w:t>
      </w:r>
      <w:r w:rsidR="0000414C">
        <w:t xml:space="preserve"> koje</w:t>
      </w:r>
      <w:r w:rsidR="002A741D" w:rsidRPr="002A741D">
        <w:t xml:space="preserve"> ljudi</w:t>
      </w:r>
      <w:r w:rsidR="0000414C">
        <w:t>ma ostavljaju mogućnost budućeg korišćenja ako se za to ukaže potreba.</w:t>
      </w:r>
    </w:p>
    <w:p w:rsidR="00346127" w:rsidRDefault="00346127" w:rsidP="005A764D">
      <w:pPr>
        <w:spacing w:line="276" w:lineRule="auto"/>
        <w:jc w:val="both"/>
      </w:pPr>
      <w:r>
        <w:t>Kod druge grupe korisnosti, tj</w:t>
      </w:r>
      <w:r w:rsidR="002D60EC">
        <w:t>.</w:t>
      </w:r>
      <w:r>
        <w:t xml:space="preserve">onih kod kojih </w:t>
      </w:r>
      <w:r w:rsidRPr="00346127">
        <w:rPr>
          <w:i/>
        </w:rPr>
        <w:t>v</w:t>
      </w:r>
      <w:r w:rsidR="002A741D" w:rsidRPr="00346127">
        <w:rPr>
          <w:i/>
        </w:rPr>
        <w:t xml:space="preserve">rijednosti </w:t>
      </w:r>
      <w:r w:rsidRPr="00346127">
        <w:rPr>
          <w:i/>
        </w:rPr>
        <w:t>ne proizilaze iz upotrebe</w:t>
      </w:r>
      <w:r>
        <w:t>,korisnosti su izvedene iz spoznaje da se eko-sistem</w:t>
      </w:r>
      <w:r w:rsidR="002A741D" w:rsidRPr="002A741D">
        <w:t xml:space="preserve"> održava bez obzira na bilo </w:t>
      </w:r>
      <w:r>
        <w:t>kakvu trenutnu ili buduću ličnu</w:t>
      </w:r>
      <w:r w:rsidR="002A741D" w:rsidRPr="002A741D">
        <w:t xml:space="preserve"> uporabu. Vrijednosti koje </w:t>
      </w:r>
      <w:r>
        <w:t xml:space="preserve">ne proizilaze iz upotrebe </w:t>
      </w:r>
      <w:r w:rsidR="002A741D" w:rsidRPr="002A741D">
        <w:t>mogu</w:t>
      </w:r>
      <w:r w:rsidR="00AC5205">
        <w:t>, prije svega,</w:t>
      </w:r>
      <w:r w:rsidR="002A741D" w:rsidRPr="002A741D">
        <w:t xml:space="preserve"> biti povezane s</w:t>
      </w:r>
      <w:r>
        <w:t>a</w:t>
      </w:r>
      <w:r w:rsidR="002A741D" w:rsidRPr="00346127">
        <w:rPr>
          <w:i/>
        </w:rPr>
        <w:t>altruizmom</w:t>
      </w:r>
      <w:r w:rsidR="00AC5205">
        <w:t xml:space="preserve">, odnosno sa </w:t>
      </w:r>
      <w:r>
        <w:t>održavanje</w:t>
      </w:r>
      <w:r w:rsidR="00AC5205">
        <w:t>m</w:t>
      </w:r>
      <w:r>
        <w:t xml:space="preserve"> ekosistema</w:t>
      </w:r>
      <w:r w:rsidR="00AC5205">
        <w:t xml:space="preserve"> za druge sa kojima živimo. Drugo</w:t>
      </w:r>
      <w:r w:rsidR="002A741D" w:rsidRPr="002A741D">
        <w:t xml:space="preserve">, </w:t>
      </w:r>
      <w:r w:rsidR="00AC5205">
        <w:t>vrijednosti i korisnosti mogu proizilaziti i</w:t>
      </w:r>
      <w:r w:rsidR="002D60EC">
        <w:t>z</w:t>
      </w:r>
      <w:r w:rsidR="00AC5205">
        <w:t xml:space="preserve"> potrebe da se realizuje </w:t>
      </w:r>
      <w:r w:rsidR="00AC5205">
        <w:rPr>
          <w:i/>
        </w:rPr>
        <w:t>ostavština</w:t>
      </w:r>
      <w:r>
        <w:t>za buduće generacije</w:t>
      </w:r>
      <w:r w:rsidR="00AC5205">
        <w:t>. Konačno, postojii ljudska potreba za</w:t>
      </w:r>
      <w:r w:rsidRPr="00346127">
        <w:rPr>
          <w:i/>
        </w:rPr>
        <w:t xml:space="preserve"> samim postojanjem</w:t>
      </w:r>
      <w:r w:rsidR="00AC5205">
        <w:rPr>
          <w:i/>
        </w:rPr>
        <w:t xml:space="preserve"> i egzistencijom</w:t>
      </w:r>
      <w:r>
        <w:t xml:space="preserve"> tj</w:t>
      </w:r>
      <w:r w:rsidR="002D60EC">
        <w:t>.</w:t>
      </w:r>
      <w:r w:rsidR="00AC5205">
        <w:t>očuvanjem nevezano od bilo kakve i bilo čije uporabe sada ili u buduće</w:t>
      </w:r>
      <w:r w:rsidR="002A741D" w:rsidRPr="002A741D">
        <w:t xml:space="preserve">. </w:t>
      </w:r>
    </w:p>
    <w:p w:rsidR="00F74D46" w:rsidRDefault="00AC5205" w:rsidP="005A764D">
      <w:pPr>
        <w:spacing w:line="276" w:lineRule="auto"/>
        <w:jc w:val="both"/>
      </w:pPr>
      <w:r>
        <w:t xml:space="preserve">Da bi na pravi način izmjerili vrijednost ekoloških usluga mi moramo za svaki </w:t>
      </w:r>
      <w:r w:rsidR="001006FA">
        <w:t xml:space="preserve">funkcionalni </w:t>
      </w:r>
      <w:r>
        <w:t xml:space="preserve">dio ekosistema identifikovati </w:t>
      </w:r>
      <w:r w:rsidR="00BC0B19">
        <w:t>i</w:t>
      </w:r>
      <w:r>
        <w:t xml:space="preserve"> izmjeriti </w:t>
      </w:r>
      <w:r w:rsidR="00BC0B19">
        <w:t xml:space="preserve">vrijednosti koje proizilaze iz svih mogućih, gore pobrojanih izvora korisnosti. Tako ustanovljene korisnosti sumiramo kako bi došli do onoga što zovemo </w:t>
      </w:r>
      <w:r w:rsidR="00BC0B19" w:rsidRPr="00BC0B19">
        <w:rPr>
          <w:i/>
        </w:rPr>
        <w:t>totalna</w:t>
      </w:r>
      <w:r w:rsidR="00BC0B19">
        <w:rPr>
          <w:i/>
        </w:rPr>
        <w:t xml:space="preserve"> (ukupna)</w:t>
      </w:r>
      <w:r w:rsidR="00BC0B19" w:rsidRPr="00BC0B19">
        <w:rPr>
          <w:i/>
        </w:rPr>
        <w:t xml:space="preserve"> ekonomska vrijednost</w:t>
      </w:r>
      <w:r w:rsidR="00BC0B19">
        <w:t xml:space="preserve"> (TEV) ekoloških usluga, odnosno njihovih promjena. Važno je imati u vidu</w:t>
      </w:r>
      <w:r w:rsidR="002A741D" w:rsidRPr="002A741D">
        <w:t xml:space="preserve"> da </w:t>
      </w:r>
      <w:r w:rsidR="00BC0B19">
        <w:t>se “totalna”</w:t>
      </w:r>
      <w:r w:rsidR="002A741D" w:rsidRPr="002A741D">
        <w:t xml:space="preserve"> ekonomska vrijednost odnosi na agregiranje različitih i</w:t>
      </w:r>
      <w:r w:rsidR="00BC0B19">
        <w:t>zvora vrijednosti, a ne na sumu</w:t>
      </w:r>
      <w:r w:rsidR="002A741D" w:rsidRPr="002A741D">
        <w:t xml:space="preserve"> svih vrijednosti izvedenih iz resursa. TEV je mjera ukupne vrijednosti kao dio vrijednosti. U skladu s tim, mnoge procjene TEV-a odnose se na marginalne promj</w:t>
      </w:r>
      <w:r w:rsidR="00BC0B19">
        <w:t>ene u pružanju usluga ekosistema, ali su “totalne</w:t>
      </w:r>
      <w:r w:rsidR="002A741D" w:rsidRPr="002A741D">
        <w:t>” u smisl</w:t>
      </w:r>
      <w:r w:rsidR="00BC0B19">
        <w:t>u da uzimaju sveobuhvatan uvid</w:t>
      </w:r>
      <w:r w:rsidR="001006FA">
        <w:t xml:space="preserve"> na izvore korisnosti</w:t>
      </w:r>
      <w:r w:rsidR="002A741D" w:rsidRPr="002A741D">
        <w:t>.</w:t>
      </w:r>
    </w:p>
    <w:p w:rsidR="008325CC" w:rsidRDefault="008325CC"/>
    <w:p w:rsidR="00DD4ADE" w:rsidRDefault="00DD4ADE">
      <w:r>
        <w:br w:type="page"/>
      </w:r>
    </w:p>
    <w:p w:rsidR="00DD4ADE" w:rsidRDefault="00DD4ADE" w:rsidP="005A764D">
      <w:pPr>
        <w:spacing w:line="276" w:lineRule="auto"/>
        <w:jc w:val="both"/>
      </w:pPr>
    </w:p>
    <w:p w:rsidR="00DD4ADE" w:rsidRDefault="00DD4ADE" w:rsidP="005A764D">
      <w:pPr>
        <w:spacing w:line="276" w:lineRule="auto"/>
        <w:jc w:val="both"/>
      </w:pPr>
    </w:p>
    <w:p w:rsidR="00766B21" w:rsidRPr="00DD4ADE" w:rsidRDefault="00D5582C" w:rsidP="005A764D">
      <w:pPr>
        <w:spacing w:line="276" w:lineRule="auto"/>
        <w:jc w:val="both"/>
        <w:rPr>
          <w:b/>
          <w:sz w:val="28"/>
          <w:szCs w:val="28"/>
        </w:rPr>
      </w:pPr>
      <w:r>
        <w:rPr>
          <w:b/>
          <w:sz w:val="28"/>
          <w:szCs w:val="28"/>
        </w:rPr>
        <w:t xml:space="preserve">5.3. </w:t>
      </w:r>
      <w:r w:rsidR="008325CC">
        <w:rPr>
          <w:b/>
          <w:sz w:val="28"/>
          <w:szCs w:val="28"/>
        </w:rPr>
        <w:t>Metodi ocjene</w:t>
      </w:r>
      <w:r w:rsidR="00766B21" w:rsidRPr="00DD4ADE">
        <w:rPr>
          <w:b/>
          <w:sz w:val="28"/>
          <w:szCs w:val="28"/>
        </w:rPr>
        <w:t xml:space="preserve"> ekonomske vrijednosti ekoloških usluga </w:t>
      </w:r>
    </w:p>
    <w:p w:rsidR="005A764D" w:rsidRDefault="00C0587C" w:rsidP="005A764D">
      <w:pPr>
        <w:spacing w:line="276" w:lineRule="auto"/>
        <w:jc w:val="both"/>
      </w:pPr>
      <w:r>
        <w:t xml:space="preserve">Pošto smo dali pojašnjenja ovih važnih koncepcijskih i teorijskih pitanja, ostaje nam da još objasnimo koje tehnike koristimo da bi ustanovili ekonomske vrijednosti pojedinih ekoloških dobara. Ovo je tim važnije jer kod većeg dijela ekoloških usluga nemamo tržišnih podataka na osnovu kojih bi napravili odgovarajuće procjene. </w:t>
      </w:r>
      <w:r w:rsidR="00AF3B73">
        <w:t xml:space="preserve">Mnoštvo je tehnika na osnovu kojih se ovaj problem prevazilazi. Mi ćemo dati nešto jednostavniji </w:t>
      </w:r>
      <w:r w:rsidR="00793A82">
        <w:t xml:space="preserve">ali ipak dovoljno dobar </w:t>
      </w:r>
      <w:r w:rsidR="00AF3B73">
        <w:t xml:space="preserve">pregled tih tehnika zasnovan na radu </w:t>
      </w:r>
      <w:r w:rsidR="005E0A99">
        <w:t>Brander at all (2016). Iz i</w:t>
      </w:r>
      <w:r w:rsidR="00BA2035">
        <w:t>stog izvora je i naredna T</w:t>
      </w:r>
      <w:r w:rsidR="005E0A99">
        <w:t>abela</w:t>
      </w:r>
      <w:r w:rsidR="007C3CC7">
        <w:t xml:space="preserve"> 5.</w:t>
      </w:r>
      <w:r w:rsidR="00BA2035">
        <w:t>2</w:t>
      </w:r>
      <w:r w:rsidR="007C3CC7">
        <w:t>.</w:t>
      </w:r>
      <w:r w:rsidR="005E0A99">
        <w:t>u kojoj je dat kratak ali jasan opis pojedinih metoda procjene vrijednosti ekološk</w:t>
      </w:r>
      <w:r w:rsidR="00DD4ADE">
        <w:t>ih usluga, vrste ekoloških uslug</w:t>
      </w:r>
      <w:r w:rsidR="005E0A99">
        <w:t>a na kojima se najčešće mogu primijeniti, ograničenja posmatranog modela kao i stepen preciznosti koju posmatrani metod obezbjeđuje.</w:t>
      </w:r>
      <w:r w:rsidR="005E0A99">
        <w:rPr>
          <w:rStyle w:val="FootnoteReference"/>
        </w:rPr>
        <w:footnoteReference w:id="17"/>
      </w:r>
    </w:p>
    <w:p w:rsidR="005E0A99" w:rsidRDefault="00F51CAE" w:rsidP="005A764D">
      <w:pPr>
        <w:spacing w:line="276" w:lineRule="auto"/>
        <w:jc w:val="both"/>
      </w:pPr>
      <w:r>
        <w:t>Primijetimo da su opisane metode</w:t>
      </w:r>
      <w:r w:rsidR="007C3CC7">
        <w:t xml:space="preserve"> u tabeli 5.</w:t>
      </w:r>
      <w:r w:rsidR="00B2770D">
        <w:t>2</w:t>
      </w:r>
      <w:r w:rsidR="007C3CC7">
        <w:t>.</w:t>
      </w:r>
      <w:r>
        <w:t>rangi</w:t>
      </w:r>
      <w:r w:rsidR="00B55CF4">
        <w:t>ran</w:t>
      </w:r>
      <w:r>
        <w:t xml:space="preserve">e prema preciznosti rezultata koje daju tako da su na početku dati metodi koji su najmanje precizni dok suna kraju najprecizniji metodi. Ti najprecizniji metodi su i tehnički najzahtjevniji pa i najskuplji dok su oni na početku najjednostavniji </w:t>
      </w:r>
      <w:r w:rsidR="00FD6668">
        <w:t xml:space="preserve">pa </w:t>
      </w:r>
      <w:r>
        <w:t xml:space="preserve">i najjeftiniji. </w:t>
      </w:r>
      <w:r w:rsidR="00FD6668">
        <w:t xml:space="preserve">Ovi najjeftiniji modeli sa početka spiska su takođe modeli koji su zasnovani na podacima koji se mogu dobiti na tržištu, što ih </w:t>
      </w:r>
      <w:r w:rsidR="00646692">
        <w:t>i</w:t>
      </w:r>
      <w:r w:rsidR="00FD6668">
        <w:t xml:space="preserve"> čini najednostavnijim i najjeftinijim. Nažalost, oni mogu pokriti vrlo mali br</w:t>
      </w:r>
      <w:r w:rsidR="00646692">
        <w:t>oj</w:t>
      </w:r>
      <w:r w:rsidR="00FD6668">
        <w:t xml:space="preserve"> usluga</w:t>
      </w:r>
      <w:r w:rsidR="00646692">
        <w:t xml:space="preserve"> ekosistema</w:t>
      </w:r>
      <w:r w:rsidR="00FD6668">
        <w:t xml:space="preserve">. </w:t>
      </w:r>
    </w:p>
    <w:p w:rsidR="00B2770D" w:rsidRDefault="00B2770D" w:rsidP="005A764D">
      <w:pPr>
        <w:spacing w:line="276" w:lineRule="auto"/>
        <w:jc w:val="both"/>
      </w:pPr>
      <w:r>
        <w:t>Mal</w:t>
      </w:r>
      <w:r w:rsidR="009C485C">
        <w:t>o precizniji pogled na ovdje</w:t>
      </w:r>
      <w:r>
        <w:t xml:space="preserve"> date metode vrednovanja ukazuje nam da ih možemo agregirati u nekoli</w:t>
      </w:r>
      <w:r w:rsidR="007C3CC7">
        <w:t>ko grupa. U tom smislu, Tabela 5.</w:t>
      </w:r>
      <w:r>
        <w:t>3</w:t>
      </w:r>
      <w:r w:rsidR="007C3CC7">
        <w:t>.</w:t>
      </w:r>
      <w:r>
        <w:t>nam pruža kompletnu sliku svih metoda koje srećemo u dosadašnjij praksi evaluacije ekoloških usluga i njihovih promjena. Kao što vidimo, prvu grupu čine metodi zasnovana na</w:t>
      </w:r>
      <w:r w:rsidRPr="004340D0">
        <w:rPr>
          <w:i/>
        </w:rPr>
        <w:t>tržišnim</w:t>
      </w:r>
      <w:r>
        <w:t xml:space="preserve"> podacima. Ovdje se, očito, radi o prve tri </w:t>
      </w:r>
      <w:r w:rsidR="007C3CC7">
        <w:t>kategorije iz prethodne tabele 5.</w:t>
      </w:r>
      <w:r>
        <w:t xml:space="preserve">2: metod tržišnih cijena, metod izdataka javnog sektora i metod izdataka zaštite. Drugu grupu čine </w:t>
      </w:r>
      <w:r w:rsidRPr="004340D0">
        <w:rPr>
          <w:i/>
        </w:rPr>
        <w:t>metodi zasnovani na troškovima</w:t>
      </w:r>
      <w:r>
        <w:t xml:space="preserve"> o kojima podatke takože dobijamo na bazi izvora sa tržišta. Ovdje spadaju sled</w:t>
      </w:r>
      <w:r w:rsidR="007C3CC7">
        <w:t>eći metodi iz prethodne tabele 5.</w:t>
      </w:r>
      <w:r>
        <w:t>2: troškovi zamjene, troškovi supstitucije i troškovi izbjegavanja šteta. Treću grupu čine metodi zasnovani na</w:t>
      </w:r>
      <w:r w:rsidRPr="004C45E9">
        <w:rPr>
          <w:i/>
        </w:rPr>
        <w:t>analizi proizvodnje</w:t>
      </w:r>
      <w:r>
        <w:t xml:space="preserve">, gdje spadaju metod proizvodne funkcije i metod neto faktorskih prihoda. </w:t>
      </w:r>
    </w:p>
    <w:p w:rsidR="00B2770D" w:rsidRDefault="006B6D47" w:rsidP="005A764D">
      <w:pPr>
        <w:spacing w:line="276" w:lineRule="auto"/>
        <w:jc w:val="both"/>
      </w:pPr>
      <w:r>
        <w:t xml:space="preserve">Četvrta ipeta grupa </w:t>
      </w:r>
      <w:r w:rsidR="00B2770D">
        <w:t xml:space="preserve">su </w:t>
      </w:r>
      <w:r>
        <w:t xml:space="preserve">ipak </w:t>
      </w:r>
      <w:r w:rsidR="00B2770D">
        <w:t xml:space="preserve">najinteresantnije jer daju najpreciznije rezultate. Četvrtu grupu čine metodi </w:t>
      </w:r>
      <w:r w:rsidR="00B2770D" w:rsidRPr="00676FBC">
        <w:rPr>
          <w:i/>
        </w:rPr>
        <w:t xml:space="preserve">revealed preference </w:t>
      </w:r>
      <w:r w:rsidR="00B2770D">
        <w:t>(otkrivene preferencije) gdje na bazi podataka o ponašanju raznih subjekata otkrivamo njihove preferencije, odnosno način na koji oni vrednuju pojedine ekološke usluge. Ovdje spadaju sledeće metode date u</w:t>
      </w:r>
      <w:r>
        <w:t xml:space="preserve"> T</w:t>
      </w:r>
      <w:r w:rsidR="007C3CC7">
        <w:t>abeli 5.</w:t>
      </w:r>
      <w:r w:rsidR="00B2770D">
        <w:t>2: hedonističke cijene i transportni troškovi. Treba napomenuti da ovdje postoji ćitav niz drugih metoda koji</w:t>
      </w:r>
      <w:r w:rsidR="007C3CC7">
        <w:t xml:space="preserve"> nijesu dati u tabeli 5.</w:t>
      </w:r>
      <w:r>
        <w:t>2</w:t>
      </w:r>
      <w:r w:rsidR="00B2770D">
        <w:t xml:space="preserve">. Konačno, poslednju grupu čine tzv </w:t>
      </w:r>
      <w:r w:rsidR="00B2770D" w:rsidRPr="00676FBC">
        <w:rPr>
          <w:i/>
        </w:rPr>
        <w:t>stated preferences</w:t>
      </w:r>
      <w:r w:rsidR="00B2770D">
        <w:t>(izjavljene preferencije)</w:t>
      </w:r>
      <w:r w:rsidR="00B2770D" w:rsidRPr="00676FBC">
        <w:rPr>
          <w:i/>
        </w:rPr>
        <w:t xml:space="preserve"> m</w:t>
      </w:r>
      <w:r w:rsidR="00B2770D">
        <w:rPr>
          <w:i/>
        </w:rPr>
        <w:t xml:space="preserve">etodi </w:t>
      </w:r>
      <w:r w:rsidR="00B2770D">
        <w:t>gde se preferencije pojedinih subjekata ili stakeholdera utvrđuje na bazi njihovih izjava</w:t>
      </w:r>
      <w:r>
        <w:t xml:space="preserve"> dobijenoh kroz ankete, intervijue, focus grupe i slično</w:t>
      </w:r>
      <w:r w:rsidR="007C3CC7">
        <w:t>. U prethodnoj Tabeli 5.</w:t>
      </w:r>
      <w:r w:rsidR="00B2770D">
        <w:t>3</w:t>
      </w:r>
      <w:r w:rsidR="007C3CC7">
        <w:t>.</w:t>
      </w:r>
      <w:r w:rsidR="00B2770D">
        <w:t xml:space="preserve">su to sledeći modeli: contingent valuation, modeliranje odluka i grupno-participativno vrednovanje. </w:t>
      </w:r>
      <w:r w:rsidR="00B2770D" w:rsidRPr="005B7565">
        <w:t>Met</w:t>
      </w:r>
      <w:r w:rsidR="00B2770D">
        <w:t xml:space="preserve">ode otkrivenih preferencija očito imaju značajne prednosti u odnosu na stated preference metodu </w:t>
      </w:r>
      <w:r w:rsidR="00B2770D" w:rsidRPr="005B7565">
        <w:t>je</w:t>
      </w:r>
      <w:r w:rsidR="00B2770D">
        <w:t>r odražavaju stvarno ponašanje. Nažalost, njihova je primjena ograničena samo na neke usluge ekosistema</w:t>
      </w:r>
      <w:r w:rsidR="007C3CC7">
        <w:t>, što se i vidi iz Tabele 5.</w:t>
      </w:r>
      <w:r w:rsidR="009C485C">
        <w:t>2</w:t>
      </w:r>
      <w:r w:rsidR="00B2770D">
        <w:t xml:space="preserve">. </w:t>
      </w:r>
    </w:p>
    <w:p w:rsidR="00BF391A" w:rsidRDefault="00BB3C1D" w:rsidP="00BB3C1D">
      <w:pPr>
        <w:spacing w:after="0" w:line="276" w:lineRule="auto"/>
        <w:jc w:val="both"/>
      </w:pPr>
      <w:r>
        <w:lastRenderedPageBreak/>
        <w:t xml:space="preserve">Tabela </w:t>
      </w:r>
      <w:r w:rsidR="00D5582C">
        <w:t xml:space="preserve">5. </w:t>
      </w:r>
      <w:r w:rsidR="00BA2035" w:rsidRPr="00BA2035">
        <w:t>2</w:t>
      </w:r>
      <w:r w:rsidR="00196B04">
        <w:t>: Metode</w:t>
      </w:r>
      <w:r>
        <w:t xml:space="preserve"> vrednovanja ekoloških usluga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30"/>
        <w:gridCol w:w="2237"/>
        <w:gridCol w:w="2204"/>
        <w:gridCol w:w="1115"/>
        <w:gridCol w:w="1750"/>
        <w:gridCol w:w="640"/>
      </w:tblGrid>
      <w:tr w:rsidR="002B28CE" w:rsidRPr="0041112E" w:rsidTr="00D72228">
        <w:trPr>
          <w:trHeight w:val="296"/>
        </w:trPr>
        <w:tc>
          <w:tcPr>
            <w:tcW w:w="851" w:type="pct"/>
            <w:shd w:val="clear" w:color="auto" w:fill="00B0F0"/>
            <w:vAlign w:val="center"/>
            <w:hideMark/>
          </w:tcPr>
          <w:p w:rsidR="00793A82" w:rsidRPr="0041112E" w:rsidRDefault="00793A82" w:rsidP="00D62120">
            <w:pPr>
              <w:spacing w:after="0" w:line="240" w:lineRule="auto"/>
              <w:rPr>
                <w:rFonts w:ascii="Calibri" w:eastAsia="Times New Roman" w:hAnsi="Calibri" w:cs="Times New Roman"/>
                <w:b/>
                <w:bCs/>
                <w:i/>
                <w:sz w:val="16"/>
                <w:szCs w:val="16"/>
              </w:rPr>
            </w:pPr>
            <w:r w:rsidRPr="0041112E">
              <w:rPr>
                <w:rFonts w:ascii="Calibri" w:eastAsia="Times New Roman" w:hAnsi="Calibri" w:cs="Times New Roman"/>
                <w:b/>
                <w:bCs/>
                <w:i/>
                <w:sz w:val="16"/>
                <w:szCs w:val="16"/>
              </w:rPr>
              <w:t xml:space="preserve">Metod </w:t>
            </w:r>
          </w:p>
        </w:tc>
        <w:tc>
          <w:tcPr>
            <w:tcW w:w="1168" w:type="pct"/>
            <w:shd w:val="clear" w:color="auto" w:fill="00B0F0"/>
            <w:vAlign w:val="center"/>
            <w:hideMark/>
          </w:tcPr>
          <w:p w:rsidR="00793A82" w:rsidRPr="0041112E" w:rsidRDefault="00793A82" w:rsidP="00D62120">
            <w:pPr>
              <w:spacing w:after="0" w:line="240" w:lineRule="auto"/>
              <w:rPr>
                <w:rFonts w:ascii="Calibri" w:eastAsia="Times New Roman" w:hAnsi="Calibri" w:cs="Times New Roman"/>
                <w:b/>
                <w:bCs/>
                <w:i/>
                <w:sz w:val="16"/>
                <w:szCs w:val="16"/>
              </w:rPr>
            </w:pPr>
            <w:r w:rsidRPr="0041112E">
              <w:rPr>
                <w:rFonts w:ascii="Calibri" w:eastAsia="Times New Roman" w:hAnsi="Calibri" w:cs="Times New Roman"/>
                <w:b/>
                <w:bCs/>
                <w:i/>
                <w:sz w:val="16"/>
                <w:szCs w:val="16"/>
              </w:rPr>
              <w:t xml:space="preserve">Pristup metoda </w:t>
            </w:r>
          </w:p>
        </w:tc>
        <w:tc>
          <w:tcPr>
            <w:tcW w:w="1151" w:type="pct"/>
            <w:shd w:val="clear" w:color="auto" w:fill="00B0F0"/>
            <w:vAlign w:val="center"/>
            <w:hideMark/>
          </w:tcPr>
          <w:p w:rsidR="00793A82" w:rsidRPr="0041112E" w:rsidRDefault="00793A82" w:rsidP="00D62120">
            <w:pPr>
              <w:spacing w:after="0" w:line="240" w:lineRule="auto"/>
              <w:rPr>
                <w:rFonts w:ascii="Calibri" w:eastAsia="Times New Roman" w:hAnsi="Calibri" w:cs="Times New Roman"/>
                <w:b/>
                <w:bCs/>
                <w:i/>
                <w:sz w:val="16"/>
                <w:szCs w:val="16"/>
              </w:rPr>
            </w:pPr>
            <w:r w:rsidRPr="0041112E">
              <w:rPr>
                <w:rFonts w:ascii="Calibri" w:eastAsia="Times New Roman" w:hAnsi="Calibri" w:cs="Times New Roman"/>
                <w:b/>
                <w:bCs/>
                <w:i/>
                <w:sz w:val="16"/>
                <w:szCs w:val="16"/>
              </w:rPr>
              <w:t xml:space="preserve">Primjena na ekološke usluge </w:t>
            </w:r>
          </w:p>
        </w:tc>
        <w:tc>
          <w:tcPr>
            <w:tcW w:w="582" w:type="pct"/>
            <w:shd w:val="clear" w:color="auto" w:fill="00B0F0"/>
            <w:vAlign w:val="center"/>
            <w:hideMark/>
          </w:tcPr>
          <w:p w:rsidR="00793A82" w:rsidRPr="0041112E" w:rsidRDefault="00793A82" w:rsidP="00D62120">
            <w:pPr>
              <w:spacing w:after="0" w:line="240" w:lineRule="auto"/>
              <w:rPr>
                <w:rFonts w:ascii="Calibri" w:eastAsia="Times New Roman" w:hAnsi="Calibri" w:cs="Times New Roman"/>
                <w:b/>
                <w:bCs/>
                <w:i/>
                <w:sz w:val="16"/>
                <w:szCs w:val="16"/>
              </w:rPr>
            </w:pPr>
            <w:r w:rsidRPr="0041112E">
              <w:rPr>
                <w:rFonts w:ascii="Calibri" w:eastAsia="Times New Roman" w:hAnsi="Calibri" w:cs="Times New Roman"/>
                <w:b/>
                <w:bCs/>
                <w:i/>
                <w:sz w:val="16"/>
                <w:szCs w:val="16"/>
              </w:rPr>
              <w:t xml:space="preserve">Primjer </w:t>
            </w:r>
          </w:p>
        </w:tc>
        <w:tc>
          <w:tcPr>
            <w:tcW w:w="914" w:type="pct"/>
            <w:shd w:val="clear" w:color="auto" w:fill="00B0F0"/>
            <w:vAlign w:val="center"/>
            <w:hideMark/>
          </w:tcPr>
          <w:p w:rsidR="00793A82" w:rsidRPr="0041112E" w:rsidRDefault="00793A82" w:rsidP="00D62120">
            <w:pPr>
              <w:spacing w:after="0" w:line="240" w:lineRule="auto"/>
              <w:rPr>
                <w:rFonts w:ascii="Calibri" w:eastAsia="Times New Roman" w:hAnsi="Calibri" w:cs="Times New Roman"/>
                <w:b/>
                <w:bCs/>
                <w:i/>
                <w:sz w:val="16"/>
                <w:szCs w:val="16"/>
              </w:rPr>
            </w:pPr>
            <w:r w:rsidRPr="0041112E">
              <w:rPr>
                <w:rFonts w:ascii="Calibri" w:eastAsia="Times New Roman" w:hAnsi="Calibri" w:cs="Times New Roman"/>
                <w:b/>
                <w:bCs/>
                <w:i/>
                <w:sz w:val="16"/>
                <w:szCs w:val="16"/>
              </w:rPr>
              <w:t xml:space="preserve">Ograničenja </w:t>
            </w:r>
          </w:p>
        </w:tc>
        <w:tc>
          <w:tcPr>
            <w:tcW w:w="334" w:type="pct"/>
            <w:shd w:val="clear" w:color="auto" w:fill="00B0F0"/>
            <w:vAlign w:val="center"/>
            <w:hideMark/>
          </w:tcPr>
          <w:p w:rsidR="00793A82" w:rsidRPr="0041112E" w:rsidRDefault="00793A82" w:rsidP="00D62120">
            <w:pPr>
              <w:spacing w:after="0" w:line="240" w:lineRule="auto"/>
              <w:rPr>
                <w:rFonts w:ascii="Calibri" w:eastAsia="Times New Roman" w:hAnsi="Calibri" w:cs="Times New Roman"/>
                <w:b/>
                <w:bCs/>
                <w:i/>
                <w:sz w:val="16"/>
                <w:szCs w:val="16"/>
              </w:rPr>
            </w:pPr>
            <w:r w:rsidRPr="0041112E">
              <w:rPr>
                <w:rFonts w:ascii="Calibri" w:eastAsia="Times New Roman" w:hAnsi="Calibri" w:cs="Times New Roman"/>
                <w:b/>
                <w:bCs/>
                <w:i/>
                <w:sz w:val="16"/>
                <w:szCs w:val="16"/>
              </w:rPr>
              <w:t>Preciznost</w:t>
            </w:r>
          </w:p>
          <w:p w:rsidR="00793A82" w:rsidRPr="0041112E" w:rsidRDefault="00793A82" w:rsidP="00D62120">
            <w:pPr>
              <w:spacing w:after="0" w:line="240" w:lineRule="auto"/>
              <w:rPr>
                <w:rFonts w:ascii="Calibri" w:eastAsia="Times New Roman" w:hAnsi="Calibri" w:cs="Times New Roman"/>
                <w:b/>
                <w:bCs/>
                <w:i/>
                <w:sz w:val="16"/>
                <w:szCs w:val="16"/>
              </w:rPr>
            </w:pPr>
            <w:r w:rsidRPr="0041112E">
              <w:rPr>
                <w:rFonts w:ascii="Calibri" w:eastAsia="Times New Roman" w:hAnsi="Calibri" w:cs="Times New Roman"/>
                <w:b/>
                <w:bCs/>
                <w:i/>
                <w:sz w:val="16"/>
                <w:szCs w:val="16"/>
              </w:rPr>
              <w:t>1 do 3</w:t>
            </w:r>
          </w:p>
        </w:tc>
      </w:tr>
      <w:tr w:rsidR="002B28CE" w:rsidRPr="00CB44B6" w:rsidTr="00D72228">
        <w:trPr>
          <w:trHeight w:val="575"/>
        </w:trPr>
        <w:tc>
          <w:tcPr>
            <w:tcW w:w="851" w:type="pct"/>
            <w:shd w:val="clear" w:color="auto" w:fill="FBE4D5" w:themeFill="accent2" w:themeFillTint="33"/>
            <w:hideMark/>
          </w:tcPr>
          <w:p w:rsidR="00793A82" w:rsidRPr="00CB44B6" w:rsidRDefault="00793A82" w:rsidP="00D62120">
            <w:pPr>
              <w:spacing w:after="0" w:line="240" w:lineRule="auto"/>
              <w:rPr>
                <w:rFonts w:ascii="Calibri" w:eastAsia="Times New Roman" w:hAnsi="Calibri" w:cs="Times New Roman"/>
                <w:sz w:val="14"/>
                <w:szCs w:val="14"/>
              </w:rPr>
            </w:pPr>
            <w:r>
              <w:rPr>
                <w:rFonts w:ascii="Calibri" w:eastAsia="Times New Roman" w:hAnsi="Calibri" w:cs="Times New Roman"/>
                <w:sz w:val="14"/>
                <w:szCs w:val="14"/>
              </w:rPr>
              <w:t xml:space="preserve">Tržišne cijene </w:t>
            </w:r>
          </w:p>
        </w:tc>
        <w:tc>
          <w:tcPr>
            <w:tcW w:w="1168" w:type="pct"/>
            <w:shd w:val="clear" w:color="auto" w:fill="FBE4D5" w:themeFill="accent2" w:themeFillTint="33"/>
            <w:hideMark/>
          </w:tcPr>
          <w:p w:rsidR="00793A82" w:rsidRPr="00CB44B6" w:rsidRDefault="00793A82" w:rsidP="00D62120">
            <w:pPr>
              <w:spacing w:after="0" w:line="240" w:lineRule="auto"/>
              <w:rPr>
                <w:rFonts w:ascii="Calibri" w:eastAsia="Times New Roman" w:hAnsi="Calibri" w:cs="Times New Roman"/>
                <w:sz w:val="14"/>
                <w:szCs w:val="14"/>
              </w:rPr>
            </w:pPr>
            <w:r>
              <w:rPr>
                <w:rFonts w:ascii="Calibri" w:eastAsia="Times New Roman" w:hAnsi="Calibri" w:cs="Times New Roman"/>
                <w:sz w:val="14"/>
                <w:szCs w:val="14"/>
              </w:rPr>
              <w:t xml:space="preserve">Cene ekoloških usluga koje se mogu observirati na tržištu </w:t>
            </w:r>
          </w:p>
        </w:tc>
        <w:tc>
          <w:tcPr>
            <w:tcW w:w="1151" w:type="pct"/>
            <w:shd w:val="clear" w:color="auto" w:fill="FBE4D5" w:themeFill="accent2" w:themeFillTint="33"/>
            <w:hideMark/>
          </w:tcPr>
          <w:p w:rsidR="00793A82" w:rsidRPr="00CB44B6" w:rsidRDefault="00793A82" w:rsidP="00D62120">
            <w:pPr>
              <w:spacing w:after="0" w:line="240" w:lineRule="auto"/>
              <w:rPr>
                <w:rFonts w:ascii="Calibri" w:eastAsia="Times New Roman" w:hAnsi="Calibri" w:cs="Times New Roman"/>
                <w:sz w:val="14"/>
                <w:szCs w:val="14"/>
              </w:rPr>
            </w:pPr>
            <w:r>
              <w:rPr>
                <w:rFonts w:ascii="Calibri" w:eastAsia="Times New Roman" w:hAnsi="Calibri" w:cs="Times New Roman"/>
                <w:sz w:val="14"/>
                <w:szCs w:val="14"/>
              </w:rPr>
              <w:t>ES (ekološke usluge</w:t>
            </w:r>
            <w:r w:rsidR="00F631E7">
              <w:rPr>
                <w:rFonts w:ascii="Calibri" w:eastAsia="Times New Roman" w:hAnsi="Calibri" w:cs="Times New Roman"/>
                <w:sz w:val="14"/>
                <w:szCs w:val="14"/>
              </w:rPr>
              <w:t>, servisi</w:t>
            </w:r>
            <w:r>
              <w:rPr>
                <w:rFonts w:ascii="Calibri" w:eastAsia="Times New Roman" w:hAnsi="Calibri" w:cs="Times New Roman"/>
                <w:sz w:val="14"/>
                <w:szCs w:val="14"/>
              </w:rPr>
              <w:t xml:space="preserve">) koje se prodaju na tržištu </w:t>
            </w:r>
          </w:p>
        </w:tc>
        <w:tc>
          <w:tcPr>
            <w:tcW w:w="582" w:type="pct"/>
            <w:shd w:val="clear" w:color="auto" w:fill="FBE4D5" w:themeFill="accent2" w:themeFillTint="33"/>
            <w:hideMark/>
          </w:tcPr>
          <w:p w:rsidR="00793A82" w:rsidRPr="00CB44B6" w:rsidRDefault="00793A82" w:rsidP="00D62120">
            <w:pPr>
              <w:spacing w:after="0" w:line="240" w:lineRule="auto"/>
              <w:rPr>
                <w:rFonts w:ascii="Calibri" w:eastAsia="Times New Roman" w:hAnsi="Calibri" w:cs="Times New Roman"/>
                <w:sz w:val="14"/>
                <w:szCs w:val="14"/>
              </w:rPr>
            </w:pPr>
            <w:r>
              <w:rPr>
                <w:rFonts w:ascii="Calibri" w:eastAsia="Times New Roman" w:hAnsi="Calibri" w:cs="Times New Roman"/>
                <w:sz w:val="14"/>
                <w:szCs w:val="14"/>
              </w:rPr>
              <w:t xml:space="preserve">Ogrevno drvo </w:t>
            </w:r>
          </w:p>
        </w:tc>
        <w:tc>
          <w:tcPr>
            <w:tcW w:w="914" w:type="pct"/>
            <w:shd w:val="clear" w:color="auto" w:fill="FBE4D5" w:themeFill="accent2" w:themeFillTint="33"/>
            <w:hideMark/>
          </w:tcPr>
          <w:p w:rsidR="00793A82" w:rsidRDefault="00793A82" w:rsidP="00D62120">
            <w:pPr>
              <w:spacing w:after="0" w:line="240" w:lineRule="auto"/>
              <w:rPr>
                <w:rFonts w:ascii="Calibri" w:eastAsia="Times New Roman" w:hAnsi="Calibri" w:cs="Times New Roman"/>
                <w:sz w:val="14"/>
                <w:szCs w:val="14"/>
              </w:rPr>
            </w:pPr>
            <w:r w:rsidRPr="00793A82">
              <w:rPr>
                <w:rFonts w:ascii="Calibri" w:eastAsia="Times New Roman" w:hAnsi="Calibri" w:cs="Times New Roman"/>
                <w:sz w:val="14"/>
                <w:szCs w:val="14"/>
              </w:rPr>
              <w:t>1.Tržišne c</w:t>
            </w:r>
            <w:r w:rsidR="005E0A99">
              <w:rPr>
                <w:rFonts w:ascii="Calibri" w:eastAsia="Times New Roman" w:hAnsi="Calibri" w:cs="Times New Roman"/>
                <w:sz w:val="14"/>
                <w:szCs w:val="14"/>
              </w:rPr>
              <w:t>ij</w:t>
            </w:r>
            <w:r w:rsidRPr="00793A82">
              <w:rPr>
                <w:rFonts w:ascii="Calibri" w:eastAsia="Times New Roman" w:hAnsi="Calibri" w:cs="Times New Roman"/>
                <w:sz w:val="14"/>
                <w:szCs w:val="14"/>
              </w:rPr>
              <w:t xml:space="preserve">ene </w:t>
            </w:r>
            <w:r>
              <w:rPr>
                <w:rFonts w:ascii="Calibri" w:eastAsia="Times New Roman" w:hAnsi="Calibri" w:cs="Times New Roman"/>
                <w:sz w:val="14"/>
                <w:szCs w:val="14"/>
              </w:rPr>
              <w:t xml:space="preserve">mogu biti distorzivne </w:t>
            </w:r>
          </w:p>
          <w:p w:rsidR="00793A82" w:rsidRPr="00793A82" w:rsidRDefault="00793A82" w:rsidP="00D62120">
            <w:pPr>
              <w:spacing w:after="0" w:line="240" w:lineRule="auto"/>
              <w:rPr>
                <w:rFonts w:ascii="Calibri" w:eastAsia="Times New Roman" w:hAnsi="Calibri" w:cs="Times New Roman"/>
                <w:sz w:val="14"/>
                <w:szCs w:val="14"/>
              </w:rPr>
            </w:pPr>
            <w:r>
              <w:rPr>
                <w:rFonts w:ascii="Calibri" w:eastAsia="Times New Roman" w:hAnsi="Calibri" w:cs="Times New Roman"/>
                <w:sz w:val="14"/>
                <w:szCs w:val="14"/>
              </w:rPr>
              <w:t xml:space="preserve">2. Malo se ES prodaje </w:t>
            </w:r>
          </w:p>
        </w:tc>
        <w:tc>
          <w:tcPr>
            <w:tcW w:w="334" w:type="pct"/>
            <w:shd w:val="clear" w:color="auto" w:fill="FBE4D5" w:themeFill="accent2" w:themeFillTint="33"/>
            <w:hideMark/>
          </w:tcPr>
          <w:p w:rsidR="00793A82" w:rsidRPr="00CB44B6" w:rsidRDefault="00793A82" w:rsidP="00D62120">
            <w:pPr>
              <w:spacing w:after="0" w:line="240" w:lineRule="auto"/>
              <w:jc w:val="center"/>
              <w:rPr>
                <w:rFonts w:ascii="Calibri" w:eastAsia="Times New Roman" w:hAnsi="Calibri" w:cs="Times New Roman"/>
                <w:color w:val="000000"/>
                <w:sz w:val="14"/>
                <w:szCs w:val="14"/>
              </w:rPr>
            </w:pPr>
            <w:r w:rsidRPr="00CB44B6">
              <w:rPr>
                <w:rFonts w:ascii="Calibri" w:eastAsia="Times New Roman" w:hAnsi="Calibri" w:cs="Times New Roman"/>
                <w:color w:val="000000"/>
                <w:sz w:val="14"/>
                <w:szCs w:val="14"/>
              </w:rPr>
              <w:t>1</w:t>
            </w:r>
          </w:p>
        </w:tc>
      </w:tr>
      <w:tr w:rsidR="002B28CE" w:rsidRPr="00CB44B6" w:rsidTr="00D72228">
        <w:trPr>
          <w:trHeight w:val="665"/>
        </w:trPr>
        <w:tc>
          <w:tcPr>
            <w:tcW w:w="851" w:type="pct"/>
            <w:shd w:val="clear" w:color="auto" w:fill="FBE4D5" w:themeFill="accent2" w:themeFillTint="33"/>
            <w:hideMark/>
          </w:tcPr>
          <w:p w:rsidR="00793A82" w:rsidRPr="00CB44B6" w:rsidRDefault="00855A77" w:rsidP="00D62120">
            <w:pPr>
              <w:spacing w:after="0" w:line="240" w:lineRule="auto"/>
              <w:rPr>
                <w:rFonts w:ascii="Calibri" w:eastAsia="Times New Roman" w:hAnsi="Calibri" w:cs="Times New Roman"/>
                <w:sz w:val="14"/>
                <w:szCs w:val="14"/>
              </w:rPr>
            </w:pPr>
            <w:r>
              <w:rPr>
                <w:rFonts w:ascii="Calibri" w:eastAsia="Times New Roman" w:hAnsi="Calibri" w:cs="Times New Roman"/>
                <w:sz w:val="14"/>
                <w:szCs w:val="14"/>
              </w:rPr>
              <w:t xml:space="preserve">Procjena javnog sektora </w:t>
            </w:r>
          </w:p>
        </w:tc>
        <w:tc>
          <w:tcPr>
            <w:tcW w:w="1168" w:type="pct"/>
            <w:shd w:val="clear" w:color="auto" w:fill="FBE4D5" w:themeFill="accent2" w:themeFillTint="33"/>
            <w:hideMark/>
          </w:tcPr>
          <w:p w:rsidR="00793A82" w:rsidRPr="00CB44B6" w:rsidRDefault="00855A77" w:rsidP="00855A77">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Javna potrošnja ili podsticaji ES kao indicator vrijednosti </w:t>
            </w:r>
          </w:p>
        </w:tc>
        <w:tc>
          <w:tcPr>
            <w:tcW w:w="1151" w:type="pct"/>
            <w:shd w:val="clear" w:color="auto" w:fill="FBE4D5" w:themeFill="accent2" w:themeFillTint="33"/>
            <w:hideMark/>
          </w:tcPr>
          <w:p w:rsidR="00793A82" w:rsidRPr="00CB44B6" w:rsidRDefault="002B28CE" w:rsidP="00D62120">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ES za koje postoje javni izdaci </w:t>
            </w:r>
          </w:p>
        </w:tc>
        <w:tc>
          <w:tcPr>
            <w:tcW w:w="582" w:type="pct"/>
            <w:shd w:val="clear" w:color="auto" w:fill="FBE4D5" w:themeFill="accent2" w:themeFillTint="33"/>
            <w:hideMark/>
          </w:tcPr>
          <w:p w:rsidR="00793A82" w:rsidRPr="00CB44B6" w:rsidRDefault="002B28CE" w:rsidP="002B28CE">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Cijena zemljišta za zaštićene oblasti </w:t>
            </w:r>
          </w:p>
        </w:tc>
        <w:tc>
          <w:tcPr>
            <w:tcW w:w="914" w:type="pct"/>
            <w:shd w:val="clear" w:color="auto" w:fill="FBE4D5" w:themeFill="accent2" w:themeFillTint="33"/>
            <w:hideMark/>
          </w:tcPr>
          <w:p w:rsidR="00793A82" w:rsidRPr="00CB44B6" w:rsidRDefault="002B28CE" w:rsidP="00D62120">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Nema direktne veze sa preferencijama potrošaća </w:t>
            </w:r>
          </w:p>
        </w:tc>
        <w:tc>
          <w:tcPr>
            <w:tcW w:w="334" w:type="pct"/>
            <w:shd w:val="clear" w:color="auto" w:fill="FBE4D5" w:themeFill="accent2" w:themeFillTint="33"/>
            <w:hideMark/>
          </w:tcPr>
          <w:p w:rsidR="00793A82" w:rsidRPr="00CB44B6" w:rsidRDefault="00793A82" w:rsidP="00D62120">
            <w:pPr>
              <w:spacing w:after="0" w:line="240" w:lineRule="auto"/>
              <w:jc w:val="center"/>
              <w:rPr>
                <w:rFonts w:ascii="Calibri" w:eastAsia="Times New Roman" w:hAnsi="Calibri" w:cs="Times New Roman"/>
                <w:color w:val="000000"/>
                <w:sz w:val="14"/>
                <w:szCs w:val="14"/>
              </w:rPr>
            </w:pPr>
            <w:r w:rsidRPr="00CB44B6">
              <w:rPr>
                <w:rFonts w:ascii="Calibri" w:eastAsia="Times New Roman" w:hAnsi="Calibri" w:cs="Times New Roman"/>
                <w:color w:val="000000"/>
                <w:sz w:val="14"/>
                <w:szCs w:val="14"/>
              </w:rPr>
              <w:t>1</w:t>
            </w:r>
          </w:p>
        </w:tc>
      </w:tr>
      <w:tr w:rsidR="002B28CE" w:rsidRPr="00CB44B6" w:rsidTr="00D72228">
        <w:trPr>
          <w:trHeight w:val="701"/>
        </w:trPr>
        <w:tc>
          <w:tcPr>
            <w:tcW w:w="851" w:type="pct"/>
            <w:shd w:val="clear" w:color="auto" w:fill="FBE4D5" w:themeFill="accent2" w:themeFillTint="33"/>
            <w:hideMark/>
          </w:tcPr>
          <w:p w:rsidR="00793A82" w:rsidRPr="00CB44B6" w:rsidRDefault="001D0D4F" w:rsidP="00D62120">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I</w:t>
            </w:r>
            <w:r w:rsidR="002B28CE">
              <w:rPr>
                <w:rFonts w:ascii="Calibri" w:eastAsia="Times New Roman" w:hAnsi="Calibri" w:cs="Times New Roman"/>
                <w:sz w:val="14"/>
                <w:szCs w:val="14"/>
              </w:rPr>
              <w:t xml:space="preserve">zdaci </w:t>
            </w:r>
            <w:r>
              <w:rPr>
                <w:rFonts w:ascii="Calibri" w:eastAsia="Times New Roman" w:hAnsi="Calibri" w:cs="Times New Roman"/>
                <w:sz w:val="14"/>
                <w:szCs w:val="14"/>
              </w:rPr>
              <w:t xml:space="preserve">zaštite </w:t>
            </w:r>
          </w:p>
        </w:tc>
        <w:tc>
          <w:tcPr>
            <w:tcW w:w="1168" w:type="pct"/>
            <w:shd w:val="clear" w:color="auto" w:fill="FBE4D5" w:themeFill="accent2" w:themeFillTint="33"/>
            <w:hideMark/>
          </w:tcPr>
          <w:p w:rsidR="00793A82" w:rsidRPr="00CB44B6" w:rsidRDefault="002B28CE" w:rsidP="002B28CE">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Izdaci za tržišna dobra koja mogu supstituisati ES </w:t>
            </w:r>
          </w:p>
        </w:tc>
        <w:tc>
          <w:tcPr>
            <w:tcW w:w="1151" w:type="pct"/>
            <w:shd w:val="clear" w:color="auto" w:fill="FBE4D5" w:themeFill="accent2" w:themeFillTint="33"/>
            <w:hideMark/>
          </w:tcPr>
          <w:p w:rsidR="00793A82" w:rsidRPr="00CB44B6" w:rsidRDefault="00793A82" w:rsidP="002B28CE">
            <w:pPr>
              <w:spacing w:after="0" w:line="240" w:lineRule="auto"/>
              <w:rPr>
                <w:rFonts w:ascii="Times New Roman" w:eastAsia="Times New Roman" w:hAnsi="Times New Roman" w:cs="Times New Roman"/>
                <w:color w:val="000000"/>
                <w:sz w:val="14"/>
                <w:szCs w:val="14"/>
              </w:rPr>
            </w:pPr>
            <w:r w:rsidRPr="00CB44B6">
              <w:rPr>
                <w:rFonts w:ascii="Calibri" w:eastAsia="Times New Roman" w:hAnsi="Calibri" w:cs="Times New Roman"/>
                <w:sz w:val="14"/>
                <w:szCs w:val="14"/>
              </w:rPr>
              <w:t xml:space="preserve">ES </w:t>
            </w:r>
            <w:r w:rsidR="002B28CE">
              <w:rPr>
                <w:rFonts w:ascii="Calibri" w:eastAsia="Times New Roman" w:hAnsi="Calibri" w:cs="Times New Roman"/>
                <w:sz w:val="14"/>
                <w:szCs w:val="14"/>
              </w:rPr>
              <w:t xml:space="preserve">kod kojih tržišni supstituti postoje </w:t>
            </w:r>
          </w:p>
        </w:tc>
        <w:tc>
          <w:tcPr>
            <w:tcW w:w="582" w:type="pct"/>
            <w:shd w:val="clear" w:color="auto" w:fill="FBE4D5" w:themeFill="accent2" w:themeFillTint="33"/>
            <w:hideMark/>
          </w:tcPr>
          <w:p w:rsidR="00793A82" w:rsidRPr="00CB44B6" w:rsidRDefault="00897D95" w:rsidP="002B28CE">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Flaširana voda kao supstitut čiste pijaće vode</w:t>
            </w:r>
          </w:p>
        </w:tc>
        <w:tc>
          <w:tcPr>
            <w:tcW w:w="914" w:type="pct"/>
            <w:shd w:val="clear" w:color="auto" w:fill="FBE4D5" w:themeFill="accent2" w:themeFillTint="33"/>
            <w:hideMark/>
          </w:tcPr>
          <w:p w:rsidR="002B28CE" w:rsidRDefault="002B28CE" w:rsidP="002B28CE">
            <w:pPr>
              <w:spacing w:after="0" w:line="240" w:lineRule="auto"/>
              <w:rPr>
                <w:rFonts w:ascii="Calibri" w:eastAsia="Times New Roman" w:hAnsi="Calibri" w:cs="Times New Roman"/>
                <w:sz w:val="14"/>
                <w:szCs w:val="14"/>
              </w:rPr>
            </w:pPr>
            <w:r w:rsidRPr="002B28CE">
              <w:rPr>
                <w:rFonts w:ascii="Calibri" w:eastAsia="Times New Roman" w:hAnsi="Calibri" w:cs="Times New Roman"/>
                <w:sz w:val="14"/>
                <w:szCs w:val="14"/>
              </w:rPr>
              <w:t>1.</w:t>
            </w:r>
            <w:r>
              <w:rPr>
                <w:rFonts w:ascii="Calibri" w:eastAsia="Times New Roman" w:hAnsi="Calibri" w:cs="Times New Roman"/>
                <w:sz w:val="14"/>
                <w:szCs w:val="14"/>
              </w:rPr>
              <w:t xml:space="preserve"> primjenjiv samo gdje postoji tržišni supstitut </w:t>
            </w:r>
          </w:p>
          <w:p w:rsidR="00793A82" w:rsidRPr="002B28CE" w:rsidRDefault="002B28CE" w:rsidP="002B28CE">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2</w:t>
            </w:r>
            <w:r w:rsidR="00793A82" w:rsidRPr="002B28CE">
              <w:rPr>
                <w:rFonts w:ascii="Calibri" w:eastAsia="Times New Roman" w:hAnsi="Calibri" w:cs="Times New Roman"/>
                <w:sz w:val="14"/>
                <w:szCs w:val="14"/>
              </w:rPr>
              <w:t xml:space="preserve">. </w:t>
            </w:r>
            <w:r>
              <w:rPr>
                <w:rFonts w:ascii="Calibri" w:eastAsia="Times New Roman" w:hAnsi="Calibri" w:cs="Times New Roman"/>
                <w:sz w:val="14"/>
                <w:szCs w:val="14"/>
              </w:rPr>
              <w:t xml:space="preserve">Daje procjenu donje vrijednosti ES koristi </w:t>
            </w:r>
          </w:p>
        </w:tc>
        <w:tc>
          <w:tcPr>
            <w:tcW w:w="334" w:type="pct"/>
            <w:shd w:val="clear" w:color="auto" w:fill="FBE4D5" w:themeFill="accent2" w:themeFillTint="33"/>
            <w:hideMark/>
          </w:tcPr>
          <w:p w:rsidR="00793A82" w:rsidRPr="00CB44B6" w:rsidRDefault="00793A82" w:rsidP="00D62120">
            <w:pPr>
              <w:spacing w:after="0" w:line="240" w:lineRule="auto"/>
              <w:jc w:val="center"/>
              <w:rPr>
                <w:rFonts w:ascii="Calibri" w:eastAsia="Times New Roman" w:hAnsi="Calibri" w:cs="Times New Roman"/>
                <w:color w:val="000000"/>
                <w:sz w:val="14"/>
                <w:szCs w:val="14"/>
              </w:rPr>
            </w:pPr>
            <w:r w:rsidRPr="00CB44B6">
              <w:rPr>
                <w:rFonts w:ascii="Calibri" w:eastAsia="Times New Roman" w:hAnsi="Calibri" w:cs="Times New Roman"/>
                <w:color w:val="000000"/>
                <w:sz w:val="14"/>
                <w:szCs w:val="14"/>
              </w:rPr>
              <w:t>1</w:t>
            </w:r>
          </w:p>
        </w:tc>
      </w:tr>
      <w:tr w:rsidR="002B28CE" w:rsidRPr="00CB44B6" w:rsidTr="002A0ECE">
        <w:trPr>
          <w:trHeight w:val="1459"/>
        </w:trPr>
        <w:tc>
          <w:tcPr>
            <w:tcW w:w="851" w:type="pct"/>
            <w:shd w:val="clear" w:color="auto" w:fill="E7E6E6" w:themeFill="background2"/>
          </w:tcPr>
          <w:p w:rsidR="00793A82" w:rsidRPr="00CB44B6" w:rsidRDefault="00897D95" w:rsidP="00793A82">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Troškovi zamjene</w:t>
            </w:r>
          </w:p>
        </w:tc>
        <w:tc>
          <w:tcPr>
            <w:tcW w:w="1168" w:type="pct"/>
            <w:shd w:val="clear" w:color="auto" w:fill="E7E6E6" w:themeFill="background2"/>
          </w:tcPr>
          <w:p w:rsidR="00793A82" w:rsidRPr="00CB44B6" w:rsidRDefault="00897D95" w:rsidP="00897D95">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Procjena troškova zamjene</w:t>
            </w:r>
            <w:r w:rsidR="00793A82" w:rsidRPr="00CB44B6">
              <w:rPr>
                <w:rFonts w:ascii="Calibri" w:eastAsia="Times New Roman" w:hAnsi="Calibri" w:cs="Times New Roman"/>
                <w:sz w:val="14"/>
                <w:szCs w:val="14"/>
              </w:rPr>
              <w:t xml:space="preserve"> ES </w:t>
            </w:r>
            <w:r>
              <w:rPr>
                <w:rFonts w:ascii="Calibri" w:eastAsia="Times New Roman" w:hAnsi="Calibri" w:cs="Times New Roman"/>
                <w:sz w:val="14"/>
                <w:szCs w:val="14"/>
              </w:rPr>
              <w:t xml:space="preserve">usluga uslugama koje čovjek može zamijeniti </w:t>
            </w:r>
          </w:p>
        </w:tc>
        <w:tc>
          <w:tcPr>
            <w:tcW w:w="1151" w:type="pct"/>
            <w:shd w:val="clear" w:color="auto" w:fill="E7E6E6" w:themeFill="background2"/>
          </w:tcPr>
          <w:p w:rsidR="00793A82" w:rsidRPr="00CB44B6" w:rsidRDefault="00897D95" w:rsidP="00793A82">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ES usluge koje može čovjek supstituisati</w:t>
            </w:r>
          </w:p>
        </w:tc>
        <w:tc>
          <w:tcPr>
            <w:tcW w:w="582" w:type="pct"/>
            <w:shd w:val="clear" w:color="auto" w:fill="E7E6E6" w:themeFill="background2"/>
          </w:tcPr>
          <w:p w:rsidR="00793A82" w:rsidRPr="00196B04" w:rsidRDefault="00196B04" w:rsidP="00793A82">
            <w:pPr>
              <w:spacing w:after="0" w:line="240" w:lineRule="auto"/>
              <w:rPr>
                <w:rFonts w:ascii="Times New Roman" w:eastAsia="Times New Roman" w:hAnsi="Times New Roman" w:cs="Times New Roman"/>
                <w:sz w:val="14"/>
                <w:szCs w:val="14"/>
              </w:rPr>
            </w:pPr>
            <w:r>
              <w:rPr>
                <w:rFonts w:ascii="Calibri" w:eastAsia="Times New Roman" w:hAnsi="Calibri" w:cs="Times New Roman"/>
                <w:sz w:val="14"/>
                <w:szCs w:val="14"/>
              </w:rPr>
              <w:t xml:space="preserve">Zaštita obala izgradnjom nasipa </w:t>
            </w:r>
          </w:p>
        </w:tc>
        <w:tc>
          <w:tcPr>
            <w:tcW w:w="914" w:type="pct"/>
            <w:shd w:val="clear" w:color="auto" w:fill="E7E6E6" w:themeFill="background2"/>
          </w:tcPr>
          <w:p w:rsidR="00897D95" w:rsidRDefault="00897D95" w:rsidP="00897D95">
            <w:pPr>
              <w:spacing w:after="0" w:line="240" w:lineRule="auto"/>
              <w:rPr>
                <w:rFonts w:ascii="Calibri" w:eastAsia="Times New Roman" w:hAnsi="Calibri" w:cs="Times New Roman"/>
                <w:sz w:val="14"/>
                <w:szCs w:val="14"/>
              </w:rPr>
            </w:pPr>
            <w:r w:rsidRPr="00897D95">
              <w:rPr>
                <w:rFonts w:ascii="Calibri" w:eastAsia="Times New Roman" w:hAnsi="Calibri" w:cs="Times New Roman"/>
                <w:sz w:val="14"/>
                <w:szCs w:val="14"/>
              </w:rPr>
              <w:t>1.</w:t>
            </w:r>
            <w:r>
              <w:rPr>
                <w:rFonts w:ascii="Calibri" w:eastAsia="Times New Roman" w:hAnsi="Calibri" w:cs="Times New Roman"/>
                <w:sz w:val="14"/>
                <w:szCs w:val="14"/>
              </w:rPr>
              <w:t xml:space="preserve"> Nema direktne veze sa ES koristima </w:t>
            </w:r>
          </w:p>
          <w:p w:rsidR="00897D95" w:rsidRDefault="00897D95" w:rsidP="00897D95">
            <w:pPr>
              <w:spacing w:after="0" w:line="240" w:lineRule="auto"/>
              <w:rPr>
                <w:rFonts w:ascii="Calibri" w:eastAsia="Times New Roman" w:hAnsi="Calibri" w:cs="Times New Roman"/>
                <w:sz w:val="14"/>
                <w:szCs w:val="14"/>
              </w:rPr>
            </w:pPr>
            <w:r>
              <w:rPr>
                <w:rFonts w:ascii="Calibri" w:eastAsia="Times New Roman" w:hAnsi="Calibri" w:cs="Times New Roman"/>
                <w:sz w:val="14"/>
                <w:szCs w:val="14"/>
              </w:rPr>
              <w:t>2. Precjenjuje vrijednost onda kada potrošači nijesu spremni da plate</w:t>
            </w:r>
          </w:p>
          <w:p w:rsidR="00793A82" w:rsidRPr="00CB44B6" w:rsidRDefault="00897D95" w:rsidP="00897D95">
            <w:pPr>
              <w:spacing w:after="0" w:line="240" w:lineRule="auto"/>
              <w:rPr>
                <w:rFonts w:ascii="Calibri" w:eastAsia="Times New Roman" w:hAnsi="Calibri" w:cs="Times New Roman"/>
                <w:sz w:val="14"/>
                <w:szCs w:val="14"/>
              </w:rPr>
            </w:pPr>
            <w:r>
              <w:rPr>
                <w:rFonts w:ascii="Calibri" w:eastAsia="Times New Roman" w:hAnsi="Calibri" w:cs="Times New Roman"/>
                <w:sz w:val="14"/>
                <w:szCs w:val="14"/>
              </w:rPr>
              <w:t>3. Podcjenjuje vrijednost kada zamjena ne obezbjeđ</w:t>
            </w:r>
            <w:r w:rsidR="00F631E7">
              <w:rPr>
                <w:rFonts w:ascii="Calibri" w:eastAsia="Times New Roman" w:hAnsi="Calibri" w:cs="Times New Roman"/>
                <w:sz w:val="14"/>
                <w:szCs w:val="14"/>
              </w:rPr>
              <w:t>uje sve što je pružao</w:t>
            </w:r>
            <w:r>
              <w:rPr>
                <w:rFonts w:ascii="Calibri" w:eastAsia="Times New Roman" w:hAnsi="Calibri" w:cs="Times New Roman"/>
                <w:sz w:val="14"/>
                <w:szCs w:val="14"/>
              </w:rPr>
              <w:t xml:space="preserve"> ekosistem </w:t>
            </w:r>
          </w:p>
        </w:tc>
        <w:tc>
          <w:tcPr>
            <w:tcW w:w="334" w:type="pct"/>
            <w:shd w:val="clear" w:color="auto" w:fill="E7E6E6" w:themeFill="background2"/>
          </w:tcPr>
          <w:p w:rsidR="00793A82" w:rsidRPr="00CB44B6" w:rsidRDefault="00897D95" w:rsidP="00793A82">
            <w:pPr>
              <w:spacing w:after="0" w:line="240" w:lineRule="auto"/>
              <w:jc w:val="center"/>
              <w:rPr>
                <w:rFonts w:ascii="Calibri" w:eastAsia="Times New Roman" w:hAnsi="Calibri" w:cs="Times New Roman"/>
                <w:color w:val="000000"/>
                <w:sz w:val="14"/>
                <w:szCs w:val="14"/>
              </w:rPr>
            </w:pPr>
            <w:r>
              <w:rPr>
                <w:rFonts w:ascii="Calibri" w:eastAsia="Times New Roman" w:hAnsi="Calibri" w:cs="Times New Roman"/>
                <w:color w:val="000000"/>
                <w:sz w:val="14"/>
                <w:szCs w:val="14"/>
              </w:rPr>
              <w:t>1</w:t>
            </w:r>
          </w:p>
        </w:tc>
      </w:tr>
      <w:tr w:rsidR="00196B04" w:rsidRPr="00CB44B6" w:rsidTr="002A0ECE">
        <w:trPr>
          <w:trHeight w:val="1459"/>
        </w:trPr>
        <w:tc>
          <w:tcPr>
            <w:tcW w:w="851" w:type="pct"/>
            <w:shd w:val="clear" w:color="auto" w:fill="E7E6E6" w:themeFill="background2"/>
            <w:hideMark/>
          </w:tcPr>
          <w:p w:rsidR="00196B04" w:rsidRPr="00CB44B6" w:rsidRDefault="00196B04" w:rsidP="00196B04">
            <w:pPr>
              <w:spacing w:after="0" w:line="240" w:lineRule="auto"/>
              <w:rPr>
                <w:rFonts w:ascii="Calibri" w:eastAsia="Times New Roman" w:hAnsi="Calibri" w:cs="Times New Roman"/>
                <w:sz w:val="14"/>
                <w:szCs w:val="14"/>
              </w:rPr>
            </w:pPr>
            <w:r>
              <w:rPr>
                <w:rFonts w:ascii="Calibri" w:eastAsia="Times New Roman" w:hAnsi="Calibri" w:cs="Times New Roman"/>
                <w:sz w:val="14"/>
                <w:szCs w:val="14"/>
              </w:rPr>
              <w:t xml:space="preserve">Troškovi restauracije </w:t>
            </w:r>
          </w:p>
        </w:tc>
        <w:tc>
          <w:tcPr>
            <w:tcW w:w="1168" w:type="pct"/>
            <w:shd w:val="clear" w:color="auto" w:fill="E7E6E6" w:themeFill="background2"/>
            <w:hideMark/>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Troškovi restauriranja degradiranog</w:t>
            </w:r>
            <w:r w:rsidRPr="00CB44B6">
              <w:rPr>
                <w:rFonts w:ascii="Calibri" w:eastAsia="Times New Roman" w:hAnsi="Calibri" w:cs="Times New Roman"/>
                <w:sz w:val="14"/>
                <w:szCs w:val="14"/>
              </w:rPr>
              <w:t xml:space="preserve"> ES</w:t>
            </w:r>
          </w:p>
        </w:tc>
        <w:tc>
          <w:tcPr>
            <w:tcW w:w="1151" w:type="pct"/>
            <w:shd w:val="clear" w:color="auto" w:fill="E7E6E6" w:themeFill="background2"/>
            <w:hideMark/>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Bilo koji ES koji se može povratiti restauriranjem </w:t>
            </w:r>
          </w:p>
        </w:tc>
        <w:tc>
          <w:tcPr>
            <w:tcW w:w="582" w:type="pct"/>
            <w:shd w:val="clear" w:color="auto" w:fill="E7E6E6" w:themeFill="background2"/>
            <w:hideMark/>
          </w:tcPr>
          <w:p w:rsidR="00196B04" w:rsidRPr="00196B04" w:rsidRDefault="00196B04" w:rsidP="00196B04">
            <w:pPr>
              <w:spacing w:after="0" w:line="240" w:lineRule="auto"/>
              <w:rPr>
                <w:rFonts w:ascii="Times New Roman" w:eastAsia="Times New Roman" w:hAnsi="Times New Roman" w:cs="Times New Roman"/>
                <w:sz w:val="14"/>
                <w:szCs w:val="14"/>
              </w:rPr>
            </w:pPr>
            <w:r>
              <w:rPr>
                <w:rFonts w:ascii="Calibri" w:eastAsia="Times New Roman" w:hAnsi="Calibri" w:cs="Times New Roman"/>
                <w:sz w:val="14"/>
                <w:szCs w:val="14"/>
              </w:rPr>
              <w:t xml:space="preserve">Zaštita obala izgradnjom nasipa </w:t>
            </w:r>
          </w:p>
        </w:tc>
        <w:tc>
          <w:tcPr>
            <w:tcW w:w="914" w:type="pct"/>
            <w:shd w:val="clear" w:color="auto" w:fill="E7E6E6" w:themeFill="background2"/>
            <w:hideMark/>
          </w:tcPr>
          <w:p w:rsidR="00196B04" w:rsidRDefault="00196B04" w:rsidP="00196B04">
            <w:pPr>
              <w:spacing w:after="0" w:line="240" w:lineRule="auto"/>
              <w:rPr>
                <w:rFonts w:ascii="Calibri" w:eastAsia="Times New Roman" w:hAnsi="Calibri" w:cs="Times New Roman"/>
                <w:sz w:val="14"/>
                <w:szCs w:val="14"/>
              </w:rPr>
            </w:pPr>
            <w:r w:rsidRPr="00897D95">
              <w:rPr>
                <w:rFonts w:ascii="Calibri" w:eastAsia="Times New Roman" w:hAnsi="Calibri" w:cs="Times New Roman"/>
                <w:sz w:val="14"/>
                <w:szCs w:val="14"/>
              </w:rPr>
              <w:t>1.</w:t>
            </w:r>
            <w:r>
              <w:rPr>
                <w:rFonts w:ascii="Calibri" w:eastAsia="Times New Roman" w:hAnsi="Calibri" w:cs="Times New Roman"/>
                <w:sz w:val="14"/>
                <w:szCs w:val="14"/>
              </w:rPr>
              <w:t xml:space="preserve"> Nema direktne veze sa ES koristima </w:t>
            </w:r>
          </w:p>
          <w:p w:rsidR="00196B04" w:rsidRDefault="00196B04" w:rsidP="00196B04">
            <w:pPr>
              <w:spacing w:after="0" w:line="240" w:lineRule="auto"/>
              <w:rPr>
                <w:rFonts w:ascii="Calibri" w:eastAsia="Times New Roman" w:hAnsi="Calibri" w:cs="Times New Roman"/>
                <w:sz w:val="14"/>
                <w:szCs w:val="14"/>
              </w:rPr>
            </w:pPr>
            <w:r>
              <w:rPr>
                <w:rFonts w:ascii="Calibri" w:eastAsia="Times New Roman" w:hAnsi="Calibri" w:cs="Times New Roman"/>
                <w:sz w:val="14"/>
                <w:szCs w:val="14"/>
              </w:rPr>
              <w:t>2. Precjenjuje vrijednost onda kada potrošači nijesu spremni da plate</w:t>
            </w:r>
          </w:p>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3. Podcjenjuje vrijednost kada zamjena ne obezbjeđuje sve što je pružao ekosistem</w:t>
            </w:r>
          </w:p>
        </w:tc>
        <w:tc>
          <w:tcPr>
            <w:tcW w:w="334" w:type="pct"/>
            <w:shd w:val="clear" w:color="auto" w:fill="E7E6E6" w:themeFill="background2"/>
            <w:hideMark/>
          </w:tcPr>
          <w:p w:rsidR="00196B04" w:rsidRPr="00CB44B6" w:rsidRDefault="00196B04" w:rsidP="00196B04">
            <w:pPr>
              <w:spacing w:after="0" w:line="240" w:lineRule="auto"/>
              <w:jc w:val="center"/>
              <w:rPr>
                <w:rFonts w:ascii="Calibri" w:eastAsia="Times New Roman" w:hAnsi="Calibri" w:cs="Times New Roman"/>
                <w:color w:val="000000"/>
                <w:sz w:val="14"/>
                <w:szCs w:val="14"/>
              </w:rPr>
            </w:pPr>
            <w:r w:rsidRPr="00CB44B6">
              <w:rPr>
                <w:rFonts w:ascii="Calibri" w:eastAsia="Times New Roman" w:hAnsi="Calibri" w:cs="Times New Roman"/>
                <w:color w:val="000000"/>
                <w:sz w:val="14"/>
                <w:szCs w:val="14"/>
              </w:rPr>
              <w:t>1</w:t>
            </w:r>
          </w:p>
        </w:tc>
      </w:tr>
      <w:tr w:rsidR="00196B04" w:rsidRPr="00CB44B6" w:rsidTr="002A0ECE">
        <w:trPr>
          <w:trHeight w:val="720"/>
        </w:trPr>
        <w:tc>
          <w:tcPr>
            <w:tcW w:w="851" w:type="pct"/>
            <w:shd w:val="clear" w:color="auto" w:fill="E7E6E6" w:themeFill="background2"/>
            <w:hideMark/>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Troškovi izbjegavanja šteta </w:t>
            </w:r>
          </w:p>
        </w:tc>
        <w:tc>
          <w:tcPr>
            <w:tcW w:w="1168" w:type="pct"/>
            <w:shd w:val="clear" w:color="auto" w:fill="E7E6E6" w:themeFill="background2"/>
            <w:hideMark/>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Procjena šteta koje se izbjegavaju usled usluga ES </w:t>
            </w:r>
          </w:p>
        </w:tc>
        <w:tc>
          <w:tcPr>
            <w:tcW w:w="1151" w:type="pct"/>
            <w:shd w:val="clear" w:color="auto" w:fill="E7E6E6" w:themeFill="background2"/>
            <w:hideMark/>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Ekosistemi koji obezbjeđuju zaštitu kuća ili druge imovine od oluja ili poplava </w:t>
            </w:r>
          </w:p>
        </w:tc>
        <w:tc>
          <w:tcPr>
            <w:tcW w:w="582" w:type="pct"/>
            <w:shd w:val="clear" w:color="auto" w:fill="E7E6E6" w:themeFill="background2"/>
            <w:hideMark/>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Izgradnja nasipa za sprečavanje poplava </w:t>
            </w:r>
          </w:p>
        </w:tc>
        <w:tc>
          <w:tcPr>
            <w:tcW w:w="914" w:type="pct"/>
            <w:shd w:val="clear" w:color="auto" w:fill="E7E6E6" w:themeFill="background2"/>
            <w:hideMark/>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Teško naći vezu između nivoa štete i kvaliteta ekosistema </w:t>
            </w:r>
            <w:r w:rsidRPr="00CB44B6">
              <w:rPr>
                <w:rFonts w:ascii="Calibri" w:eastAsia="Times New Roman" w:hAnsi="Calibri" w:cs="Times New Roman"/>
                <w:sz w:val="14"/>
                <w:szCs w:val="14"/>
              </w:rPr>
              <w:t>.</w:t>
            </w:r>
          </w:p>
        </w:tc>
        <w:tc>
          <w:tcPr>
            <w:tcW w:w="334" w:type="pct"/>
            <w:shd w:val="clear" w:color="auto" w:fill="E7E6E6" w:themeFill="background2"/>
            <w:hideMark/>
          </w:tcPr>
          <w:p w:rsidR="00196B04" w:rsidRPr="00CB44B6" w:rsidRDefault="00196B04" w:rsidP="00196B04">
            <w:pPr>
              <w:spacing w:after="0" w:line="240" w:lineRule="auto"/>
              <w:jc w:val="center"/>
              <w:rPr>
                <w:rFonts w:ascii="Calibri" w:eastAsia="Times New Roman" w:hAnsi="Calibri" w:cs="Times New Roman"/>
                <w:color w:val="000000"/>
                <w:sz w:val="14"/>
                <w:szCs w:val="14"/>
              </w:rPr>
            </w:pPr>
            <w:r w:rsidRPr="00CB44B6">
              <w:rPr>
                <w:rFonts w:ascii="Calibri" w:eastAsia="Times New Roman" w:hAnsi="Calibri" w:cs="Times New Roman"/>
                <w:color w:val="000000"/>
                <w:sz w:val="14"/>
                <w:szCs w:val="14"/>
              </w:rPr>
              <w:t>2</w:t>
            </w:r>
          </w:p>
        </w:tc>
      </w:tr>
      <w:tr w:rsidR="00196B04" w:rsidRPr="00CB44B6" w:rsidTr="002A0ECE">
        <w:trPr>
          <w:trHeight w:val="854"/>
        </w:trPr>
        <w:tc>
          <w:tcPr>
            <w:tcW w:w="851" w:type="pct"/>
            <w:shd w:val="clear" w:color="auto" w:fill="C5E0B3" w:themeFill="accent6" w:themeFillTint="66"/>
            <w:hideMark/>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Net</w:t>
            </w:r>
            <w:r w:rsidR="004C45E9">
              <w:rPr>
                <w:rFonts w:ascii="Calibri" w:eastAsia="Times New Roman" w:hAnsi="Calibri" w:cs="Times New Roman"/>
                <w:sz w:val="14"/>
                <w:szCs w:val="14"/>
              </w:rPr>
              <w:t>o</w:t>
            </w:r>
            <w:r>
              <w:rPr>
                <w:rFonts w:ascii="Calibri" w:eastAsia="Times New Roman" w:hAnsi="Calibri" w:cs="Times New Roman"/>
                <w:sz w:val="14"/>
                <w:szCs w:val="14"/>
              </w:rPr>
              <w:t xml:space="preserve"> Prihod-</w:t>
            </w:r>
            <w:r w:rsidR="004C45E9">
              <w:rPr>
                <w:rFonts w:ascii="Calibri" w:eastAsia="Times New Roman" w:hAnsi="Calibri" w:cs="Times New Roman"/>
                <w:sz w:val="14"/>
                <w:szCs w:val="14"/>
              </w:rPr>
              <w:t>faktora</w:t>
            </w:r>
          </w:p>
        </w:tc>
        <w:tc>
          <w:tcPr>
            <w:tcW w:w="1168" w:type="pct"/>
            <w:shd w:val="clear" w:color="auto" w:fill="C5E0B3" w:themeFill="accent6" w:themeFillTint="66"/>
            <w:hideMark/>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Prihod od prodaje proizvoda vezanih za prirodnu sredinu umanjen za troškove ostalih inputa </w:t>
            </w:r>
          </w:p>
        </w:tc>
        <w:tc>
          <w:tcPr>
            <w:tcW w:w="1151" w:type="pct"/>
            <w:shd w:val="clear" w:color="auto" w:fill="C5E0B3" w:themeFill="accent6" w:themeFillTint="66"/>
            <w:hideMark/>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Ekosistem koji obezbeđuje inpute za proizvodnju trćišnih dobara </w:t>
            </w:r>
          </w:p>
        </w:tc>
        <w:tc>
          <w:tcPr>
            <w:tcW w:w="582" w:type="pct"/>
            <w:shd w:val="clear" w:color="auto" w:fill="C5E0B3" w:themeFill="accent6" w:themeFillTint="66"/>
            <w:hideMark/>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Kom</w:t>
            </w:r>
            <w:r w:rsidRPr="00CB44B6">
              <w:rPr>
                <w:rFonts w:ascii="Calibri" w:eastAsia="Times New Roman" w:hAnsi="Calibri" w:cs="Times New Roman"/>
                <w:sz w:val="14"/>
                <w:szCs w:val="14"/>
              </w:rPr>
              <w:t>ercial</w:t>
            </w:r>
            <w:r>
              <w:rPr>
                <w:rFonts w:ascii="Calibri" w:eastAsia="Times New Roman" w:hAnsi="Calibri" w:cs="Times New Roman"/>
                <w:sz w:val="14"/>
                <w:szCs w:val="14"/>
              </w:rPr>
              <w:t>no ribarenje podržano jezrcima pored obale</w:t>
            </w:r>
          </w:p>
        </w:tc>
        <w:tc>
          <w:tcPr>
            <w:tcW w:w="914" w:type="pct"/>
            <w:shd w:val="clear" w:color="auto" w:fill="C5E0B3" w:themeFill="accent6" w:themeFillTint="66"/>
            <w:hideMark/>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Precenjuje vrijednost jer se cio profit pripisuje ES </w:t>
            </w:r>
          </w:p>
        </w:tc>
        <w:tc>
          <w:tcPr>
            <w:tcW w:w="334" w:type="pct"/>
            <w:shd w:val="clear" w:color="auto" w:fill="C5E0B3" w:themeFill="accent6" w:themeFillTint="66"/>
            <w:hideMark/>
          </w:tcPr>
          <w:p w:rsidR="00196B04" w:rsidRPr="00CB44B6" w:rsidRDefault="00196B04" w:rsidP="00196B04">
            <w:pPr>
              <w:spacing w:after="0" w:line="240" w:lineRule="auto"/>
              <w:jc w:val="center"/>
              <w:rPr>
                <w:rFonts w:ascii="Calibri" w:eastAsia="Times New Roman" w:hAnsi="Calibri" w:cs="Times New Roman"/>
                <w:color w:val="000000"/>
                <w:sz w:val="14"/>
                <w:szCs w:val="14"/>
              </w:rPr>
            </w:pPr>
            <w:r w:rsidRPr="00CB44B6">
              <w:rPr>
                <w:rFonts w:ascii="Calibri" w:eastAsia="Times New Roman" w:hAnsi="Calibri" w:cs="Times New Roman"/>
                <w:color w:val="000000"/>
                <w:sz w:val="14"/>
                <w:szCs w:val="14"/>
              </w:rPr>
              <w:t>2</w:t>
            </w:r>
          </w:p>
        </w:tc>
      </w:tr>
      <w:tr w:rsidR="00196B04" w:rsidRPr="00CB44B6" w:rsidTr="002A0ECE">
        <w:trPr>
          <w:trHeight w:val="620"/>
        </w:trPr>
        <w:tc>
          <w:tcPr>
            <w:tcW w:w="851" w:type="pct"/>
            <w:shd w:val="clear" w:color="auto" w:fill="C5E0B3" w:themeFill="accent6" w:themeFillTint="66"/>
            <w:hideMark/>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Proizvodna funkcija </w:t>
            </w:r>
          </w:p>
        </w:tc>
        <w:tc>
          <w:tcPr>
            <w:tcW w:w="1168" w:type="pct"/>
            <w:shd w:val="clear" w:color="auto" w:fill="C5E0B3" w:themeFill="accent6" w:themeFillTint="66"/>
            <w:hideMark/>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Statistička procjena proizvodne funkcije za utrživa dobra koja koriste i ES inpute </w:t>
            </w:r>
          </w:p>
        </w:tc>
        <w:tc>
          <w:tcPr>
            <w:tcW w:w="1151" w:type="pct"/>
            <w:shd w:val="clear" w:color="auto" w:fill="C5E0B3" w:themeFill="accent6" w:themeFillTint="66"/>
            <w:hideMark/>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Ekosistem koji proizvodi važne inpute za proizvodne procese kod nekih tržišnih dobara </w:t>
            </w:r>
          </w:p>
        </w:tc>
        <w:tc>
          <w:tcPr>
            <w:tcW w:w="582" w:type="pct"/>
            <w:shd w:val="clear" w:color="auto" w:fill="C5E0B3" w:themeFill="accent6" w:themeFillTint="66"/>
            <w:hideMark/>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Kvalitet/količn zemlje kao input u poljoprivredi</w:t>
            </w:r>
          </w:p>
        </w:tc>
        <w:tc>
          <w:tcPr>
            <w:tcW w:w="914" w:type="pct"/>
            <w:shd w:val="clear" w:color="auto" w:fill="C5E0B3" w:themeFill="accent6" w:themeFillTint="66"/>
            <w:hideMark/>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Techničke teškoće I zahtevnost u podacima </w:t>
            </w:r>
          </w:p>
        </w:tc>
        <w:tc>
          <w:tcPr>
            <w:tcW w:w="334" w:type="pct"/>
            <w:shd w:val="clear" w:color="auto" w:fill="C5E0B3" w:themeFill="accent6" w:themeFillTint="66"/>
            <w:hideMark/>
          </w:tcPr>
          <w:p w:rsidR="00196B04" w:rsidRPr="00CB44B6" w:rsidRDefault="00196B04" w:rsidP="00196B04">
            <w:pPr>
              <w:spacing w:after="0" w:line="240" w:lineRule="auto"/>
              <w:jc w:val="center"/>
              <w:rPr>
                <w:rFonts w:ascii="Calibri" w:eastAsia="Times New Roman" w:hAnsi="Calibri" w:cs="Times New Roman"/>
                <w:color w:val="000000"/>
                <w:sz w:val="14"/>
                <w:szCs w:val="14"/>
              </w:rPr>
            </w:pPr>
            <w:r w:rsidRPr="00CB44B6">
              <w:rPr>
                <w:rFonts w:ascii="Calibri" w:eastAsia="Times New Roman" w:hAnsi="Calibri" w:cs="Times New Roman"/>
                <w:color w:val="000000"/>
                <w:sz w:val="14"/>
                <w:szCs w:val="14"/>
              </w:rPr>
              <w:t>3</w:t>
            </w:r>
          </w:p>
        </w:tc>
      </w:tr>
      <w:tr w:rsidR="00196B04" w:rsidRPr="00CB44B6" w:rsidTr="002A0ECE">
        <w:trPr>
          <w:trHeight w:val="548"/>
        </w:trPr>
        <w:tc>
          <w:tcPr>
            <w:tcW w:w="851" w:type="pct"/>
            <w:shd w:val="clear" w:color="auto" w:fill="B4C6E7" w:themeFill="accent5" w:themeFillTint="66"/>
            <w:hideMark/>
          </w:tcPr>
          <w:p w:rsidR="00196B04" w:rsidRPr="00CB44B6" w:rsidRDefault="00196B04" w:rsidP="00196B04">
            <w:pPr>
              <w:spacing w:after="0" w:line="240" w:lineRule="auto"/>
              <w:rPr>
                <w:rFonts w:ascii="Calibri" w:eastAsia="Times New Roman" w:hAnsi="Calibri" w:cs="Times New Roman"/>
                <w:sz w:val="14"/>
                <w:szCs w:val="14"/>
              </w:rPr>
            </w:pPr>
            <w:r>
              <w:rPr>
                <w:rFonts w:ascii="Calibri" w:eastAsia="Times New Roman" w:hAnsi="Calibri" w:cs="Times New Roman"/>
                <w:sz w:val="14"/>
                <w:szCs w:val="14"/>
              </w:rPr>
              <w:t xml:space="preserve">Hedonističke cijene </w:t>
            </w:r>
          </w:p>
        </w:tc>
        <w:tc>
          <w:tcPr>
            <w:tcW w:w="1168" w:type="pct"/>
            <w:shd w:val="clear" w:color="auto" w:fill="B4C6E7" w:themeFill="accent5" w:themeFillTint="66"/>
            <w:hideMark/>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Ocenjivanje uticaja osobina ES na cijene raznih tržišnih dobara  (cijene kuća …)</w:t>
            </w:r>
          </w:p>
        </w:tc>
        <w:tc>
          <w:tcPr>
            <w:tcW w:w="1151" w:type="pct"/>
            <w:shd w:val="clear" w:color="auto" w:fill="B4C6E7" w:themeFill="accent5" w:themeFillTint="66"/>
            <w:hideMark/>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Ekološke karakteristike moraju da variraju kod različitih trćišnih dobara (kuća …) </w:t>
            </w:r>
          </w:p>
        </w:tc>
        <w:tc>
          <w:tcPr>
            <w:tcW w:w="582" w:type="pct"/>
            <w:shd w:val="clear" w:color="auto" w:fill="B4C6E7" w:themeFill="accent5" w:themeFillTint="66"/>
            <w:hideMark/>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Kvalitet vazduha, temperature …</w:t>
            </w:r>
          </w:p>
        </w:tc>
        <w:tc>
          <w:tcPr>
            <w:tcW w:w="914" w:type="pct"/>
            <w:shd w:val="clear" w:color="auto" w:fill="B4C6E7" w:themeFill="accent5" w:themeFillTint="66"/>
            <w:hideMark/>
          </w:tcPr>
          <w:p w:rsidR="00196B04" w:rsidRPr="00901ED5"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Tehnički zahtjevni </w:t>
            </w:r>
          </w:p>
        </w:tc>
        <w:tc>
          <w:tcPr>
            <w:tcW w:w="334" w:type="pct"/>
            <w:shd w:val="clear" w:color="auto" w:fill="B4C6E7" w:themeFill="accent5" w:themeFillTint="66"/>
            <w:hideMark/>
          </w:tcPr>
          <w:p w:rsidR="00196B04" w:rsidRPr="00CB44B6" w:rsidRDefault="00196B04" w:rsidP="00196B04">
            <w:pPr>
              <w:spacing w:after="0" w:line="240" w:lineRule="auto"/>
              <w:jc w:val="center"/>
              <w:rPr>
                <w:rFonts w:ascii="Calibri" w:eastAsia="Times New Roman" w:hAnsi="Calibri" w:cs="Times New Roman"/>
                <w:color w:val="000000"/>
                <w:sz w:val="14"/>
                <w:szCs w:val="14"/>
              </w:rPr>
            </w:pPr>
            <w:r w:rsidRPr="00CB44B6">
              <w:rPr>
                <w:rFonts w:ascii="Calibri" w:eastAsia="Times New Roman" w:hAnsi="Calibri" w:cs="Times New Roman"/>
                <w:color w:val="000000"/>
                <w:sz w:val="14"/>
                <w:szCs w:val="14"/>
              </w:rPr>
              <w:t>3</w:t>
            </w:r>
          </w:p>
        </w:tc>
      </w:tr>
      <w:tr w:rsidR="00196B04" w:rsidRPr="00CB44B6" w:rsidTr="002A0ECE">
        <w:trPr>
          <w:trHeight w:val="530"/>
        </w:trPr>
        <w:tc>
          <w:tcPr>
            <w:tcW w:w="851" w:type="pct"/>
            <w:shd w:val="clear" w:color="auto" w:fill="B4C6E7" w:themeFill="accent5" w:themeFillTint="66"/>
            <w:hideMark/>
          </w:tcPr>
          <w:p w:rsidR="00196B04" w:rsidRPr="00CB44B6" w:rsidRDefault="00196B04" w:rsidP="00196B04">
            <w:pPr>
              <w:spacing w:after="0" w:line="240" w:lineRule="auto"/>
              <w:rPr>
                <w:rFonts w:ascii="Calibri" w:eastAsia="Times New Roman" w:hAnsi="Calibri" w:cs="Times New Roman"/>
                <w:sz w:val="14"/>
                <w:szCs w:val="14"/>
              </w:rPr>
            </w:pPr>
            <w:r>
              <w:rPr>
                <w:rFonts w:ascii="Calibri" w:eastAsia="Times New Roman" w:hAnsi="Calibri" w:cs="Times New Roman"/>
                <w:sz w:val="14"/>
                <w:szCs w:val="14"/>
              </w:rPr>
              <w:t xml:space="preserve">Transportni troškovi </w:t>
            </w:r>
          </w:p>
        </w:tc>
        <w:tc>
          <w:tcPr>
            <w:tcW w:w="1168" w:type="pct"/>
            <w:shd w:val="clear" w:color="auto" w:fill="B4C6E7" w:themeFill="accent5" w:themeFillTint="66"/>
            <w:hideMark/>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Upotreba podataka o transportnim troškovima i cenama ulaznica kod rekreacionih centara </w:t>
            </w:r>
          </w:p>
        </w:tc>
        <w:tc>
          <w:tcPr>
            <w:tcW w:w="1151" w:type="pct"/>
            <w:shd w:val="clear" w:color="auto" w:fill="B4C6E7" w:themeFill="accent5" w:themeFillTint="66"/>
            <w:hideMark/>
          </w:tcPr>
          <w:p w:rsidR="00196B04" w:rsidRPr="00CB44B6" w:rsidRDefault="00196B04" w:rsidP="00196B04">
            <w:pPr>
              <w:spacing w:after="0" w:line="240" w:lineRule="auto"/>
              <w:rPr>
                <w:rFonts w:ascii="Calibri" w:eastAsia="Times New Roman" w:hAnsi="Calibri" w:cs="Times New Roman"/>
                <w:sz w:val="14"/>
                <w:szCs w:val="14"/>
              </w:rPr>
            </w:pPr>
            <w:r>
              <w:rPr>
                <w:rFonts w:ascii="Calibri" w:eastAsia="Times New Roman" w:hAnsi="Calibri" w:cs="Times New Roman"/>
                <w:sz w:val="14"/>
                <w:szCs w:val="14"/>
              </w:rPr>
              <w:t xml:space="preserve">Rekreacione lokacije </w:t>
            </w:r>
          </w:p>
        </w:tc>
        <w:tc>
          <w:tcPr>
            <w:tcW w:w="582" w:type="pct"/>
            <w:shd w:val="clear" w:color="auto" w:fill="B4C6E7" w:themeFill="accent5" w:themeFillTint="66"/>
            <w:hideMark/>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Rekreacija </w:t>
            </w:r>
          </w:p>
        </w:tc>
        <w:tc>
          <w:tcPr>
            <w:tcW w:w="914" w:type="pct"/>
            <w:shd w:val="clear" w:color="auto" w:fill="B4C6E7" w:themeFill="accent5" w:themeFillTint="66"/>
            <w:hideMark/>
          </w:tcPr>
          <w:p w:rsidR="00196B04" w:rsidRDefault="00196B04" w:rsidP="00196B04">
            <w:pPr>
              <w:spacing w:after="0" w:line="240" w:lineRule="auto"/>
              <w:rPr>
                <w:rFonts w:ascii="Calibri" w:eastAsia="Times New Roman" w:hAnsi="Calibri" w:cs="Times New Roman"/>
                <w:sz w:val="14"/>
                <w:szCs w:val="14"/>
              </w:rPr>
            </w:pPr>
            <w:r w:rsidRPr="00C10A19">
              <w:rPr>
                <w:rFonts w:ascii="Calibri" w:eastAsia="Times New Roman" w:hAnsi="Calibri" w:cs="Times New Roman"/>
                <w:sz w:val="14"/>
                <w:szCs w:val="14"/>
              </w:rPr>
              <w:t xml:space="preserve">1.Tehnički zahtjevni </w:t>
            </w:r>
          </w:p>
          <w:p w:rsidR="00196B04" w:rsidRPr="00C10A19"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2. Ograničeni na rekreaciju </w:t>
            </w:r>
          </w:p>
        </w:tc>
        <w:tc>
          <w:tcPr>
            <w:tcW w:w="334" w:type="pct"/>
            <w:shd w:val="clear" w:color="auto" w:fill="B4C6E7" w:themeFill="accent5" w:themeFillTint="66"/>
            <w:hideMark/>
          </w:tcPr>
          <w:p w:rsidR="00196B04" w:rsidRPr="00CB44B6" w:rsidRDefault="00196B04" w:rsidP="00196B04">
            <w:pPr>
              <w:spacing w:after="0" w:line="240" w:lineRule="auto"/>
              <w:jc w:val="center"/>
              <w:rPr>
                <w:rFonts w:ascii="Calibri" w:eastAsia="Times New Roman" w:hAnsi="Calibri" w:cs="Times New Roman"/>
                <w:color w:val="000000"/>
                <w:sz w:val="14"/>
                <w:szCs w:val="14"/>
              </w:rPr>
            </w:pPr>
            <w:r w:rsidRPr="00CB44B6">
              <w:rPr>
                <w:rFonts w:ascii="Calibri" w:eastAsia="Times New Roman" w:hAnsi="Calibri" w:cs="Times New Roman"/>
                <w:color w:val="000000"/>
                <w:sz w:val="14"/>
                <w:szCs w:val="14"/>
              </w:rPr>
              <w:t>3</w:t>
            </w:r>
          </w:p>
        </w:tc>
      </w:tr>
      <w:tr w:rsidR="00196B04" w:rsidRPr="00CB44B6" w:rsidTr="002A0ECE">
        <w:trPr>
          <w:trHeight w:val="719"/>
        </w:trPr>
        <w:tc>
          <w:tcPr>
            <w:tcW w:w="851"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96B04" w:rsidRPr="00C10A19" w:rsidRDefault="00196B04" w:rsidP="00196B04">
            <w:pPr>
              <w:spacing w:after="0" w:line="240" w:lineRule="auto"/>
              <w:rPr>
                <w:rFonts w:ascii="Calibri" w:eastAsia="Times New Roman" w:hAnsi="Calibri" w:cs="Times New Roman"/>
                <w:sz w:val="14"/>
                <w:szCs w:val="14"/>
              </w:rPr>
            </w:pPr>
            <w:r>
              <w:rPr>
                <w:rFonts w:ascii="Calibri" w:eastAsia="Times New Roman" w:hAnsi="Calibri" w:cs="Times New Roman"/>
                <w:sz w:val="14"/>
                <w:szCs w:val="14"/>
              </w:rPr>
              <w:t xml:space="preserve">Contingent valuation </w:t>
            </w:r>
          </w:p>
        </w:tc>
        <w:tc>
          <w:tcPr>
            <w:tcW w:w="1168"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96B04" w:rsidRPr="00C10A19" w:rsidRDefault="00196B04" w:rsidP="00196B04">
            <w:pPr>
              <w:spacing w:after="0" w:line="240" w:lineRule="auto"/>
              <w:rPr>
                <w:rFonts w:ascii="Calibri" w:eastAsia="Times New Roman" w:hAnsi="Calibri" w:cs="Times New Roman"/>
                <w:sz w:val="14"/>
                <w:szCs w:val="14"/>
              </w:rPr>
            </w:pPr>
            <w:r>
              <w:rPr>
                <w:rFonts w:ascii="Calibri" w:eastAsia="Times New Roman" w:hAnsi="Calibri" w:cs="Times New Roman"/>
                <w:sz w:val="14"/>
                <w:szCs w:val="14"/>
              </w:rPr>
              <w:t xml:space="preserve">Putem anketa pitamo ljude da kažu njihovu spremnost da plate (WTP) za neku ES uslugu </w:t>
            </w:r>
          </w:p>
        </w:tc>
        <w:tc>
          <w:tcPr>
            <w:tcW w:w="1151"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96B04" w:rsidRPr="00CB44B6" w:rsidRDefault="00196B04" w:rsidP="00DC48C1">
            <w:pPr>
              <w:spacing w:after="0" w:line="240" w:lineRule="auto"/>
              <w:rPr>
                <w:rFonts w:ascii="Calibri" w:eastAsia="Times New Roman" w:hAnsi="Calibri" w:cs="Times New Roman"/>
                <w:sz w:val="14"/>
                <w:szCs w:val="14"/>
              </w:rPr>
            </w:pPr>
            <w:r>
              <w:rPr>
                <w:rFonts w:ascii="Calibri" w:eastAsia="Times New Roman" w:hAnsi="Calibri" w:cs="Times New Roman"/>
                <w:sz w:val="14"/>
                <w:szCs w:val="14"/>
              </w:rPr>
              <w:t xml:space="preserve">Sve ekološke uslge </w:t>
            </w:r>
          </w:p>
        </w:tc>
        <w:tc>
          <w:tcPr>
            <w:tcW w:w="582"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96B04" w:rsidRPr="00C10A19" w:rsidRDefault="00196B04" w:rsidP="00196B04">
            <w:pPr>
              <w:spacing w:after="0" w:line="240" w:lineRule="auto"/>
              <w:rPr>
                <w:rFonts w:ascii="Calibri" w:eastAsia="Times New Roman" w:hAnsi="Calibri" w:cs="Times New Roman"/>
                <w:sz w:val="14"/>
                <w:szCs w:val="14"/>
              </w:rPr>
            </w:pPr>
            <w:r>
              <w:rPr>
                <w:rFonts w:ascii="Calibri" w:eastAsia="Times New Roman" w:hAnsi="Calibri" w:cs="Times New Roman"/>
                <w:sz w:val="14"/>
                <w:szCs w:val="14"/>
              </w:rPr>
              <w:t xml:space="preserve">Koliko smo spremni da platimo za čist vazduh </w:t>
            </w:r>
          </w:p>
        </w:tc>
        <w:tc>
          <w:tcPr>
            <w:tcW w:w="914"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96B04" w:rsidRPr="00BF391A" w:rsidRDefault="00196B04" w:rsidP="00196B04">
            <w:pPr>
              <w:spacing w:after="0" w:line="240" w:lineRule="auto"/>
              <w:rPr>
                <w:rFonts w:ascii="Calibri" w:eastAsia="Times New Roman" w:hAnsi="Calibri" w:cs="Times New Roman"/>
                <w:sz w:val="14"/>
                <w:szCs w:val="14"/>
              </w:rPr>
            </w:pPr>
            <w:r w:rsidRPr="00BF391A">
              <w:rPr>
                <w:rFonts w:ascii="Calibri" w:eastAsia="Times New Roman" w:hAnsi="Calibri" w:cs="Times New Roman"/>
                <w:sz w:val="14"/>
                <w:szCs w:val="14"/>
              </w:rPr>
              <w:t xml:space="preserve">1. Tehnički komplikovani 2. Mogučnost strateškog ponašanja </w:t>
            </w:r>
          </w:p>
          <w:p w:rsidR="00196B04" w:rsidRPr="00BF391A" w:rsidRDefault="00196B04" w:rsidP="00196B04">
            <w:pPr>
              <w:rPr>
                <w:sz w:val="14"/>
                <w:szCs w:val="14"/>
              </w:rPr>
            </w:pPr>
            <w:r w:rsidRPr="00BF391A">
              <w:rPr>
                <w:sz w:val="14"/>
                <w:szCs w:val="14"/>
              </w:rPr>
              <w:t xml:space="preserve">3. skupi </w:t>
            </w:r>
          </w:p>
        </w:tc>
        <w:tc>
          <w:tcPr>
            <w:tcW w:w="334"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196B04" w:rsidRPr="00CB44B6" w:rsidRDefault="00196B04" w:rsidP="00196B04">
            <w:pPr>
              <w:spacing w:after="0" w:line="240" w:lineRule="auto"/>
              <w:jc w:val="center"/>
              <w:rPr>
                <w:rFonts w:ascii="Calibri" w:eastAsia="Times New Roman" w:hAnsi="Calibri" w:cs="Times New Roman"/>
                <w:color w:val="000000"/>
                <w:sz w:val="14"/>
                <w:szCs w:val="14"/>
              </w:rPr>
            </w:pPr>
            <w:r w:rsidRPr="00CB44B6">
              <w:rPr>
                <w:rFonts w:ascii="Calibri" w:eastAsia="Times New Roman" w:hAnsi="Calibri" w:cs="Times New Roman"/>
                <w:color w:val="000000"/>
                <w:sz w:val="14"/>
                <w:szCs w:val="14"/>
              </w:rPr>
              <w:t>3</w:t>
            </w:r>
          </w:p>
        </w:tc>
      </w:tr>
      <w:tr w:rsidR="00196B04" w:rsidRPr="00CB44B6" w:rsidTr="002A0ECE">
        <w:trPr>
          <w:trHeight w:val="935"/>
        </w:trPr>
        <w:tc>
          <w:tcPr>
            <w:tcW w:w="851" w:type="pct"/>
            <w:shd w:val="clear" w:color="auto" w:fill="F7CAAC" w:themeFill="accent2" w:themeFillTint="66"/>
            <w:hideMark/>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Modeliranje odluka </w:t>
            </w:r>
          </w:p>
        </w:tc>
        <w:tc>
          <w:tcPr>
            <w:tcW w:w="1168" w:type="pct"/>
            <w:shd w:val="clear" w:color="auto" w:fill="F7CAAC" w:themeFill="accent2" w:themeFillTint="66"/>
            <w:hideMark/>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Putem anketa ustanovljavamo koliko su ljudi drugih dobara sremni da zamene za ES dobro kako bi se utvrdila stvarna WTP </w:t>
            </w:r>
          </w:p>
        </w:tc>
        <w:tc>
          <w:tcPr>
            <w:tcW w:w="1151" w:type="pct"/>
            <w:shd w:val="clear" w:color="auto" w:fill="F7CAAC" w:themeFill="accent2" w:themeFillTint="66"/>
            <w:hideMark/>
          </w:tcPr>
          <w:p w:rsidR="00196B04" w:rsidRPr="00CB44B6" w:rsidRDefault="00196B04" w:rsidP="00196B04">
            <w:pPr>
              <w:spacing w:after="0" w:line="240" w:lineRule="auto"/>
              <w:rPr>
                <w:rFonts w:ascii="Calibri" w:eastAsia="Times New Roman" w:hAnsi="Calibri" w:cs="Times New Roman"/>
                <w:sz w:val="14"/>
                <w:szCs w:val="14"/>
              </w:rPr>
            </w:pPr>
            <w:r>
              <w:rPr>
                <w:rFonts w:ascii="Calibri" w:eastAsia="Times New Roman" w:hAnsi="Calibri" w:cs="Times New Roman"/>
                <w:sz w:val="14"/>
                <w:szCs w:val="14"/>
              </w:rPr>
              <w:t xml:space="preserve">Sve ekološke usluge </w:t>
            </w:r>
          </w:p>
        </w:tc>
        <w:tc>
          <w:tcPr>
            <w:tcW w:w="582" w:type="pct"/>
            <w:shd w:val="clear" w:color="auto" w:fill="F7CAAC" w:themeFill="accent2" w:themeFillTint="66"/>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Koliko smo spremni da platimo za dječje dvorište a koliko za parking </w:t>
            </w:r>
          </w:p>
        </w:tc>
        <w:tc>
          <w:tcPr>
            <w:tcW w:w="914" w:type="pct"/>
            <w:shd w:val="clear" w:color="auto" w:fill="F7CAAC" w:themeFill="accent2" w:themeFillTint="66"/>
            <w:hideMark/>
          </w:tcPr>
          <w:p w:rsidR="00196B04" w:rsidRDefault="00196B04" w:rsidP="00196B04">
            <w:pPr>
              <w:spacing w:after="0" w:line="240" w:lineRule="auto"/>
              <w:rPr>
                <w:rFonts w:ascii="Calibri" w:eastAsia="Times New Roman" w:hAnsi="Calibri" w:cs="Times New Roman"/>
                <w:sz w:val="14"/>
                <w:szCs w:val="14"/>
              </w:rPr>
            </w:pPr>
            <w:r>
              <w:rPr>
                <w:rFonts w:ascii="Calibri" w:eastAsia="Times New Roman" w:hAnsi="Calibri" w:cs="Times New Roman"/>
                <w:sz w:val="14"/>
                <w:szCs w:val="14"/>
              </w:rPr>
              <w:t xml:space="preserve">1. Tehnički zahtjevni </w:t>
            </w:r>
          </w:p>
          <w:p w:rsidR="00196B04" w:rsidRDefault="00196B04" w:rsidP="00196B04">
            <w:pPr>
              <w:spacing w:after="0" w:line="240" w:lineRule="auto"/>
              <w:rPr>
                <w:rFonts w:ascii="Calibri" w:eastAsia="Times New Roman" w:hAnsi="Calibri" w:cs="Times New Roman"/>
                <w:sz w:val="14"/>
                <w:szCs w:val="14"/>
              </w:rPr>
            </w:pPr>
            <w:r>
              <w:rPr>
                <w:rFonts w:ascii="Calibri" w:eastAsia="Times New Roman" w:hAnsi="Calibri" w:cs="Times New Roman"/>
                <w:sz w:val="14"/>
                <w:szCs w:val="14"/>
              </w:rPr>
              <w:t xml:space="preserve">2. Skupi </w:t>
            </w:r>
          </w:p>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3. Mogučnost pristrasnosti I ovde postoji </w:t>
            </w:r>
          </w:p>
        </w:tc>
        <w:tc>
          <w:tcPr>
            <w:tcW w:w="334" w:type="pct"/>
            <w:shd w:val="clear" w:color="auto" w:fill="F7CAAC" w:themeFill="accent2" w:themeFillTint="66"/>
            <w:hideMark/>
          </w:tcPr>
          <w:p w:rsidR="00196B04" w:rsidRPr="00CB44B6" w:rsidRDefault="00196B04" w:rsidP="00196B04">
            <w:pPr>
              <w:spacing w:after="0" w:line="240" w:lineRule="auto"/>
              <w:jc w:val="center"/>
              <w:rPr>
                <w:rFonts w:ascii="Calibri" w:eastAsia="Times New Roman" w:hAnsi="Calibri" w:cs="Times New Roman"/>
                <w:color w:val="000000"/>
                <w:sz w:val="14"/>
                <w:szCs w:val="14"/>
              </w:rPr>
            </w:pPr>
            <w:r w:rsidRPr="00CB44B6">
              <w:rPr>
                <w:rFonts w:ascii="Calibri" w:eastAsia="Times New Roman" w:hAnsi="Calibri" w:cs="Times New Roman"/>
                <w:color w:val="000000"/>
                <w:sz w:val="14"/>
                <w:szCs w:val="14"/>
              </w:rPr>
              <w:t>3</w:t>
            </w:r>
          </w:p>
        </w:tc>
      </w:tr>
      <w:tr w:rsidR="00196B04" w:rsidRPr="00CB44B6" w:rsidTr="002A0ECE">
        <w:trPr>
          <w:trHeight w:val="575"/>
        </w:trPr>
        <w:tc>
          <w:tcPr>
            <w:tcW w:w="851" w:type="pct"/>
            <w:shd w:val="clear" w:color="auto" w:fill="F7CAAC" w:themeFill="accent2" w:themeFillTint="66"/>
            <w:hideMark/>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Grupno – participativno vrednovanje </w:t>
            </w:r>
          </w:p>
        </w:tc>
        <w:tc>
          <w:tcPr>
            <w:tcW w:w="1168" w:type="pct"/>
            <w:shd w:val="clear" w:color="auto" w:fill="F7CAAC" w:themeFill="accent2" w:themeFillTint="66"/>
            <w:hideMark/>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Kroz grupnu diskusiju Sve grupe stakeholder ustanovljavaju svoju WTP </w:t>
            </w:r>
          </w:p>
        </w:tc>
        <w:tc>
          <w:tcPr>
            <w:tcW w:w="1151" w:type="pct"/>
            <w:shd w:val="clear" w:color="auto" w:fill="F7CAAC" w:themeFill="accent2" w:themeFillTint="66"/>
            <w:hideMark/>
          </w:tcPr>
          <w:p w:rsidR="00196B04" w:rsidRPr="00CB44B6" w:rsidRDefault="00196B04" w:rsidP="00196B04">
            <w:pPr>
              <w:spacing w:after="0" w:line="240" w:lineRule="auto"/>
              <w:rPr>
                <w:rFonts w:ascii="Calibri" w:eastAsia="Times New Roman" w:hAnsi="Calibri" w:cs="Times New Roman"/>
                <w:sz w:val="14"/>
                <w:szCs w:val="14"/>
              </w:rPr>
            </w:pPr>
            <w:r>
              <w:rPr>
                <w:rFonts w:ascii="Calibri" w:eastAsia="Times New Roman" w:hAnsi="Calibri" w:cs="Times New Roman"/>
                <w:sz w:val="14"/>
                <w:szCs w:val="14"/>
              </w:rPr>
              <w:t xml:space="preserve">Sve ekološke usluge </w:t>
            </w:r>
          </w:p>
        </w:tc>
        <w:tc>
          <w:tcPr>
            <w:tcW w:w="582" w:type="pct"/>
            <w:shd w:val="clear" w:color="auto" w:fill="F7CAAC" w:themeFill="accent2" w:themeFillTint="66"/>
            <w:hideMark/>
          </w:tcPr>
          <w:p w:rsidR="00196B04" w:rsidRPr="00CB44B6" w:rsidRDefault="00196B04" w:rsidP="00196B04">
            <w:pPr>
              <w:spacing w:after="0" w:line="240" w:lineRule="auto"/>
              <w:rPr>
                <w:rFonts w:ascii="Times New Roman" w:eastAsia="Times New Roman" w:hAnsi="Times New Roman" w:cs="Times New Roman"/>
                <w:color w:val="000000"/>
                <w:sz w:val="14"/>
                <w:szCs w:val="14"/>
              </w:rPr>
            </w:pPr>
            <w:r>
              <w:rPr>
                <w:rFonts w:ascii="Calibri" w:eastAsia="Times New Roman" w:hAnsi="Calibri" w:cs="Times New Roman"/>
                <w:sz w:val="14"/>
                <w:szCs w:val="14"/>
              </w:rPr>
              <w:t xml:space="preserve">Kvalitet vode </w:t>
            </w:r>
          </w:p>
        </w:tc>
        <w:tc>
          <w:tcPr>
            <w:tcW w:w="914" w:type="pct"/>
            <w:shd w:val="clear" w:color="auto" w:fill="F7CAAC" w:themeFill="accent2" w:themeFillTint="66"/>
            <w:hideMark/>
          </w:tcPr>
          <w:p w:rsidR="00196B04" w:rsidRPr="00CB44B6" w:rsidRDefault="00196B04" w:rsidP="00196B04">
            <w:pPr>
              <w:spacing w:after="0" w:line="240" w:lineRule="auto"/>
              <w:rPr>
                <w:rFonts w:ascii="Calibri" w:eastAsia="Times New Roman" w:hAnsi="Calibri" w:cs="Times New Roman"/>
                <w:sz w:val="14"/>
                <w:szCs w:val="14"/>
              </w:rPr>
            </w:pPr>
            <w:r w:rsidRPr="00CB44B6">
              <w:rPr>
                <w:rFonts w:ascii="Calibri" w:eastAsia="Times New Roman" w:hAnsi="Calibri" w:cs="Times New Roman"/>
                <w:sz w:val="14"/>
                <w:szCs w:val="14"/>
              </w:rPr>
              <w:t>Prone to biases due to group dynamics</w:t>
            </w:r>
          </w:p>
        </w:tc>
        <w:tc>
          <w:tcPr>
            <w:tcW w:w="334" w:type="pct"/>
            <w:shd w:val="clear" w:color="auto" w:fill="F7CAAC" w:themeFill="accent2" w:themeFillTint="66"/>
            <w:hideMark/>
          </w:tcPr>
          <w:p w:rsidR="00196B04" w:rsidRPr="00CB44B6" w:rsidRDefault="00196B04" w:rsidP="00196B04">
            <w:pPr>
              <w:spacing w:after="0" w:line="240" w:lineRule="auto"/>
              <w:jc w:val="center"/>
              <w:rPr>
                <w:rFonts w:ascii="Calibri" w:eastAsia="Times New Roman" w:hAnsi="Calibri" w:cs="Times New Roman"/>
                <w:color w:val="000000"/>
                <w:sz w:val="14"/>
                <w:szCs w:val="14"/>
              </w:rPr>
            </w:pPr>
            <w:r w:rsidRPr="00CB44B6">
              <w:rPr>
                <w:rFonts w:ascii="Calibri" w:eastAsia="Times New Roman" w:hAnsi="Calibri" w:cs="Times New Roman"/>
                <w:color w:val="000000"/>
                <w:sz w:val="14"/>
                <w:szCs w:val="14"/>
              </w:rPr>
              <w:t>3</w:t>
            </w:r>
          </w:p>
        </w:tc>
      </w:tr>
    </w:tbl>
    <w:p w:rsidR="00BB5583" w:rsidRPr="00BB3C1D" w:rsidRDefault="00BB3C1D" w:rsidP="00BB3C1D">
      <w:pPr>
        <w:spacing w:line="240" w:lineRule="auto"/>
        <w:jc w:val="both"/>
        <w:rPr>
          <w:sz w:val="20"/>
          <w:szCs w:val="20"/>
        </w:rPr>
      </w:pPr>
      <w:r w:rsidRPr="00BB3C1D">
        <w:rPr>
          <w:sz w:val="20"/>
          <w:szCs w:val="20"/>
        </w:rPr>
        <w:t xml:space="preserve">Izvor: </w:t>
      </w:r>
      <w:r>
        <w:rPr>
          <w:sz w:val="20"/>
          <w:szCs w:val="20"/>
        </w:rPr>
        <w:t>Brander and van Beukering</w:t>
      </w:r>
      <w:r w:rsidR="00592719">
        <w:rPr>
          <w:sz w:val="20"/>
          <w:szCs w:val="20"/>
        </w:rPr>
        <w:t xml:space="preserve"> (2016). </w:t>
      </w:r>
    </w:p>
    <w:p w:rsidR="003B56E7" w:rsidRDefault="002E7E79" w:rsidP="0045356D">
      <w:pPr>
        <w:spacing w:line="276" w:lineRule="auto"/>
        <w:jc w:val="both"/>
      </w:pPr>
      <w:r>
        <w:t>Stated (izjavljene) preference</w:t>
      </w:r>
      <w:r w:rsidRPr="005B7565">
        <w:t xml:space="preserve"> metode</w:t>
      </w:r>
      <w:r>
        <w:t>,</w:t>
      </w:r>
      <w:r w:rsidRPr="005B7565">
        <w:t xml:space="preserve"> s druge strane</w:t>
      </w:r>
      <w:r>
        <w:t>, se oslanjaju</w:t>
      </w:r>
      <w:r w:rsidRPr="005B7565">
        <w:t>na odg</w:t>
      </w:r>
      <w:r>
        <w:t xml:space="preserve">ovore zabilježene u anketama, intervijuima i slično ili, u posljednje vrijeme sve češće, preko istraživanja u ekonomskim eksperimentima. </w:t>
      </w:r>
      <w:r>
        <w:lastRenderedPageBreak/>
        <w:t xml:space="preserve">Riječ je o novoj generaciji istraživanja razvijenoj zahvaljujući razvoju bihevioralne (kognitivne) ekonomije. Očito je da se, usled načina na koji se ovdje dolazi do podataka, ovaj način evaliacije može primjenjivati na mnogo širem skupu ekoloških usluga. S druge strane usled teorijske osnove na kojima su ova istraživanja zasnovana postoji i mogućnost njihove daleko šire interpretacije. </w:t>
      </w:r>
    </w:p>
    <w:p w:rsidR="003B56E7" w:rsidRDefault="003B56E7" w:rsidP="003B56E7">
      <w:pPr>
        <w:tabs>
          <w:tab w:val="left" w:pos="1896"/>
        </w:tabs>
        <w:spacing w:after="0" w:line="276" w:lineRule="auto"/>
      </w:pPr>
      <w:r>
        <w:tab/>
        <w:t xml:space="preserve">Tabla </w:t>
      </w:r>
      <w:r w:rsidR="00D5582C">
        <w:t xml:space="preserve">5. </w:t>
      </w:r>
      <w:r w:rsidR="009C7CD0" w:rsidRPr="006243C5">
        <w:t>3</w:t>
      </w:r>
      <w:r>
        <w:t xml:space="preserve">: Metodi vrednovanja ekoloških usluga </w:t>
      </w:r>
    </w:p>
    <w:tbl>
      <w:tblPr>
        <w:tblW w:w="5935" w:type="dxa"/>
        <w:jc w:val="center"/>
        <w:shd w:val="clear" w:color="auto" w:fill="FFFFFF" w:themeFill="background1"/>
        <w:tblLook w:val="04A0"/>
      </w:tblPr>
      <w:tblGrid>
        <w:gridCol w:w="5935"/>
      </w:tblGrid>
      <w:tr w:rsidR="0041112E" w:rsidRPr="0096665F" w:rsidTr="0096665F">
        <w:trPr>
          <w:trHeight w:val="288"/>
          <w:jc w:val="center"/>
        </w:trPr>
        <w:tc>
          <w:tcPr>
            <w:tcW w:w="5935" w:type="dxa"/>
            <w:tcBorders>
              <w:top w:val="single" w:sz="4" w:space="0" w:color="000000"/>
              <w:left w:val="single" w:sz="4" w:space="0" w:color="000000"/>
              <w:bottom w:val="single" w:sz="4" w:space="0" w:color="000000"/>
              <w:right w:val="single" w:sz="4" w:space="0" w:color="000000"/>
            </w:tcBorders>
            <w:shd w:val="clear" w:color="auto" w:fill="A5A5A5" w:themeFill="accent3"/>
            <w:hideMark/>
          </w:tcPr>
          <w:p w:rsidR="0041112E" w:rsidRPr="0096665F" w:rsidRDefault="00F65597" w:rsidP="00272C10">
            <w:pPr>
              <w:pStyle w:val="ListParagraph"/>
              <w:numPr>
                <w:ilvl w:val="0"/>
                <w:numId w:val="1"/>
              </w:numPr>
              <w:spacing w:after="0" w:line="240" w:lineRule="auto"/>
              <w:rPr>
                <w:rFonts w:ascii="Calibri" w:eastAsia="Times New Roman" w:hAnsi="Calibri" w:cs="Times New Roman"/>
                <w:b/>
                <w:bCs/>
                <w:sz w:val="20"/>
                <w:szCs w:val="20"/>
              </w:rPr>
            </w:pPr>
            <w:r w:rsidRPr="0096665F">
              <w:rPr>
                <w:rFonts w:ascii="Calibri" w:eastAsia="Times New Roman" w:hAnsi="Calibri" w:cs="Times New Roman"/>
                <w:b/>
                <w:bCs/>
                <w:sz w:val="20"/>
                <w:szCs w:val="20"/>
              </w:rPr>
              <w:t xml:space="preserve">TRŽIŠNI </w:t>
            </w:r>
          </w:p>
        </w:tc>
      </w:tr>
      <w:tr w:rsidR="0041112E" w:rsidRPr="0096665F" w:rsidTr="0096665F">
        <w:trPr>
          <w:trHeight w:val="288"/>
          <w:jc w:val="center"/>
        </w:trPr>
        <w:tc>
          <w:tcPr>
            <w:tcW w:w="59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hideMark/>
          </w:tcPr>
          <w:p w:rsidR="0041112E" w:rsidRPr="0096665F" w:rsidRDefault="00F65597" w:rsidP="003514B1">
            <w:pPr>
              <w:spacing w:after="0" w:line="240" w:lineRule="auto"/>
              <w:rPr>
                <w:rFonts w:ascii="Calibri" w:eastAsia="Times New Roman" w:hAnsi="Calibri" w:cs="Times New Roman"/>
                <w:sz w:val="20"/>
                <w:szCs w:val="20"/>
              </w:rPr>
            </w:pPr>
            <w:r w:rsidRPr="0096665F">
              <w:rPr>
                <w:rFonts w:ascii="Calibri" w:eastAsia="Times New Roman" w:hAnsi="Calibri" w:cs="Times New Roman"/>
                <w:sz w:val="20"/>
                <w:szCs w:val="20"/>
              </w:rPr>
              <w:t>Tržišne cijene ES usluga</w:t>
            </w:r>
          </w:p>
          <w:p w:rsidR="00F65597" w:rsidRPr="0096665F" w:rsidRDefault="00F65597" w:rsidP="00F65597">
            <w:pPr>
              <w:spacing w:after="0" w:line="240" w:lineRule="auto"/>
              <w:rPr>
                <w:rFonts w:ascii="Calibri" w:eastAsia="Times New Roman" w:hAnsi="Calibri" w:cs="Times New Roman"/>
                <w:sz w:val="20"/>
                <w:szCs w:val="20"/>
              </w:rPr>
            </w:pPr>
            <w:r w:rsidRPr="0096665F">
              <w:rPr>
                <w:rFonts w:ascii="Calibri" w:eastAsia="Times New Roman" w:hAnsi="Calibri" w:cs="Times New Roman"/>
                <w:sz w:val="20"/>
                <w:szCs w:val="20"/>
              </w:rPr>
              <w:t xml:space="preserve">Cijene substituta </w:t>
            </w:r>
          </w:p>
          <w:p w:rsidR="0041112E" w:rsidRPr="0096665F" w:rsidRDefault="00F65597" w:rsidP="00F65597">
            <w:pPr>
              <w:spacing w:after="0" w:line="240" w:lineRule="auto"/>
              <w:rPr>
                <w:rFonts w:ascii="Times New Roman" w:eastAsia="Times New Roman" w:hAnsi="Times New Roman" w:cs="Times New Roman"/>
                <w:color w:val="000000"/>
                <w:sz w:val="20"/>
                <w:szCs w:val="20"/>
              </w:rPr>
            </w:pPr>
            <w:r w:rsidRPr="0096665F">
              <w:rPr>
                <w:rFonts w:ascii="Calibri" w:eastAsia="Times New Roman" w:hAnsi="Calibri" w:cs="Times New Roman"/>
                <w:sz w:val="20"/>
                <w:szCs w:val="20"/>
              </w:rPr>
              <w:t xml:space="preserve">Metod neto prihoda </w:t>
            </w:r>
          </w:p>
        </w:tc>
      </w:tr>
      <w:tr w:rsidR="0041112E" w:rsidRPr="0096665F" w:rsidTr="0096665F">
        <w:trPr>
          <w:trHeight w:val="288"/>
          <w:jc w:val="center"/>
        </w:trPr>
        <w:tc>
          <w:tcPr>
            <w:tcW w:w="5935" w:type="dxa"/>
            <w:tcBorders>
              <w:top w:val="single" w:sz="4" w:space="0" w:color="000000"/>
              <w:left w:val="single" w:sz="4" w:space="0" w:color="000000"/>
              <w:bottom w:val="single" w:sz="4" w:space="0" w:color="000000"/>
              <w:right w:val="single" w:sz="4" w:space="0" w:color="000000"/>
            </w:tcBorders>
            <w:shd w:val="clear" w:color="auto" w:fill="A5A5A5" w:themeFill="accent3"/>
            <w:hideMark/>
          </w:tcPr>
          <w:p w:rsidR="0041112E" w:rsidRPr="0096665F" w:rsidRDefault="00F65597" w:rsidP="00272C10">
            <w:pPr>
              <w:pStyle w:val="ListParagraph"/>
              <w:numPr>
                <w:ilvl w:val="0"/>
                <w:numId w:val="1"/>
              </w:numPr>
              <w:spacing w:after="0" w:line="240" w:lineRule="auto"/>
              <w:rPr>
                <w:rFonts w:ascii="Calibri" w:eastAsia="Times New Roman" w:hAnsi="Calibri" w:cs="Times New Roman"/>
                <w:b/>
                <w:bCs/>
                <w:sz w:val="20"/>
                <w:szCs w:val="20"/>
              </w:rPr>
            </w:pPr>
            <w:r w:rsidRPr="0096665F">
              <w:rPr>
                <w:rFonts w:ascii="Calibri" w:eastAsia="Times New Roman" w:hAnsi="Calibri" w:cs="Times New Roman"/>
                <w:b/>
                <w:bCs/>
                <w:sz w:val="20"/>
                <w:szCs w:val="20"/>
              </w:rPr>
              <w:t xml:space="preserve">TROŠKOVNI METODI </w:t>
            </w:r>
          </w:p>
        </w:tc>
      </w:tr>
      <w:tr w:rsidR="0041112E" w:rsidRPr="0096665F" w:rsidTr="0096665F">
        <w:trPr>
          <w:trHeight w:val="288"/>
          <w:jc w:val="center"/>
        </w:trPr>
        <w:tc>
          <w:tcPr>
            <w:tcW w:w="59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hideMark/>
          </w:tcPr>
          <w:p w:rsidR="0041112E" w:rsidRPr="0096665F" w:rsidRDefault="00F65597" w:rsidP="003514B1">
            <w:pPr>
              <w:spacing w:after="0" w:line="240" w:lineRule="auto"/>
              <w:rPr>
                <w:rFonts w:ascii="Calibri" w:eastAsia="Times New Roman" w:hAnsi="Calibri" w:cs="Times New Roman"/>
                <w:sz w:val="20"/>
                <w:szCs w:val="20"/>
              </w:rPr>
            </w:pPr>
            <w:r w:rsidRPr="0096665F">
              <w:rPr>
                <w:rFonts w:ascii="Calibri" w:eastAsia="Times New Roman" w:hAnsi="Calibri" w:cs="Times New Roman"/>
                <w:sz w:val="20"/>
                <w:szCs w:val="20"/>
              </w:rPr>
              <w:t xml:space="preserve">Izbegnuti troškovi </w:t>
            </w:r>
          </w:p>
          <w:p w:rsidR="0041112E" w:rsidRPr="0096665F" w:rsidRDefault="00F65597" w:rsidP="003514B1">
            <w:pPr>
              <w:spacing w:after="0" w:line="240" w:lineRule="auto"/>
              <w:rPr>
                <w:rFonts w:ascii="Calibri" w:eastAsia="Times New Roman" w:hAnsi="Calibri" w:cs="Times New Roman"/>
                <w:sz w:val="20"/>
                <w:szCs w:val="20"/>
              </w:rPr>
            </w:pPr>
            <w:r w:rsidRPr="0096665F">
              <w:rPr>
                <w:rFonts w:ascii="Calibri" w:eastAsia="Times New Roman" w:hAnsi="Calibri" w:cs="Times New Roman"/>
                <w:sz w:val="20"/>
                <w:szCs w:val="20"/>
              </w:rPr>
              <w:t xml:space="preserve">Troškovi konzerviranja </w:t>
            </w:r>
          </w:p>
          <w:p w:rsidR="0041112E" w:rsidRPr="0096665F" w:rsidRDefault="00F65597" w:rsidP="003514B1">
            <w:pPr>
              <w:spacing w:after="0" w:line="240" w:lineRule="auto"/>
              <w:rPr>
                <w:rFonts w:ascii="Calibri" w:eastAsia="Times New Roman" w:hAnsi="Calibri" w:cs="Times New Roman"/>
                <w:sz w:val="20"/>
                <w:szCs w:val="20"/>
              </w:rPr>
            </w:pPr>
            <w:r w:rsidRPr="0096665F">
              <w:rPr>
                <w:rFonts w:ascii="Calibri" w:eastAsia="Times New Roman" w:hAnsi="Calibri" w:cs="Times New Roman"/>
                <w:sz w:val="20"/>
                <w:szCs w:val="20"/>
              </w:rPr>
              <w:t xml:space="preserve">Troškovi šteta </w:t>
            </w:r>
          </w:p>
          <w:p w:rsidR="0041112E" w:rsidRPr="0096665F" w:rsidRDefault="00F65597" w:rsidP="003514B1">
            <w:pPr>
              <w:spacing w:after="0" w:line="240" w:lineRule="auto"/>
              <w:rPr>
                <w:rFonts w:ascii="Calibri" w:eastAsia="Times New Roman" w:hAnsi="Calibri" w:cs="Times New Roman"/>
                <w:sz w:val="20"/>
                <w:szCs w:val="20"/>
              </w:rPr>
            </w:pPr>
            <w:r w:rsidRPr="0096665F">
              <w:rPr>
                <w:rFonts w:ascii="Calibri" w:eastAsia="Times New Roman" w:hAnsi="Calibri" w:cs="Times New Roman"/>
                <w:sz w:val="20"/>
                <w:szCs w:val="20"/>
              </w:rPr>
              <w:t xml:space="preserve">Troškovi smanjenja šteta </w:t>
            </w:r>
          </w:p>
          <w:p w:rsidR="0041112E" w:rsidRPr="0096665F" w:rsidRDefault="00F65597" w:rsidP="003514B1">
            <w:pPr>
              <w:spacing w:after="0" w:line="240" w:lineRule="auto"/>
              <w:rPr>
                <w:rFonts w:ascii="Calibri" w:eastAsia="Times New Roman" w:hAnsi="Calibri" w:cs="Times New Roman"/>
                <w:sz w:val="20"/>
                <w:szCs w:val="20"/>
              </w:rPr>
            </w:pPr>
            <w:r w:rsidRPr="0096665F">
              <w:rPr>
                <w:rFonts w:ascii="Calibri" w:eastAsia="Times New Roman" w:hAnsi="Calibri" w:cs="Times New Roman"/>
                <w:sz w:val="20"/>
                <w:szCs w:val="20"/>
              </w:rPr>
              <w:t xml:space="preserve">Oportunitetni troškovi </w:t>
            </w:r>
          </w:p>
          <w:p w:rsidR="0041112E" w:rsidRPr="0096665F" w:rsidRDefault="00F65597" w:rsidP="003514B1">
            <w:pPr>
              <w:spacing w:after="0" w:line="240" w:lineRule="auto"/>
              <w:rPr>
                <w:rFonts w:ascii="Calibri" w:eastAsia="Times New Roman" w:hAnsi="Calibri" w:cs="Times New Roman"/>
                <w:sz w:val="20"/>
                <w:szCs w:val="20"/>
              </w:rPr>
            </w:pPr>
            <w:r w:rsidRPr="0096665F">
              <w:rPr>
                <w:rFonts w:ascii="Calibri" w:eastAsia="Times New Roman" w:hAnsi="Calibri" w:cs="Times New Roman"/>
                <w:sz w:val="20"/>
                <w:szCs w:val="20"/>
              </w:rPr>
              <w:t xml:space="preserve">Troškovi zamjene </w:t>
            </w:r>
          </w:p>
          <w:p w:rsidR="0041112E" w:rsidRPr="0096665F" w:rsidRDefault="00F65597" w:rsidP="003514B1">
            <w:pPr>
              <w:spacing w:after="0" w:line="240" w:lineRule="auto"/>
              <w:rPr>
                <w:rFonts w:ascii="Calibri" w:eastAsia="Times New Roman" w:hAnsi="Calibri" w:cs="Times New Roman"/>
                <w:sz w:val="20"/>
                <w:szCs w:val="20"/>
              </w:rPr>
            </w:pPr>
            <w:r w:rsidRPr="0096665F">
              <w:rPr>
                <w:rFonts w:ascii="Calibri" w:eastAsia="Times New Roman" w:hAnsi="Calibri" w:cs="Times New Roman"/>
                <w:sz w:val="20"/>
                <w:szCs w:val="20"/>
              </w:rPr>
              <w:t xml:space="preserve">Troškovi restauriranja </w:t>
            </w:r>
          </w:p>
        </w:tc>
      </w:tr>
      <w:tr w:rsidR="0041112E" w:rsidRPr="0096665F" w:rsidTr="0096665F">
        <w:trPr>
          <w:trHeight w:val="288"/>
          <w:jc w:val="center"/>
        </w:trPr>
        <w:tc>
          <w:tcPr>
            <w:tcW w:w="5935" w:type="dxa"/>
            <w:tcBorders>
              <w:top w:val="single" w:sz="4" w:space="0" w:color="000000"/>
              <w:left w:val="single" w:sz="4" w:space="0" w:color="000000"/>
              <w:bottom w:val="single" w:sz="4" w:space="0" w:color="000000"/>
              <w:right w:val="single" w:sz="4" w:space="0" w:color="000000"/>
            </w:tcBorders>
            <w:shd w:val="clear" w:color="auto" w:fill="A5A5A5" w:themeFill="accent3"/>
            <w:hideMark/>
          </w:tcPr>
          <w:p w:rsidR="0041112E" w:rsidRPr="0096665F" w:rsidRDefault="006932CD" w:rsidP="00272C10">
            <w:pPr>
              <w:pStyle w:val="ListParagraph"/>
              <w:numPr>
                <w:ilvl w:val="0"/>
                <w:numId w:val="1"/>
              </w:numPr>
              <w:spacing w:after="0" w:line="240" w:lineRule="auto"/>
              <w:rPr>
                <w:rFonts w:ascii="Calibri" w:eastAsia="Times New Roman" w:hAnsi="Calibri" w:cs="Times New Roman"/>
                <w:b/>
                <w:bCs/>
                <w:sz w:val="20"/>
                <w:szCs w:val="20"/>
              </w:rPr>
            </w:pPr>
            <w:r w:rsidRPr="0096665F">
              <w:rPr>
                <w:rFonts w:ascii="Calibri" w:eastAsia="Times New Roman" w:hAnsi="Calibri" w:cs="Times New Roman"/>
                <w:b/>
                <w:bCs/>
                <w:sz w:val="20"/>
                <w:szCs w:val="20"/>
              </w:rPr>
              <w:t xml:space="preserve">PRIZVODNI METOD </w:t>
            </w:r>
          </w:p>
        </w:tc>
      </w:tr>
      <w:tr w:rsidR="0041112E" w:rsidRPr="0096665F" w:rsidTr="0096665F">
        <w:trPr>
          <w:trHeight w:val="288"/>
          <w:jc w:val="center"/>
        </w:trPr>
        <w:tc>
          <w:tcPr>
            <w:tcW w:w="59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hideMark/>
          </w:tcPr>
          <w:p w:rsidR="006932CD" w:rsidRPr="0096665F" w:rsidRDefault="006932CD" w:rsidP="003514B1">
            <w:pPr>
              <w:spacing w:after="0" w:line="240" w:lineRule="auto"/>
              <w:rPr>
                <w:rFonts w:ascii="Calibri" w:eastAsia="Times New Roman" w:hAnsi="Calibri" w:cs="Times New Roman"/>
                <w:sz w:val="20"/>
                <w:szCs w:val="20"/>
              </w:rPr>
            </w:pPr>
            <w:r w:rsidRPr="0096665F">
              <w:rPr>
                <w:rFonts w:ascii="Calibri" w:eastAsia="Times New Roman" w:hAnsi="Calibri" w:cs="Times New Roman"/>
                <w:sz w:val="20"/>
                <w:szCs w:val="20"/>
              </w:rPr>
              <w:t xml:space="preserve">Bio-ekonomski modeli </w:t>
            </w:r>
          </w:p>
          <w:p w:rsidR="004C45E9" w:rsidRPr="0096665F" w:rsidRDefault="006932CD" w:rsidP="003514B1">
            <w:pPr>
              <w:spacing w:after="0" w:line="240" w:lineRule="auto"/>
              <w:rPr>
                <w:rFonts w:ascii="Calibri" w:eastAsia="Times New Roman" w:hAnsi="Calibri" w:cs="Times New Roman"/>
                <w:sz w:val="20"/>
                <w:szCs w:val="20"/>
              </w:rPr>
            </w:pPr>
            <w:r w:rsidRPr="0096665F">
              <w:rPr>
                <w:rFonts w:ascii="Calibri" w:eastAsia="Times New Roman" w:hAnsi="Calibri" w:cs="Times New Roman"/>
                <w:sz w:val="20"/>
                <w:szCs w:val="20"/>
              </w:rPr>
              <w:t xml:space="preserve">Metod faktorskih prihoda </w:t>
            </w:r>
          </w:p>
          <w:p w:rsidR="0041112E" w:rsidRPr="0096665F" w:rsidRDefault="006932CD" w:rsidP="003514B1">
            <w:pPr>
              <w:spacing w:after="0" w:line="240" w:lineRule="auto"/>
              <w:rPr>
                <w:rFonts w:ascii="Times New Roman" w:eastAsia="Times New Roman" w:hAnsi="Times New Roman" w:cs="Times New Roman"/>
                <w:color w:val="000000"/>
                <w:sz w:val="20"/>
                <w:szCs w:val="20"/>
              </w:rPr>
            </w:pPr>
            <w:r w:rsidRPr="0096665F">
              <w:rPr>
                <w:rFonts w:ascii="Calibri" w:eastAsia="Times New Roman" w:hAnsi="Calibri" w:cs="Times New Roman"/>
                <w:sz w:val="20"/>
                <w:szCs w:val="20"/>
              </w:rPr>
              <w:t xml:space="preserve">Proizvodna funkcija </w:t>
            </w:r>
          </w:p>
        </w:tc>
      </w:tr>
      <w:tr w:rsidR="0041112E" w:rsidRPr="0096665F" w:rsidTr="0096665F">
        <w:trPr>
          <w:trHeight w:val="288"/>
          <w:jc w:val="center"/>
        </w:trPr>
        <w:tc>
          <w:tcPr>
            <w:tcW w:w="5935" w:type="dxa"/>
            <w:tcBorders>
              <w:top w:val="single" w:sz="4" w:space="0" w:color="000000"/>
              <w:left w:val="single" w:sz="4" w:space="0" w:color="000000"/>
              <w:bottom w:val="single" w:sz="4" w:space="0" w:color="000000"/>
              <w:right w:val="single" w:sz="4" w:space="0" w:color="000000"/>
            </w:tcBorders>
            <w:shd w:val="clear" w:color="auto" w:fill="A5A5A5" w:themeFill="accent3"/>
            <w:hideMark/>
          </w:tcPr>
          <w:p w:rsidR="0041112E" w:rsidRPr="0096665F" w:rsidRDefault="006932CD" w:rsidP="00272C10">
            <w:pPr>
              <w:pStyle w:val="ListParagraph"/>
              <w:numPr>
                <w:ilvl w:val="0"/>
                <w:numId w:val="1"/>
              </w:numPr>
              <w:spacing w:after="0" w:line="240" w:lineRule="auto"/>
              <w:rPr>
                <w:rFonts w:ascii="Calibri" w:eastAsia="Times New Roman" w:hAnsi="Calibri" w:cs="Times New Roman"/>
                <w:b/>
                <w:bCs/>
                <w:sz w:val="20"/>
                <w:szCs w:val="20"/>
              </w:rPr>
            </w:pPr>
            <w:r w:rsidRPr="0096665F">
              <w:rPr>
                <w:rFonts w:ascii="Calibri" w:eastAsia="Times New Roman" w:hAnsi="Calibri" w:cs="Times New Roman"/>
                <w:b/>
                <w:bCs/>
                <w:sz w:val="20"/>
                <w:szCs w:val="20"/>
              </w:rPr>
              <w:t xml:space="preserve">REVEALED (OTKRIVENE) PREFERENCE </w:t>
            </w:r>
          </w:p>
        </w:tc>
      </w:tr>
      <w:tr w:rsidR="0041112E" w:rsidRPr="0096665F" w:rsidTr="0096665F">
        <w:trPr>
          <w:trHeight w:val="288"/>
          <w:jc w:val="center"/>
        </w:trPr>
        <w:tc>
          <w:tcPr>
            <w:tcW w:w="59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hideMark/>
          </w:tcPr>
          <w:p w:rsidR="0041112E" w:rsidRPr="0096665F" w:rsidRDefault="006932CD" w:rsidP="003514B1">
            <w:pPr>
              <w:spacing w:after="0" w:line="240" w:lineRule="auto"/>
              <w:rPr>
                <w:rFonts w:ascii="Calibri" w:eastAsia="Times New Roman" w:hAnsi="Calibri" w:cs="Times New Roman"/>
                <w:sz w:val="20"/>
                <w:szCs w:val="20"/>
              </w:rPr>
            </w:pPr>
            <w:r w:rsidRPr="0096665F">
              <w:rPr>
                <w:rFonts w:ascii="Calibri" w:eastAsia="Times New Roman" w:hAnsi="Calibri" w:cs="Times New Roman"/>
                <w:sz w:val="20"/>
                <w:szCs w:val="20"/>
              </w:rPr>
              <w:t xml:space="preserve">Hedonističke cene </w:t>
            </w:r>
          </w:p>
          <w:p w:rsidR="0041112E" w:rsidRPr="0096665F" w:rsidRDefault="006932CD" w:rsidP="003514B1">
            <w:pPr>
              <w:spacing w:after="0" w:line="240" w:lineRule="auto"/>
              <w:rPr>
                <w:rFonts w:ascii="Calibri" w:eastAsia="Times New Roman" w:hAnsi="Calibri" w:cs="Times New Roman"/>
                <w:sz w:val="20"/>
                <w:szCs w:val="20"/>
              </w:rPr>
            </w:pPr>
            <w:r w:rsidRPr="0096665F">
              <w:rPr>
                <w:rFonts w:ascii="Calibri" w:eastAsia="Times New Roman" w:hAnsi="Calibri" w:cs="Times New Roman"/>
                <w:sz w:val="20"/>
                <w:szCs w:val="20"/>
              </w:rPr>
              <w:t xml:space="preserve">Ponašanje kod sprečavanja </w:t>
            </w:r>
          </w:p>
          <w:p w:rsidR="0041112E" w:rsidRPr="0096665F" w:rsidRDefault="006932CD" w:rsidP="003514B1">
            <w:pPr>
              <w:spacing w:after="0" w:line="240" w:lineRule="auto"/>
              <w:rPr>
                <w:rFonts w:ascii="Calibri" w:eastAsia="Times New Roman" w:hAnsi="Calibri" w:cs="Times New Roman"/>
                <w:sz w:val="20"/>
                <w:szCs w:val="20"/>
              </w:rPr>
            </w:pPr>
            <w:r w:rsidRPr="0096665F">
              <w:rPr>
                <w:rFonts w:ascii="Calibri" w:eastAsia="Times New Roman" w:hAnsi="Calibri" w:cs="Times New Roman"/>
                <w:sz w:val="20"/>
                <w:szCs w:val="20"/>
              </w:rPr>
              <w:t>Javne investicije</w:t>
            </w:r>
          </w:p>
          <w:p w:rsidR="0041112E" w:rsidRPr="0096665F" w:rsidRDefault="006932CD" w:rsidP="003514B1">
            <w:pPr>
              <w:spacing w:after="0" w:line="240" w:lineRule="auto"/>
              <w:rPr>
                <w:rFonts w:ascii="Calibri" w:eastAsia="Times New Roman" w:hAnsi="Calibri" w:cs="Times New Roman"/>
                <w:sz w:val="20"/>
                <w:szCs w:val="20"/>
              </w:rPr>
            </w:pPr>
            <w:r w:rsidRPr="0096665F">
              <w:rPr>
                <w:rFonts w:ascii="Calibri" w:eastAsia="Times New Roman" w:hAnsi="Calibri" w:cs="Times New Roman"/>
                <w:sz w:val="20"/>
                <w:szCs w:val="20"/>
              </w:rPr>
              <w:t>M</w:t>
            </w:r>
            <w:r w:rsidR="0041112E" w:rsidRPr="0096665F">
              <w:rPr>
                <w:rFonts w:ascii="Calibri" w:eastAsia="Times New Roman" w:hAnsi="Calibri" w:cs="Times New Roman"/>
                <w:sz w:val="20"/>
                <w:szCs w:val="20"/>
              </w:rPr>
              <w:t>ethod</w:t>
            </w:r>
            <w:r w:rsidRPr="0096665F">
              <w:rPr>
                <w:rFonts w:ascii="Calibri" w:eastAsia="Times New Roman" w:hAnsi="Calibri" w:cs="Times New Roman"/>
                <w:sz w:val="20"/>
                <w:szCs w:val="20"/>
              </w:rPr>
              <w:t xml:space="preserve">i transportnih troškova </w:t>
            </w:r>
          </w:p>
        </w:tc>
      </w:tr>
      <w:tr w:rsidR="0041112E" w:rsidRPr="0096665F" w:rsidTr="0096665F">
        <w:trPr>
          <w:trHeight w:val="288"/>
          <w:jc w:val="center"/>
        </w:trPr>
        <w:tc>
          <w:tcPr>
            <w:tcW w:w="5935" w:type="dxa"/>
            <w:tcBorders>
              <w:top w:val="single" w:sz="4" w:space="0" w:color="000000"/>
              <w:left w:val="single" w:sz="4" w:space="0" w:color="000000"/>
              <w:bottom w:val="single" w:sz="4" w:space="0" w:color="000000"/>
              <w:right w:val="single" w:sz="4" w:space="0" w:color="000000"/>
            </w:tcBorders>
            <w:shd w:val="clear" w:color="auto" w:fill="A5A5A5" w:themeFill="accent3"/>
            <w:hideMark/>
          </w:tcPr>
          <w:p w:rsidR="0041112E" w:rsidRPr="0096665F" w:rsidRDefault="006932CD" w:rsidP="00272C10">
            <w:pPr>
              <w:pStyle w:val="ListParagraph"/>
              <w:numPr>
                <w:ilvl w:val="0"/>
                <w:numId w:val="1"/>
              </w:numPr>
              <w:spacing w:after="0" w:line="240" w:lineRule="auto"/>
              <w:rPr>
                <w:rFonts w:ascii="Calibri" w:eastAsia="Times New Roman" w:hAnsi="Calibri" w:cs="Times New Roman"/>
                <w:b/>
                <w:bCs/>
                <w:sz w:val="20"/>
                <w:szCs w:val="20"/>
              </w:rPr>
            </w:pPr>
            <w:r w:rsidRPr="0096665F">
              <w:rPr>
                <w:rFonts w:ascii="Calibri" w:eastAsia="Times New Roman" w:hAnsi="Calibri" w:cs="Times New Roman"/>
                <w:b/>
                <w:bCs/>
                <w:sz w:val="20"/>
                <w:szCs w:val="20"/>
              </w:rPr>
              <w:t xml:space="preserve">STATED (IZJAVLJENE) PREFERENCIJE </w:t>
            </w:r>
          </w:p>
        </w:tc>
      </w:tr>
      <w:tr w:rsidR="0041112E" w:rsidRPr="0096665F" w:rsidTr="0096665F">
        <w:trPr>
          <w:trHeight w:val="288"/>
          <w:jc w:val="center"/>
        </w:trPr>
        <w:tc>
          <w:tcPr>
            <w:tcW w:w="59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hideMark/>
          </w:tcPr>
          <w:p w:rsidR="0041112E" w:rsidRPr="0096665F" w:rsidRDefault="006932CD" w:rsidP="003514B1">
            <w:pPr>
              <w:spacing w:after="0" w:line="240" w:lineRule="auto"/>
              <w:rPr>
                <w:rFonts w:ascii="Calibri" w:eastAsia="Times New Roman" w:hAnsi="Calibri" w:cs="Times New Roman"/>
                <w:sz w:val="20"/>
                <w:szCs w:val="20"/>
              </w:rPr>
            </w:pPr>
            <w:r w:rsidRPr="0096665F">
              <w:rPr>
                <w:rFonts w:ascii="Calibri" w:eastAsia="Times New Roman" w:hAnsi="Calibri" w:cs="Times New Roman"/>
                <w:sz w:val="20"/>
                <w:szCs w:val="20"/>
              </w:rPr>
              <w:t>Modeliranje izbora</w:t>
            </w:r>
          </w:p>
          <w:p w:rsidR="006932CD" w:rsidRPr="0096665F" w:rsidRDefault="006932CD" w:rsidP="006932CD">
            <w:pPr>
              <w:spacing w:after="0" w:line="240" w:lineRule="auto"/>
              <w:rPr>
                <w:rFonts w:ascii="Calibri" w:eastAsia="Times New Roman" w:hAnsi="Calibri" w:cs="Times New Roman"/>
                <w:sz w:val="20"/>
                <w:szCs w:val="20"/>
              </w:rPr>
            </w:pPr>
            <w:r w:rsidRPr="0096665F">
              <w:rPr>
                <w:rFonts w:ascii="Calibri" w:eastAsia="Times New Roman" w:hAnsi="Calibri" w:cs="Times New Roman"/>
                <w:sz w:val="20"/>
                <w:szCs w:val="20"/>
              </w:rPr>
              <w:t xml:space="preserve">Contingent (slučajno) rangiranje </w:t>
            </w:r>
          </w:p>
          <w:p w:rsidR="006932CD" w:rsidRPr="0096665F" w:rsidRDefault="0041112E" w:rsidP="006932CD">
            <w:pPr>
              <w:spacing w:after="0" w:line="240" w:lineRule="auto"/>
              <w:rPr>
                <w:rFonts w:ascii="Calibri" w:eastAsia="Times New Roman" w:hAnsi="Calibri" w:cs="Times New Roman"/>
                <w:sz w:val="20"/>
                <w:szCs w:val="20"/>
              </w:rPr>
            </w:pPr>
            <w:r w:rsidRPr="0096665F">
              <w:rPr>
                <w:rFonts w:ascii="Calibri" w:eastAsia="Times New Roman" w:hAnsi="Calibri" w:cs="Times New Roman"/>
                <w:sz w:val="20"/>
                <w:szCs w:val="20"/>
              </w:rPr>
              <w:t xml:space="preserve">Contingent </w:t>
            </w:r>
            <w:r w:rsidR="006932CD" w:rsidRPr="0096665F">
              <w:rPr>
                <w:rFonts w:ascii="Calibri" w:eastAsia="Times New Roman" w:hAnsi="Calibri" w:cs="Times New Roman"/>
                <w:sz w:val="20"/>
                <w:szCs w:val="20"/>
              </w:rPr>
              <w:t>vrednovanje met</w:t>
            </w:r>
            <w:r w:rsidRPr="0096665F">
              <w:rPr>
                <w:rFonts w:ascii="Calibri" w:eastAsia="Times New Roman" w:hAnsi="Calibri" w:cs="Times New Roman"/>
                <w:sz w:val="20"/>
                <w:szCs w:val="20"/>
              </w:rPr>
              <w:t>od</w:t>
            </w:r>
            <w:r w:rsidR="006932CD" w:rsidRPr="0096665F">
              <w:rPr>
                <w:rFonts w:ascii="Calibri" w:eastAsia="Times New Roman" w:hAnsi="Calibri" w:cs="Times New Roman"/>
                <w:sz w:val="20"/>
                <w:szCs w:val="20"/>
              </w:rPr>
              <w:t xml:space="preserve">a </w:t>
            </w:r>
          </w:p>
          <w:p w:rsidR="0041112E" w:rsidRPr="0096665F" w:rsidRDefault="0041112E" w:rsidP="006932CD">
            <w:pPr>
              <w:spacing w:after="0" w:line="240" w:lineRule="auto"/>
              <w:rPr>
                <w:rFonts w:ascii="Times New Roman" w:eastAsia="Times New Roman" w:hAnsi="Times New Roman" w:cs="Times New Roman"/>
                <w:color w:val="000000"/>
                <w:sz w:val="20"/>
                <w:szCs w:val="20"/>
              </w:rPr>
            </w:pPr>
            <w:r w:rsidRPr="0096665F">
              <w:rPr>
                <w:rFonts w:ascii="Calibri" w:eastAsia="Times New Roman" w:hAnsi="Calibri" w:cs="Times New Roman"/>
                <w:sz w:val="20"/>
                <w:szCs w:val="20"/>
              </w:rPr>
              <w:t>Partici</w:t>
            </w:r>
            <w:r w:rsidR="006932CD" w:rsidRPr="0096665F">
              <w:rPr>
                <w:rFonts w:ascii="Calibri" w:eastAsia="Times New Roman" w:hAnsi="Calibri" w:cs="Times New Roman"/>
                <w:sz w:val="20"/>
                <w:szCs w:val="20"/>
              </w:rPr>
              <w:t xml:space="preserve">pativna evaluacija </w:t>
            </w:r>
          </w:p>
        </w:tc>
      </w:tr>
      <w:tr w:rsidR="0041112E" w:rsidRPr="0096665F" w:rsidTr="0096665F">
        <w:trPr>
          <w:trHeight w:val="288"/>
          <w:jc w:val="center"/>
        </w:trPr>
        <w:tc>
          <w:tcPr>
            <w:tcW w:w="5935" w:type="dxa"/>
            <w:tcBorders>
              <w:top w:val="single" w:sz="4" w:space="0" w:color="000000"/>
              <w:left w:val="single" w:sz="4" w:space="0" w:color="000000"/>
              <w:bottom w:val="single" w:sz="4" w:space="0" w:color="000000"/>
              <w:right w:val="single" w:sz="4" w:space="0" w:color="000000"/>
            </w:tcBorders>
            <w:shd w:val="clear" w:color="auto" w:fill="A5A5A5" w:themeFill="accent3"/>
            <w:hideMark/>
          </w:tcPr>
          <w:p w:rsidR="0041112E" w:rsidRPr="0096665F" w:rsidRDefault="006932CD" w:rsidP="00272C10">
            <w:pPr>
              <w:pStyle w:val="ListParagraph"/>
              <w:numPr>
                <w:ilvl w:val="0"/>
                <w:numId w:val="1"/>
              </w:numPr>
              <w:spacing w:after="0" w:line="240" w:lineRule="auto"/>
              <w:rPr>
                <w:rFonts w:ascii="Calibri" w:eastAsia="Times New Roman" w:hAnsi="Calibri" w:cs="Times New Roman"/>
                <w:b/>
                <w:bCs/>
                <w:sz w:val="20"/>
                <w:szCs w:val="20"/>
              </w:rPr>
            </w:pPr>
            <w:r w:rsidRPr="0096665F">
              <w:rPr>
                <w:rFonts w:ascii="Calibri" w:eastAsia="Times New Roman" w:hAnsi="Calibri" w:cs="Times New Roman"/>
                <w:b/>
                <w:bCs/>
                <w:sz w:val="20"/>
                <w:szCs w:val="20"/>
              </w:rPr>
              <w:t xml:space="preserve">DRUGI NEMONETARNI METODI </w:t>
            </w:r>
          </w:p>
        </w:tc>
      </w:tr>
      <w:tr w:rsidR="0041112E" w:rsidRPr="0096665F" w:rsidTr="0096665F">
        <w:trPr>
          <w:trHeight w:val="288"/>
          <w:jc w:val="center"/>
        </w:trPr>
        <w:tc>
          <w:tcPr>
            <w:tcW w:w="59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hideMark/>
          </w:tcPr>
          <w:p w:rsidR="0041112E" w:rsidRPr="0096665F" w:rsidRDefault="006932CD" w:rsidP="003514B1">
            <w:pPr>
              <w:spacing w:after="0" w:line="240" w:lineRule="auto"/>
              <w:rPr>
                <w:rFonts w:ascii="Calibri" w:eastAsia="Times New Roman" w:hAnsi="Calibri" w:cs="Times New Roman"/>
                <w:sz w:val="20"/>
                <w:szCs w:val="20"/>
              </w:rPr>
            </w:pPr>
            <w:r w:rsidRPr="0096665F">
              <w:rPr>
                <w:rFonts w:ascii="Calibri" w:eastAsia="Times New Roman" w:hAnsi="Calibri" w:cs="Times New Roman"/>
                <w:sz w:val="20"/>
                <w:szCs w:val="20"/>
              </w:rPr>
              <w:t xml:space="preserve">Vrednovanje na bazi dogovora </w:t>
            </w:r>
          </w:p>
          <w:p w:rsidR="0041112E" w:rsidRPr="0096665F" w:rsidRDefault="00014BC9" w:rsidP="003514B1">
            <w:pPr>
              <w:spacing w:after="0" w:line="240" w:lineRule="auto"/>
              <w:rPr>
                <w:rFonts w:ascii="Calibri" w:eastAsia="Times New Roman" w:hAnsi="Calibri" w:cs="Times New Roman"/>
                <w:sz w:val="20"/>
                <w:szCs w:val="20"/>
              </w:rPr>
            </w:pPr>
            <w:r w:rsidRPr="0096665F">
              <w:rPr>
                <w:rFonts w:ascii="Calibri" w:eastAsia="Times New Roman" w:hAnsi="Calibri" w:cs="Times New Roman"/>
                <w:sz w:val="20"/>
                <w:szCs w:val="20"/>
              </w:rPr>
              <w:t xml:space="preserve">Kvalitativni </w:t>
            </w:r>
          </w:p>
          <w:p w:rsidR="0041112E" w:rsidRPr="0096665F" w:rsidRDefault="00014BC9" w:rsidP="003514B1">
            <w:pPr>
              <w:spacing w:after="0" w:line="240" w:lineRule="auto"/>
              <w:rPr>
                <w:rFonts w:ascii="Calibri" w:eastAsia="Times New Roman" w:hAnsi="Calibri" w:cs="Times New Roman"/>
                <w:sz w:val="20"/>
                <w:szCs w:val="20"/>
              </w:rPr>
            </w:pPr>
            <w:r w:rsidRPr="0096665F">
              <w:rPr>
                <w:rFonts w:ascii="Calibri" w:eastAsia="Times New Roman" w:hAnsi="Calibri" w:cs="Times New Roman"/>
                <w:sz w:val="20"/>
                <w:szCs w:val="20"/>
              </w:rPr>
              <w:t xml:space="preserve">Kvantitativni </w:t>
            </w:r>
          </w:p>
        </w:tc>
      </w:tr>
      <w:tr w:rsidR="0041112E" w:rsidRPr="0096665F" w:rsidTr="0096665F">
        <w:trPr>
          <w:trHeight w:val="288"/>
          <w:jc w:val="center"/>
        </w:trPr>
        <w:tc>
          <w:tcPr>
            <w:tcW w:w="5935" w:type="dxa"/>
            <w:tcBorders>
              <w:top w:val="single" w:sz="4" w:space="0" w:color="000000"/>
              <w:left w:val="single" w:sz="4" w:space="0" w:color="000000"/>
              <w:bottom w:val="single" w:sz="4" w:space="0" w:color="000000"/>
              <w:right w:val="single" w:sz="4" w:space="0" w:color="000000"/>
            </w:tcBorders>
            <w:shd w:val="clear" w:color="auto" w:fill="A5A5A5" w:themeFill="accent3"/>
            <w:hideMark/>
          </w:tcPr>
          <w:p w:rsidR="0041112E" w:rsidRPr="0096665F" w:rsidRDefault="00014BC9" w:rsidP="00272C10">
            <w:pPr>
              <w:pStyle w:val="ListParagraph"/>
              <w:numPr>
                <w:ilvl w:val="0"/>
                <w:numId w:val="1"/>
              </w:numPr>
              <w:spacing w:after="0" w:line="240" w:lineRule="auto"/>
              <w:rPr>
                <w:rFonts w:ascii="Calibri" w:eastAsia="Times New Roman" w:hAnsi="Calibri" w:cs="Times New Roman"/>
                <w:b/>
                <w:bCs/>
                <w:sz w:val="20"/>
                <w:szCs w:val="20"/>
              </w:rPr>
            </w:pPr>
            <w:r w:rsidRPr="0096665F">
              <w:rPr>
                <w:rFonts w:ascii="Calibri" w:eastAsia="Times New Roman" w:hAnsi="Calibri" w:cs="Times New Roman"/>
                <w:b/>
                <w:bCs/>
                <w:sz w:val="20"/>
                <w:szCs w:val="20"/>
              </w:rPr>
              <w:t xml:space="preserve">OSLANJANJE NA POSTOJEĆE ZNANJE </w:t>
            </w:r>
          </w:p>
        </w:tc>
      </w:tr>
      <w:tr w:rsidR="0041112E" w:rsidRPr="0096665F" w:rsidTr="0096665F">
        <w:trPr>
          <w:trHeight w:val="288"/>
          <w:jc w:val="center"/>
        </w:trPr>
        <w:tc>
          <w:tcPr>
            <w:tcW w:w="59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hideMark/>
          </w:tcPr>
          <w:p w:rsidR="00014BC9" w:rsidRPr="0096665F" w:rsidRDefault="00545FF0" w:rsidP="00014BC9">
            <w:pPr>
              <w:spacing w:after="0" w:line="240" w:lineRule="auto"/>
              <w:rPr>
                <w:rFonts w:ascii="Calibri" w:eastAsia="Times New Roman" w:hAnsi="Calibri" w:cs="Times New Roman"/>
                <w:sz w:val="20"/>
                <w:szCs w:val="20"/>
              </w:rPr>
            </w:pPr>
            <w:r w:rsidRPr="0096665F">
              <w:rPr>
                <w:rFonts w:ascii="Calibri" w:eastAsia="Times New Roman" w:hAnsi="Calibri" w:cs="Times New Roman"/>
                <w:sz w:val="20"/>
                <w:szCs w:val="20"/>
              </w:rPr>
              <w:t>Delf</w:t>
            </w:r>
            <w:r w:rsidR="0041112E" w:rsidRPr="0096665F">
              <w:rPr>
                <w:rFonts w:ascii="Calibri" w:eastAsia="Times New Roman" w:hAnsi="Calibri" w:cs="Times New Roman"/>
                <w:sz w:val="20"/>
                <w:szCs w:val="20"/>
              </w:rPr>
              <w:t xml:space="preserve">i </w:t>
            </w:r>
            <w:r w:rsidRPr="0096665F">
              <w:rPr>
                <w:rFonts w:ascii="Calibri" w:eastAsia="Times New Roman" w:hAnsi="Calibri" w:cs="Times New Roman"/>
                <w:sz w:val="20"/>
                <w:szCs w:val="20"/>
              </w:rPr>
              <w:t xml:space="preserve">metod </w:t>
            </w:r>
          </w:p>
          <w:p w:rsidR="0041112E" w:rsidRPr="0096665F" w:rsidRDefault="00014BC9" w:rsidP="00014BC9">
            <w:pPr>
              <w:spacing w:after="0" w:line="240" w:lineRule="auto"/>
              <w:rPr>
                <w:rFonts w:ascii="Times New Roman" w:eastAsia="Times New Roman" w:hAnsi="Times New Roman" w:cs="Times New Roman"/>
                <w:color w:val="000000"/>
                <w:sz w:val="20"/>
                <w:szCs w:val="20"/>
              </w:rPr>
            </w:pPr>
            <w:r w:rsidRPr="0096665F">
              <w:rPr>
                <w:rFonts w:ascii="Calibri" w:eastAsia="Times New Roman" w:hAnsi="Calibri" w:cs="Times New Roman"/>
                <w:sz w:val="20"/>
                <w:szCs w:val="20"/>
              </w:rPr>
              <w:t>T</w:t>
            </w:r>
            <w:r w:rsidR="0041112E" w:rsidRPr="0096665F">
              <w:rPr>
                <w:rFonts w:ascii="Calibri" w:eastAsia="Times New Roman" w:hAnsi="Calibri" w:cs="Times New Roman"/>
                <w:sz w:val="20"/>
                <w:szCs w:val="20"/>
              </w:rPr>
              <w:t>ransfer</w:t>
            </w:r>
            <w:r w:rsidRPr="0096665F">
              <w:rPr>
                <w:rFonts w:ascii="Calibri" w:eastAsia="Times New Roman" w:hAnsi="Calibri" w:cs="Times New Roman"/>
                <w:sz w:val="20"/>
                <w:szCs w:val="20"/>
              </w:rPr>
              <w:t xml:space="preserve"> benefita / vrijednosti </w:t>
            </w:r>
          </w:p>
        </w:tc>
      </w:tr>
    </w:tbl>
    <w:p w:rsidR="0041112E" w:rsidRPr="00592719" w:rsidRDefault="00014BC9" w:rsidP="00014BC9">
      <w:pPr>
        <w:tabs>
          <w:tab w:val="left" w:pos="1765"/>
          <w:tab w:val="left" w:pos="2353"/>
        </w:tabs>
        <w:spacing w:line="276" w:lineRule="auto"/>
        <w:rPr>
          <w:sz w:val="20"/>
          <w:szCs w:val="20"/>
        </w:rPr>
      </w:pPr>
      <w:r>
        <w:rPr>
          <w:sz w:val="20"/>
          <w:szCs w:val="20"/>
        </w:rPr>
        <w:tab/>
      </w:r>
      <w:r w:rsidR="00592719" w:rsidRPr="00592719">
        <w:rPr>
          <w:sz w:val="20"/>
          <w:szCs w:val="20"/>
        </w:rPr>
        <w:t xml:space="preserve">Izvor: </w:t>
      </w:r>
      <w:r w:rsidR="00592719" w:rsidRPr="00592719">
        <w:rPr>
          <w:iCs/>
          <w:sz w:val="20"/>
          <w:szCs w:val="20"/>
        </w:rPr>
        <w:t xml:space="preserve">Ling, King, Mapendembe, and Brown (2018). </w:t>
      </w:r>
    </w:p>
    <w:p w:rsidR="009C485C" w:rsidRDefault="009C485C" w:rsidP="009C485C">
      <w:pPr>
        <w:spacing w:line="276" w:lineRule="auto"/>
        <w:jc w:val="both"/>
      </w:pPr>
      <w:r>
        <w:t xml:space="preserve">Rekli smo već da se </w:t>
      </w:r>
      <w:r w:rsidRPr="0089754B">
        <w:rPr>
          <w:i/>
        </w:rPr>
        <w:t>stated preference</w:t>
      </w:r>
      <w:r>
        <w:t xml:space="preserve"> metod baziran na anketama i intervijuima ima tu prednost da se može primijeniti skoro svuda. Takođe smo rekli da mu je mana visoka cijena ovakvog pribavljanja informacija. Postoje, pored toga, još dva problema koji se mogu ovdje javiti. Prvo, javlja se mogućnost strateškog ponašanja ispitanika što nas najčešće vodi ka pogrešnim informacijama. Na primjer, ako ispitanike iz oblasti gdje namjeravamo izgraditi vodovod pitamo o njihovoj spremnosti da plate kubik vode može se desiti da nam oni u odgovorima daju daleko veću cijenu od one koju bi stvarno bili spremni platiti ako smatraju da će odluka o izgradnji vodovoda biti donijeta na bazi očekivane </w:t>
      </w:r>
      <w:r>
        <w:lastRenderedPageBreak/>
        <w:t xml:space="preserve">komercijalne profitabilnosti vodovoda. Problem strateškog ponašanja se može rešiti pravljenjem sofisticiranijih upitnika i primjenom složenih ekonometrijskih modela. To rešenje, nažalost, čini primjenu ovog modela još skupljom, često prohibitivno skupljom. </w:t>
      </w:r>
    </w:p>
    <w:p w:rsidR="009C485C" w:rsidRDefault="009C485C" w:rsidP="009C485C">
      <w:pPr>
        <w:spacing w:line="276" w:lineRule="auto"/>
        <w:jc w:val="both"/>
      </w:pPr>
      <w:r>
        <w:t>Drugi problem može proizaći iz činjenice da se kod istog dobra ili usluge WTP (spremnost da se plati, “willingness to pay”) i WTA (spremnost da se prihvati, “willingness to accept”) najčešće razlikuju iako bi teorijski trebali biti istovjetni. Ako, na primjer, nekoga iz, recimo neke ruralne oblasti gdje nema vode, pitamo kolko bi bio spreman da plati kubik vode kada bi se izgradio vodovod dobićemo vrijednost WTP. Ako bi međutim istu takvu osobu, u slučaju da postoji ruralni vodovod, pitali za koliko bi se novca bio spreman odreći jednog kubika vode mjesečno (za recimo mHE ili druge svrhe) dobijeni odgovor bi predstavljao ono što nazivamo WTA. Ekonomski eksperimenti su pokazali da je WTA redovno veće od WTP. Za bihevioralne ekonomiste ovaj paradoks predstavlja jednu od najzanimljivijih tema. S druge strane, one koji se bave mjerenjima nemonetarnih koristi i troškova ovo pitanje stavlja u nerešivu dilemu koju od dvije mjere, WTP ili WTA, da primijene. Ovo tim prije jer razlike između njih mogu biti dosta značajne.</w:t>
      </w:r>
      <w:r>
        <w:rPr>
          <w:rStyle w:val="FootnoteReference"/>
        </w:rPr>
        <w:footnoteReference w:id="18"/>
      </w:r>
    </w:p>
    <w:p w:rsidR="000E78F6" w:rsidRDefault="00CA662C" w:rsidP="00941CD3">
      <w:pPr>
        <w:spacing w:line="276" w:lineRule="auto"/>
        <w:jc w:val="both"/>
      </w:pPr>
      <w:r>
        <w:t xml:space="preserve">U poslednje vrijeme razvija se </w:t>
      </w:r>
      <w:r w:rsidR="00FA690A">
        <w:t>još jed</w:t>
      </w:r>
      <w:r>
        <w:t>n</w:t>
      </w:r>
      <w:r w:rsidR="00FA690A">
        <w:t>a nova generacija</w:t>
      </w:r>
      <w:r>
        <w:t xml:space="preserve"> metod</w:t>
      </w:r>
      <w:r w:rsidR="00FA690A">
        <w:t>a za procjenu koja</w:t>
      </w:r>
      <w:r>
        <w:t xml:space="preserve"> obećava da na bolji način riješi problem međugeneracijske solidarnosti koji posebno srećemo kod ekoloških resursa i ekoloških </w:t>
      </w:r>
      <w:r w:rsidR="00B370DF">
        <w:t>usluga uvijek kada vrijednost ekoloških neto tokova diskontujemo po komerciojaln</w:t>
      </w:r>
      <w:r w:rsidR="00FA690A">
        <w:t xml:space="preserve">im diskontnim stopama. Poznati su kao BTF </w:t>
      </w:r>
      <w:r w:rsidR="00720CC5">
        <w:t>modeli</w:t>
      </w:r>
      <w:r w:rsidR="00FA690A">
        <w:t xml:space="preserve"> (“Back to the Future”, p</w:t>
      </w:r>
      <w:r>
        <w:t>ovratak u bu</w:t>
      </w:r>
      <w:r w:rsidR="00FA690A">
        <w:t>dućnost) a razvijeni su prvobitno na</w:t>
      </w:r>
      <w:r w:rsidR="005D541E">
        <w:t xml:space="preserve">University of British Columbia u Kanadi. </w:t>
      </w:r>
      <w:r>
        <w:t xml:space="preserve">Iako se </w:t>
      </w:r>
      <w:r w:rsidR="005D541E">
        <w:t>trenutno ovi modeli koriste</w:t>
      </w:r>
      <w:r>
        <w:t xml:space="preserve"> uglavnom </w:t>
      </w:r>
      <w:r w:rsidR="005D541E">
        <w:t>vazano za morske ekosisteme, posebno u evaluaciji projekata restauracije</w:t>
      </w:r>
      <w:r>
        <w:t xml:space="preserve">, </w:t>
      </w:r>
      <w:r w:rsidR="005D541E">
        <w:t xml:space="preserve">ne postoji ni jedan razlog da se sa podjednakom uspješnošću </w:t>
      </w:r>
      <w:r w:rsidR="00720CC5">
        <w:t xml:space="preserve">ne </w:t>
      </w:r>
      <w:r w:rsidR="005D541E">
        <w:t>primijene na ostale ekosisteme</w:t>
      </w:r>
      <w:r w:rsidR="00846818">
        <w:t xml:space="preserve"> kao i na ostale vrste projekata a ne samo na restauraciju ekosistema. Čini se da bi pogotovo u Crnoj Gori bilo jako poželjno primjenjivati ovaj</w:t>
      </w:r>
      <w:r w:rsidR="00720CC5">
        <w:t xml:space="preserve"> pristup s obzirom da on</w:t>
      </w:r>
      <w:r w:rsidR="00846818">
        <w:t xml:space="preserve"> postavlja mnogo strožije kriterijume kada je riječ o očuvanju životne sredine. Crna Gora uz to, kao i cio svijet uostalom, ima i jaku potrebu za projektima restauracije ekosistema pa je to dodat</w:t>
      </w:r>
      <w:r w:rsidR="00720CC5">
        <w:t>ni razlog za rad na razvoju ovih modela</w:t>
      </w:r>
      <w:r w:rsidR="00846818">
        <w:t xml:space="preserve"> kod nas</w:t>
      </w:r>
      <w:r w:rsidR="005D541E">
        <w:t>.</w:t>
      </w:r>
      <w:r w:rsidR="005D541E">
        <w:rPr>
          <w:rStyle w:val="FootnoteReference"/>
        </w:rPr>
        <w:footnoteReference w:id="19"/>
      </w:r>
    </w:p>
    <w:p w:rsidR="009C485C" w:rsidRDefault="009C485C" w:rsidP="00941CD3">
      <w:pPr>
        <w:spacing w:line="276" w:lineRule="auto"/>
        <w:jc w:val="both"/>
      </w:pPr>
    </w:p>
    <w:p w:rsidR="009C485C" w:rsidRDefault="009C485C">
      <w:r>
        <w:br w:type="page"/>
      </w:r>
    </w:p>
    <w:p w:rsidR="009C485C" w:rsidRDefault="009C485C" w:rsidP="009C485C">
      <w:pPr>
        <w:spacing w:line="276" w:lineRule="auto"/>
        <w:jc w:val="both"/>
      </w:pPr>
    </w:p>
    <w:p w:rsidR="009C485C" w:rsidRDefault="009C485C" w:rsidP="00941CD3">
      <w:pPr>
        <w:spacing w:line="276" w:lineRule="auto"/>
        <w:jc w:val="both"/>
      </w:pPr>
    </w:p>
    <w:p w:rsidR="00766B21" w:rsidRPr="009C485C" w:rsidRDefault="00D5582C" w:rsidP="00941CD3">
      <w:pPr>
        <w:spacing w:line="276" w:lineRule="auto"/>
        <w:jc w:val="both"/>
        <w:rPr>
          <w:b/>
          <w:sz w:val="28"/>
          <w:szCs w:val="28"/>
        </w:rPr>
      </w:pPr>
      <w:r>
        <w:rPr>
          <w:b/>
          <w:sz w:val="28"/>
          <w:szCs w:val="28"/>
        </w:rPr>
        <w:t xml:space="preserve">5.4. </w:t>
      </w:r>
      <w:r w:rsidR="00766B21" w:rsidRPr="009C485C">
        <w:rPr>
          <w:b/>
          <w:sz w:val="28"/>
          <w:szCs w:val="28"/>
        </w:rPr>
        <w:t xml:space="preserve">Transfer </w:t>
      </w:r>
      <w:r w:rsidR="008325CC">
        <w:rPr>
          <w:b/>
          <w:sz w:val="28"/>
          <w:szCs w:val="28"/>
        </w:rPr>
        <w:t>vrijednosti kao metod ocjene</w:t>
      </w:r>
      <w:r w:rsidR="00D03995">
        <w:rPr>
          <w:b/>
          <w:sz w:val="28"/>
          <w:szCs w:val="28"/>
        </w:rPr>
        <w:t xml:space="preserve"> ekoloških ef</w:t>
      </w:r>
      <w:r w:rsidR="00766B21" w:rsidRPr="009C485C">
        <w:rPr>
          <w:b/>
          <w:sz w:val="28"/>
          <w:szCs w:val="28"/>
        </w:rPr>
        <w:t xml:space="preserve">ekata </w:t>
      </w:r>
    </w:p>
    <w:p w:rsidR="0041112E" w:rsidRDefault="004C0C33" w:rsidP="004C0C33">
      <w:pPr>
        <w:spacing w:line="276" w:lineRule="auto"/>
        <w:jc w:val="both"/>
      </w:pPr>
      <w:r>
        <w:t>Imajući u vidu činjenicu da su tržišna, troškovna, ekonometrijska i statistička istraživanja mjerenja promjena vrijednosti ekoloških usluga jako skupa vrlo često je nemoguće ili neisplativo vršiti ovakva istraživanja. Srećom do sada je, u poslednjih četrdesetak godina, u svijetu napravljeno jako puno istraživanja u kojima kao rezultate imamo</w:t>
      </w:r>
      <w:r w:rsidR="003514B1">
        <w:t>, bilo eksplicitno ili implicitno, date</w:t>
      </w:r>
      <w:r>
        <w:t xml:space="preserve"> “c</w:t>
      </w:r>
      <w:r w:rsidR="003514B1">
        <w:t>ij</w:t>
      </w:r>
      <w:r>
        <w:t xml:space="preserve">ene u sjenci” za različite ekološke usluge u posmatranim zemljama. </w:t>
      </w:r>
      <w:r w:rsidR="003514B1">
        <w:t>Ovako utvrđene “cijene u sjenci” je, u nedostatku vlastitih, moguće koristiti za domaće potrebe. Ovakav način utvrđivanja vrijednosti ekolo</w:t>
      </w:r>
      <w:r w:rsidR="00CD0BDE">
        <w:t>š</w:t>
      </w:r>
      <w:r w:rsidR="003514B1">
        <w:t xml:space="preserve">kih usluga je poznat kao </w:t>
      </w:r>
      <w:r w:rsidR="003514B1" w:rsidRPr="003514B1">
        <w:rPr>
          <w:i/>
        </w:rPr>
        <w:t>value transfer</w:t>
      </w:r>
      <w:r w:rsidR="003514B1">
        <w:t xml:space="preserve">ili kao </w:t>
      </w:r>
      <w:r w:rsidR="003514B1" w:rsidRPr="003514B1">
        <w:rPr>
          <w:i/>
        </w:rPr>
        <w:t>benefit transfer</w:t>
      </w:r>
      <w:r w:rsidR="003514B1">
        <w:t xml:space="preserve">. </w:t>
      </w:r>
      <w:r w:rsidR="009D23F2">
        <w:t>U poslednjih nekoliko godina razvijeno je čak nekoliko baza podataka sa iscrpnim rezultatima dosadašnjih istraživanja. Sama metodologija “transfera” tuđih rezultata može biti manje ili više sofisticirana i može se kretati od prostog “transfera” tuđe “cijene u sjenci” do sofistiranije primj</w:t>
      </w:r>
      <w:r w:rsidR="005D14B0">
        <w:t>ene tuđih rezultata kako je to i</w:t>
      </w:r>
      <w:r w:rsidR="009D23F2">
        <w:t xml:space="preserve"> prikazano u Tabeli </w:t>
      </w:r>
      <w:r w:rsidR="0055240B">
        <w:t>5.</w:t>
      </w:r>
      <w:r w:rsidR="005D14B0" w:rsidRPr="005D14B0">
        <w:t>4</w:t>
      </w:r>
      <w:r w:rsidR="009D23F2">
        <w:t xml:space="preserve">. </w:t>
      </w:r>
    </w:p>
    <w:p w:rsidR="009D23F2" w:rsidRDefault="009D23F2" w:rsidP="009D23F2">
      <w:pPr>
        <w:spacing w:after="0" w:line="276" w:lineRule="auto"/>
        <w:jc w:val="both"/>
      </w:pPr>
      <w:r>
        <w:t xml:space="preserve">Tabela </w:t>
      </w:r>
      <w:r w:rsidR="00D5582C">
        <w:t xml:space="preserve">5. </w:t>
      </w:r>
      <w:r w:rsidR="005D14B0" w:rsidRPr="005D14B0">
        <w:t>4</w:t>
      </w:r>
      <w:r>
        <w:t xml:space="preserve">: Metodi transfera vrijednosti </w:t>
      </w:r>
      <w:r w:rsidR="005D14B0">
        <w:t xml:space="preserve">/ benefita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tblPr>
      <w:tblGrid>
        <w:gridCol w:w="1668"/>
        <w:gridCol w:w="2243"/>
        <w:gridCol w:w="2325"/>
        <w:gridCol w:w="2243"/>
        <w:gridCol w:w="1097"/>
      </w:tblGrid>
      <w:tr w:rsidR="0041112E" w:rsidRPr="0041112E" w:rsidTr="00044327">
        <w:trPr>
          <w:trHeight w:val="557"/>
        </w:trPr>
        <w:tc>
          <w:tcPr>
            <w:tcW w:w="871" w:type="pct"/>
            <w:shd w:val="clear" w:color="auto" w:fill="F2F2F2" w:themeFill="background1" w:themeFillShade="F2"/>
            <w:vAlign w:val="center"/>
          </w:tcPr>
          <w:p w:rsidR="0041112E" w:rsidRPr="0041112E" w:rsidRDefault="0041112E" w:rsidP="0041112E">
            <w:pPr>
              <w:spacing w:after="0" w:line="240" w:lineRule="auto"/>
              <w:jc w:val="center"/>
              <w:rPr>
                <w:rFonts w:ascii="Calibri" w:eastAsia="Times New Roman" w:hAnsi="Calibri" w:cs="Times New Roman"/>
                <w:b/>
                <w:sz w:val="20"/>
                <w:szCs w:val="20"/>
              </w:rPr>
            </w:pPr>
          </w:p>
        </w:tc>
        <w:tc>
          <w:tcPr>
            <w:tcW w:w="1171" w:type="pct"/>
            <w:shd w:val="clear" w:color="auto" w:fill="F2F2F2" w:themeFill="background1" w:themeFillShade="F2"/>
            <w:vAlign w:val="center"/>
          </w:tcPr>
          <w:p w:rsidR="0041112E" w:rsidRPr="0041112E" w:rsidRDefault="0041112E" w:rsidP="0041112E">
            <w:pPr>
              <w:spacing w:after="0" w:line="240" w:lineRule="auto"/>
              <w:jc w:val="center"/>
              <w:rPr>
                <w:rFonts w:ascii="Calibri" w:eastAsia="Times New Roman" w:hAnsi="Calibri" w:cs="Times New Roman"/>
                <w:b/>
                <w:sz w:val="20"/>
                <w:szCs w:val="20"/>
              </w:rPr>
            </w:pPr>
            <w:r w:rsidRPr="0041112E">
              <w:rPr>
                <w:rFonts w:ascii="Calibri" w:eastAsia="Times New Roman" w:hAnsi="Calibri" w:cs="Times New Roman"/>
                <w:b/>
                <w:sz w:val="20"/>
                <w:szCs w:val="20"/>
              </w:rPr>
              <w:t>OPIS</w:t>
            </w:r>
          </w:p>
        </w:tc>
        <w:tc>
          <w:tcPr>
            <w:tcW w:w="1214" w:type="pct"/>
            <w:shd w:val="clear" w:color="auto" w:fill="F2F2F2" w:themeFill="background1" w:themeFillShade="F2"/>
            <w:vAlign w:val="center"/>
          </w:tcPr>
          <w:p w:rsidR="0041112E" w:rsidRPr="0041112E" w:rsidRDefault="0041112E" w:rsidP="0041112E">
            <w:pPr>
              <w:spacing w:after="0" w:line="240" w:lineRule="auto"/>
              <w:jc w:val="center"/>
              <w:rPr>
                <w:rFonts w:ascii="Calibri" w:eastAsia="Times New Roman" w:hAnsi="Calibri" w:cs="Times New Roman"/>
                <w:b/>
                <w:sz w:val="20"/>
                <w:szCs w:val="20"/>
              </w:rPr>
            </w:pPr>
            <w:r w:rsidRPr="0041112E">
              <w:rPr>
                <w:rFonts w:ascii="Calibri" w:eastAsia="Times New Roman" w:hAnsi="Calibri" w:cs="Times New Roman"/>
                <w:b/>
                <w:sz w:val="20"/>
                <w:szCs w:val="20"/>
              </w:rPr>
              <w:t>PREDNOST</w:t>
            </w:r>
          </w:p>
        </w:tc>
        <w:tc>
          <w:tcPr>
            <w:tcW w:w="1171" w:type="pct"/>
            <w:shd w:val="clear" w:color="auto" w:fill="F2F2F2" w:themeFill="background1" w:themeFillShade="F2"/>
            <w:vAlign w:val="center"/>
          </w:tcPr>
          <w:p w:rsidR="0041112E" w:rsidRPr="0041112E" w:rsidRDefault="0041112E" w:rsidP="0041112E">
            <w:pPr>
              <w:spacing w:after="0" w:line="240" w:lineRule="auto"/>
              <w:jc w:val="center"/>
              <w:rPr>
                <w:rFonts w:ascii="Calibri" w:eastAsia="Times New Roman" w:hAnsi="Calibri" w:cs="Times New Roman"/>
                <w:b/>
                <w:sz w:val="20"/>
                <w:szCs w:val="20"/>
              </w:rPr>
            </w:pPr>
            <w:r w:rsidRPr="0041112E">
              <w:rPr>
                <w:rFonts w:ascii="Calibri" w:eastAsia="Times New Roman" w:hAnsi="Calibri" w:cs="Times New Roman"/>
                <w:b/>
                <w:sz w:val="20"/>
                <w:szCs w:val="20"/>
              </w:rPr>
              <w:t>NEDOSTATAK</w:t>
            </w:r>
          </w:p>
        </w:tc>
        <w:tc>
          <w:tcPr>
            <w:tcW w:w="573" w:type="pct"/>
            <w:shd w:val="clear" w:color="auto" w:fill="F2F2F2" w:themeFill="background1" w:themeFillShade="F2"/>
            <w:vAlign w:val="center"/>
          </w:tcPr>
          <w:p w:rsidR="0041112E" w:rsidRPr="009D23F2" w:rsidRDefault="0041112E" w:rsidP="0041112E">
            <w:pPr>
              <w:spacing w:after="0" w:line="240" w:lineRule="auto"/>
              <w:jc w:val="center"/>
              <w:rPr>
                <w:rFonts w:ascii="Calibri" w:eastAsia="Times New Roman" w:hAnsi="Calibri" w:cs="Times New Roman"/>
                <w:b/>
                <w:color w:val="000000"/>
                <w:sz w:val="20"/>
                <w:szCs w:val="20"/>
              </w:rPr>
            </w:pPr>
            <w:r w:rsidRPr="009D23F2">
              <w:rPr>
                <w:rFonts w:ascii="Calibri" w:eastAsia="Times New Roman" w:hAnsi="Calibri" w:cs="Times New Roman"/>
                <w:b/>
                <w:color w:val="000000"/>
                <w:sz w:val="20"/>
                <w:szCs w:val="20"/>
              </w:rPr>
              <w:t>Preciznost</w:t>
            </w:r>
          </w:p>
        </w:tc>
      </w:tr>
      <w:tr w:rsidR="00941CD3" w:rsidRPr="004A5CE5" w:rsidTr="0096665F">
        <w:trPr>
          <w:trHeight w:val="2042"/>
        </w:trPr>
        <w:tc>
          <w:tcPr>
            <w:tcW w:w="87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1CD3" w:rsidRPr="004A5CE5" w:rsidRDefault="00562F0F" w:rsidP="003514B1">
            <w:pPr>
              <w:spacing w:after="0" w:line="240" w:lineRule="auto"/>
              <w:rPr>
                <w:rFonts w:ascii="Calibri" w:eastAsia="Times New Roman" w:hAnsi="Calibri" w:cs="Times New Roman"/>
                <w:sz w:val="18"/>
                <w:szCs w:val="18"/>
              </w:rPr>
            </w:pPr>
            <w:r w:rsidRPr="004A5CE5">
              <w:rPr>
                <w:rFonts w:ascii="Calibri" w:eastAsia="Times New Roman" w:hAnsi="Calibri" w:cs="Times New Roman"/>
                <w:sz w:val="18"/>
                <w:szCs w:val="18"/>
              </w:rPr>
              <w:t xml:space="preserve">Transfer jedinice vrijednosti </w:t>
            </w:r>
          </w:p>
        </w:tc>
        <w:tc>
          <w:tcPr>
            <w:tcW w:w="117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C63AF" w:rsidRPr="004A5CE5" w:rsidRDefault="000C63AF" w:rsidP="000C63AF">
            <w:pPr>
              <w:spacing w:line="240" w:lineRule="auto"/>
              <w:rPr>
                <w:rFonts w:ascii="Calibri" w:eastAsia="Times New Roman" w:hAnsi="Calibri" w:cs="Times New Roman"/>
                <w:sz w:val="18"/>
                <w:szCs w:val="18"/>
              </w:rPr>
            </w:pPr>
            <w:r w:rsidRPr="004A5CE5">
              <w:rPr>
                <w:rFonts w:ascii="Calibri" w:eastAsia="Times New Roman" w:hAnsi="Calibri" w:cs="Times New Roman"/>
                <w:sz w:val="18"/>
                <w:szCs w:val="18"/>
              </w:rPr>
              <w:t xml:space="preserve">- </w:t>
            </w:r>
            <w:r w:rsidR="00562F0F" w:rsidRPr="004A5CE5">
              <w:rPr>
                <w:rFonts w:ascii="Calibri" w:eastAsia="Times New Roman" w:hAnsi="Calibri" w:cs="Times New Roman"/>
                <w:sz w:val="18"/>
                <w:szCs w:val="18"/>
              </w:rPr>
              <w:t xml:space="preserve">Izabere se odgovarajuća vrijednost </w:t>
            </w:r>
            <w:r w:rsidRPr="004A5CE5">
              <w:rPr>
                <w:rFonts w:ascii="Calibri" w:eastAsia="Times New Roman" w:hAnsi="Calibri" w:cs="Times New Roman"/>
                <w:sz w:val="18"/>
                <w:szCs w:val="18"/>
              </w:rPr>
              <w:t xml:space="preserve">iz baze podataka </w:t>
            </w:r>
            <w:r w:rsidR="00562F0F" w:rsidRPr="004A5CE5">
              <w:rPr>
                <w:rFonts w:ascii="Calibri" w:eastAsia="Times New Roman" w:hAnsi="Calibri" w:cs="Times New Roman"/>
                <w:sz w:val="18"/>
                <w:szCs w:val="18"/>
              </w:rPr>
              <w:t xml:space="preserve">za sličan socio-ekonomski ontekst </w:t>
            </w:r>
          </w:p>
          <w:p w:rsidR="00941CD3" w:rsidRPr="004A5CE5" w:rsidRDefault="000C63AF" w:rsidP="000C63AF">
            <w:pPr>
              <w:spacing w:after="0" w:line="240" w:lineRule="auto"/>
              <w:rPr>
                <w:rFonts w:ascii="Calibri" w:eastAsia="Times New Roman" w:hAnsi="Calibri" w:cs="Times New Roman"/>
                <w:sz w:val="18"/>
                <w:szCs w:val="18"/>
              </w:rPr>
            </w:pPr>
            <w:r w:rsidRPr="004A5CE5">
              <w:rPr>
                <w:rFonts w:ascii="Calibri" w:eastAsia="Times New Roman" w:hAnsi="Calibri" w:cs="Times New Roman"/>
                <w:sz w:val="18"/>
                <w:szCs w:val="18"/>
              </w:rPr>
              <w:t xml:space="preserve">- Prilagodi dobijene vrijednosti za konkretne specifičnosti (cijene, dohodak) </w:t>
            </w:r>
          </w:p>
        </w:tc>
        <w:tc>
          <w:tcPr>
            <w:tcW w:w="12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1CD3" w:rsidRPr="004A5CE5" w:rsidRDefault="000C63AF" w:rsidP="003514B1">
            <w:pPr>
              <w:spacing w:after="0" w:line="240" w:lineRule="auto"/>
              <w:rPr>
                <w:rFonts w:ascii="Calibri" w:eastAsia="Times New Roman" w:hAnsi="Calibri" w:cs="Times New Roman"/>
                <w:sz w:val="18"/>
                <w:szCs w:val="18"/>
              </w:rPr>
            </w:pPr>
            <w:r w:rsidRPr="004A5CE5">
              <w:rPr>
                <w:rFonts w:ascii="Calibri" w:eastAsia="Times New Roman" w:hAnsi="Calibri" w:cs="Times New Roman"/>
                <w:sz w:val="18"/>
                <w:szCs w:val="18"/>
              </w:rPr>
              <w:t xml:space="preserve">Jednostavnost </w:t>
            </w:r>
          </w:p>
        </w:tc>
        <w:tc>
          <w:tcPr>
            <w:tcW w:w="117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4C52D2" w:rsidRDefault="004C52D2" w:rsidP="004C52D2">
            <w:pPr>
              <w:spacing w:line="240" w:lineRule="auto"/>
              <w:rPr>
                <w:rFonts w:ascii="Calibri" w:eastAsia="Times New Roman" w:hAnsi="Calibri" w:cs="Times New Roman"/>
                <w:sz w:val="18"/>
                <w:szCs w:val="18"/>
              </w:rPr>
            </w:pPr>
            <w:r w:rsidRPr="004C52D2">
              <w:rPr>
                <w:rFonts w:ascii="Calibri" w:eastAsia="Times New Roman" w:hAnsi="Calibri" w:cs="Times New Roman"/>
                <w:sz w:val="18"/>
                <w:szCs w:val="18"/>
              </w:rPr>
              <w:t>-</w:t>
            </w:r>
            <w:r>
              <w:rPr>
                <w:rFonts w:ascii="Calibri" w:eastAsia="Times New Roman" w:hAnsi="Calibri" w:cs="Times New Roman"/>
                <w:sz w:val="18"/>
                <w:szCs w:val="18"/>
              </w:rPr>
              <w:t xml:space="preserve"> Mala verovatnoća je da će se moći uzeti u obzir sve razlike između lokacije iz studije I naše lokacije. </w:t>
            </w:r>
          </w:p>
          <w:p w:rsidR="00941CD3" w:rsidRDefault="004C52D2" w:rsidP="004C52D2">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 xml:space="preserve">- Vrijednosti eko usluga za vrlo slične lokacije su ekstremno rijetka </w:t>
            </w:r>
          </w:p>
          <w:p w:rsidR="004C52D2" w:rsidRPr="004A5CE5" w:rsidRDefault="004C52D2" w:rsidP="004C52D2">
            <w:pPr>
              <w:spacing w:after="0" w:line="240" w:lineRule="auto"/>
              <w:rPr>
                <w:rFonts w:ascii="Calibri" w:eastAsia="Times New Roman" w:hAnsi="Calibri" w:cs="Times New Roman"/>
                <w:sz w:val="18"/>
                <w:szCs w:val="18"/>
              </w:rPr>
            </w:pPr>
          </w:p>
        </w:tc>
        <w:tc>
          <w:tcPr>
            <w:tcW w:w="57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1CD3" w:rsidRPr="004A5CE5" w:rsidRDefault="00941CD3" w:rsidP="003514B1">
            <w:pPr>
              <w:spacing w:after="0" w:line="240" w:lineRule="auto"/>
              <w:jc w:val="center"/>
              <w:rPr>
                <w:rFonts w:ascii="Calibri" w:eastAsia="Times New Roman" w:hAnsi="Calibri" w:cs="Times New Roman"/>
                <w:b/>
                <w:color w:val="000000"/>
                <w:sz w:val="18"/>
                <w:szCs w:val="18"/>
              </w:rPr>
            </w:pPr>
            <w:r w:rsidRPr="004A5CE5">
              <w:rPr>
                <w:rFonts w:ascii="Calibri" w:eastAsia="Times New Roman" w:hAnsi="Calibri" w:cs="Times New Roman"/>
                <w:b/>
                <w:color w:val="000000"/>
                <w:sz w:val="18"/>
                <w:szCs w:val="18"/>
              </w:rPr>
              <w:t>1</w:t>
            </w:r>
          </w:p>
        </w:tc>
      </w:tr>
      <w:tr w:rsidR="00941CD3" w:rsidRPr="004A5CE5" w:rsidTr="0096665F">
        <w:trPr>
          <w:trHeight w:val="1439"/>
        </w:trPr>
        <w:tc>
          <w:tcPr>
            <w:tcW w:w="87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1CD3" w:rsidRPr="004A5CE5" w:rsidRDefault="00562F0F" w:rsidP="003514B1">
            <w:pPr>
              <w:spacing w:after="0" w:line="240" w:lineRule="auto"/>
              <w:rPr>
                <w:rFonts w:ascii="Calibri" w:eastAsia="Times New Roman" w:hAnsi="Calibri" w:cs="Times New Roman"/>
                <w:sz w:val="18"/>
                <w:szCs w:val="18"/>
              </w:rPr>
            </w:pPr>
            <w:r w:rsidRPr="004A5CE5">
              <w:rPr>
                <w:rFonts w:ascii="Calibri" w:eastAsia="Times New Roman" w:hAnsi="Calibri" w:cs="Times New Roman"/>
                <w:sz w:val="18"/>
                <w:szCs w:val="18"/>
              </w:rPr>
              <w:t>Transfer funkcije vrijednosti</w:t>
            </w:r>
          </w:p>
        </w:tc>
        <w:tc>
          <w:tcPr>
            <w:tcW w:w="117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1CD3" w:rsidRPr="004A5CE5" w:rsidRDefault="000C63AF" w:rsidP="003514B1">
            <w:pPr>
              <w:spacing w:after="0" w:line="240" w:lineRule="auto"/>
              <w:rPr>
                <w:rFonts w:ascii="Calibri" w:eastAsia="Times New Roman" w:hAnsi="Calibri" w:cs="Times New Roman"/>
                <w:sz w:val="18"/>
                <w:szCs w:val="18"/>
              </w:rPr>
            </w:pPr>
            <w:r w:rsidRPr="004A5CE5">
              <w:rPr>
                <w:rFonts w:ascii="Calibri" w:eastAsia="Times New Roman" w:hAnsi="Calibri" w:cs="Times New Roman"/>
                <w:sz w:val="18"/>
                <w:szCs w:val="18"/>
              </w:rPr>
              <w:t xml:space="preserve">Upotrebi funkciju vrednosti iz originalnog istraživanja za ocjenu ES usluga na lokaciji ili zemlji koju razmatramo </w:t>
            </w:r>
          </w:p>
        </w:tc>
        <w:tc>
          <w:tcPr>
            <w:tcW w:w="121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1CD3" w:rsidRPr="004A5CE5" w:rsidRDefault="000C63AF" w:rsidP="00363E6C">
            <w:pPr>
              <w:spacing w:after="0" w:line="240" w:lineRule="auto"/>
              <w:rPr>
                <w:rFonts w:ascii="Calibri" w:eastAsia="Times New Roman" w:hAnsi="Calibri" w:cs="Times New Roman"/>
                <w:sz w:val="18"/>
                <w:szCs w:val="18"/>
              </w:rPr>
            </w:pPr>
            <w:r w:rsidRPr="004A5CE5">
              <w:rPr>
                <w:rFonts w:ascii="Calibri" w:eastAsia="Times New Roman" w:hAnsi="Calibri" w:cs="Times New Roman"/>
                <w:sz w:val="18"/>
                <w:szCs w:val="18"/>
              </w:rPr>
              <w:t>Dozvoljava da se uzmu u obzir razlike između lokacije iz studije i</w:t>
            </w:r>
            <w:r w:rsidR="00363E6C" w:rsidRPr="004A5CE5">
              <w:rPr>
                <w:rFonts w:ascii="Calibri" w:eastAsia="Times New Roman" w:hAnsi="Calibri" w:cs="Times New Roman"/>
                <w:sz w:val="18"/>
                <w:szCs w:val="18"/>
              </w:rPr>
              <w:t xml:space="preserve"> specifičnosti</w:t>
            </w:r>
            <w:r w:rsidRPr="004A5CE5">
              <w:rPr>
                <w:rFonts w:ascii="Calibri" w:eastAsia="Times New Roman" w:hAnsi="Calibri" w:cs="Times New Roman"/>
                <w:sz w:val="18"/>
                <w:szCs w:val="18"/>
              </w:rPr>
              <w:t xml:space="preserve"> lokacije </w:t>
            </w:r>
            <w:r w:rsidR="00363E6C" w:rsidRPr="004A5CE5">
              <w:rPr>
                <w:rFonts w:ascii="Calibri" w:eastAsia="Times New Roman" w:hAnsi="Calibri" w:cs="Times New Roman"/>
                <w:sz w:val="18"/>
                <w:szCs w:val="18"/>
              </w:rPr>
              <w:t xml:space="preserve">koju mi istražujemo (razlike u populaciji) </w:t>
            </w:r>
          </w:p>
        </w:tc>
        <w:tc>
          <w:tcPr>
            <w:tcW w:w="117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1CD3" w:rsidRDefault="004C52D2" w:rsidP="004C52D2">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 xml:space="preserve">Zahtijevaju se detaljni podaci o lokaciji kod koje mjerimo vrijednost ES usluga </w:t>
            </w:r>
          </w:p>
          <w:p w:rsidR="004C52D2" w:rsidRPr="004A5CE5" w:rsidRDefault="004C52D2" w:rsidP="004C52D2">
            <w:pPr>
              <w:spacing w:after="0" w:line="240" w:lineRule="auto"/>
              <w:rPr>
                <w:rFonts w:ascii="Calibri" w:eastAsia="Times New Roman" w:hAnsi="Calibri" w:cs="Times New Roman"/>
                <w:sz w:val="18"/>
                <w:szCs w:val="18"/>
              </w:rPr>
            </w:pPr>
          </w:p>
        </w:tc>
        <w:tc>
          <w:tcPr>
            <w:tcW w:w="57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1CD3" w:rsidRPr="004A5CE5" w:rsidRDefault="00941CD3" w:rsidP="003514B1">
            <w:pPr>
              <w:spacing w:after="0" w:line="240" w:lineRule="auto"/>
              <w:jc w:val="center"/>
              <w:rPr>
                <w:rFonts w:ascii="Calibri" w:eastAsia="Times New Roman" w:hAnsi="Calibri" w:cs="Times New Roman"/>
                <w:b/>
                <w:color w:val="000000"/>
                <w:sz w:val="18"/>
                <w:szCs w:val="18"/>
              </w:rPr>
            </w:pPr>
            <w:r w:rsidRPr="004A5CE5">
              <w:rPr>
                <w:rFonts w:ascii="Calibri" w:eastAsia="Times New Roman" w:hAnsi="Calibri" w:cs="Times New Roman"/>
                <w:b/>
                <w:color w:val="000000"/>
                <w:sz w:val="18"/>
                <w:szCs w:val="18"/>
              </w:rPr>
              <w:t>2</w:t>
            </w:r>
          </w:p>
        </w:tc>
      </w:tr>
      <w:tr w:rsidR="000E78F6" w:rsidRPr="004A5CE5" w:rsidTr="0096665F">
        <w:trPr>
          <w:trHeight w:val="1691"/>
        </w:trPr>
        <w:tc>
          <w:tcPr>
            <w:tcW w:w="871" w:type="pct"/>
            <w:shd w:val="clear" w:color="auto" w:fill="F2F2F2" w:themeFill="background1" w:themeFillShade="F2"/>
            <w:hideMark/>
          </w:tcPr>
          <w:p w:rsidR="000E78F6" w:rsidRPr="004A5CE5" w:rsidRDefault="00562F0F" w:rsidP="003514B1">
            <w:pPr>
              <w:spacing w:after="0" w:line="240" w:lineRule="auto"/>
              <w:rPr>
                <w:rFonts w:ascii="Calibri" w:eastAsia="Times New Roman" w:hAnsi="Calibri" w:cs="Times New Roman"/>
                <w:sz w:val="18"/>
                <w:szCs w:val="18"/>
              </w:rPr>
            </w:pPr>
            <w:r w:rsidRPr="004A5CE5">
              <w:rPr>
                <w:rFonts w:ascii="Calibri" w:eastAsia="Times New Roman" w:hAnsi="Calibri" w:cs="Times New Roman"/>
                <w:sz w:val="18"/>
                <w:szCs w:val="18"/>
              </w:rPr>
              <w:t xml:space="preserve">Transfer meta analitičke funkcije </w:t>
            </w:r>
          </w:p>
        </w:tc>
        <w:tc>
          <w:tcPr>
            <w:tcW w:w="1171" w:type="pct"/>
            <w:shd w:val="clear" w:color="auto" w:fill="F2F2F2" w:themeFill="background1" w:themeFillShade="F2"/>
            <w:hideMark/>
          </w:tcPr>
          <w:p w:rsidR="00363E6C" w:rsidRPr="004A5CE5" w:rsidRDefault="00363E6C" w:rsidP="00363E6C">
            <w:pPr>
              <w:spacing w:after="0" w:line="240" w:lineRule="auto"/>
              <w:rPr>
                <w:rFonts w:ascii="Calibri" w:eastAsia="Times New Roman" w:hAnsi="Calibri" w:cs="Times New Roman"/>
                <w:sz w:val="18"/>
                <w:szCs w:val="18"/>
              </w:rPr>
            </w:pPr>
            <w:r w:rsidRPr="004A5CE5">
              <w:rPr>
                <w:rFonts w:ascii="Calibri" w:eastAsia="Times New Roman" w:hAnsi="Calibri" w:cs="Times New Roman"/>
                <w:sz w:val="18"/>
                <w:szCs w:val="18"/>
              </w:rPr>
              <w:t xml:space="preserve">Iskoristi funkciju vrijednosti na bazi rezultata dobijenih u više različitih studija kako bi procijenili ES vrijednost na lokaciji koju mi posmatramo </w:t>
            </w:r>
          </w:p>
        </w:tc>
        <w:tc>
          <w:tcPr>
            <w:tcW w:w="1214" w:type="pct"/>
            <w:shd w:val="clear" w:color="auto" w:fill="F2F2F2" w:themeFill="background1" w:themeFillShade="F2"/>
            <w:hideMark/>
          </w:tcPr>
          <w:p w:rsidR="004A5CE5" w:rsidRPr="0096665F" w:rsidRDefault="00363E6C" w:rsidP="004A5CE5">
            <w:pPr>
              <w:spacing w:after="0" w:line="240" w:lineRule="auto"/>
              <w:rPr>
                <w:rFonts w:ascii="Calibri" w:eastAsia="Times New Roman" w:hAnsi="Calibri" w:cs="Times New Roman"/>
                <w:sz w:val="18"/>
                <w:szCs w:val="18"/>
              </w:rPr>
            </w:pPr>
            <w:r w:rsidRPr="004A5CE5">
              <w:rPr>
                <w:rFonts w:ascii="Calibri" w:eastAsia="Times New Roman" w:hAnsi="Calibri" w:cs="Times New Roman"/>
                <w:sz w:val="18"/>
                <w:szCs w:val="18"/>
              </w:rPr>
              <w:t xml:space="preserve">Dozvoljava kontrolu razlika između </w:t>
            </w:r>
            <w:r w:rsidR="004A5CE5" w:rsidRPr="004A5CE5">
              <w:rPr>
                <w:rFonts w:ascii="Calibri" w:eastAsia="Times New Roman" w:hAnsi="Calibri" w:cs="Times New Roman"/>
                <w:sz w:val="18"/>
                <w:szCs w:val="18"/>
              </w:rPr>
              <w:t xml:space="preserve">lokacije koja je predmet naše studije i originalne studije iz baze podataka (razlike u populaciji, ekosistemu, raspoloživošću supstituta) </w:t>
            </w:r>
          </w:p>
        </w:tc>
        <w:tc>
          <w:tcPr>
            <w:tcW w:w="1171" w:type="pct"/>
            <w:shd w:val="clear" w:color="auto" w:fill="F2F2F2" w:themeFill="background1" w:themeFillShade="F2"/>
            <w:hideMark/>
          </w:tcPr>
          <w:p w:rsidR="004C52D2" w:rsidRDefault="004C52D2" w:rsidP="004C52D2">
            <w:pPr>
              <w:spacing w:line="240" w:lineRule="auto"/>
              <w:rPr>
                <w:rFonts w:ascii="Calibri" w:eastAsia="Times New Roman" w:hAnsi="Calibri" w:cs="Times New Roman"/>
                <w:sz w:val="18"/>
                <w:szCs w:val="18"/>
              </w:rPr>
            </w:pPr>
            <w:r>
              <w:rPr>
                <w:rFonts w:ascii="Calibri" w:eastAsia="Times New Roman" w:hAnsi="Calibri" w:cs="Times New Roman"/>
                <w:sz w:val="18"/>
                <w:szCs w:val="18"/>
              </w:rPr>
              <w:t xml:space="preserve">- Zahtijevaju se detaljni podaci o lokaciji kod koje mjerimo vrijednost ES usluga </w:t>
            </w:r>
          </w:p>
          <w:p w:rsidR="000E78F6" w:rsidRPr="004C52D2" w:rsidRDefault="004C52D2" w:rsidP="004C52D2">
            <w:pPr>
              <w:spacing w:after="0" w:line="240" w:lineRule="auto"/>
              <w:rPr>
                <w:rFonts w:ascii="Calibri" w:eastAsia="Times New Roman" w:hAnsi="Calibri" w:cs="Times New Roman"/>
                <w:sz w:val="18"/>
                <w:szCs w:val="18"/>
              </w:rPr>
            </w:pPr>
            <w:r w:rsidRPr="004C52D2">
              <w:rPr>
                <w:rFonts w:ascii="Calibri" w:eastAsia="Times New Roman" w:hAnsi="Calibri" w:cs="Times New Roman"/>
                <w:sz w:val="18"/>
                <w:szCs w:val="18"/>
              </w:rPr>
              <w:t>-</w:t>
            </w:r>
            <w:r w:rsidR="001C1745">
              <w:rPr>
                <w:rFonts w:ascii="Calibri" w:eastAsia="Times New Roman" w:hAnsi="Calibri" w:cs="Times New Roman"/>
                <w:sz w:val="18"/>
                <w:szCs w:val="18"/>
              </w:rPr>
              <w:t xml:space="preserve">Analitički kompleksan </w:t>
            </w:r>
          </w:p>
        </w:tc>
        <w:tc>
          <w:tcPr>
            <w:tcW w:w="573" w:type="pct"/>
            <w:shd w:val="clear" w:color="auto" w:fill="F2F2F2" w:themeFill="background1" w:themeFillShade="F2"/>
            <w:hideMark/>
          </w:tcPr>
          <w:p w:rsidR="000E78F6" w:rsidRPr="004A5CE5" w:rsidRDefault="000E78F6" w:rsidP="003514B1">
            <w:pPr>
              <w:spacing w:after="0" w:line="240" w:lineRule="auto"/>
              <w:jc w:val="center"/>
              <w:rPr>
                <w:rFonts w:ascii="Calibri" w:eastAsia="Times New Roman" w:hAnsi="Calibri" w:cs="Times New Roman"/>
                <w:b/>
                <w:color w:val="000000"/>
                <w:sz w:val="18"/>
                <w:szCs w:val="18"/>
              </w:rPr>
            </w:pPr>
            <w:r w:rsidRPr="004A5CE5">
              <w:rPr>
                <w:rFonts w:ascii="Calibri" w:eastAsia="Times New Roman" w:hAnsi="Calibri" w:cs="Times New Roman"/>
                <w:b/>
                <w:color w:val="000000"/>
                <w:sz w:val="18"/>
                <w:szCs w:val="18"/>
              </w:rPr>
              <w:t>3</w:t>
            </w:r>
          </w:p>
          <w:p w:rsidR="009D23F2" w:rsidRPr="004A5CE5" w:rsidRDefault="009D23F2" w:rsidP="003514B1">
            <w:pPr>
              <w:spacing w:after="0" w:line="240" w:lineRule="auto"/>
              <w:jc w:val="center"/>
              <w:rPr>
                <w:rFonts w:ascii="Calibri" w:eastAsia="Times New Roman" w:hAnsi="Calibri" w:cs="Times New Roman"/>
                <w:b/>
                <w:color w:val="000000"/>
                <w:sz w:val="18"/>
                <w:szCs w:val="18"/>
              </w:rPr>
            </w:pPr>
          </w:p>
        </w:tc>
      </w:tr>
    </w:tbl>
    <w:p w:rsidR="00562F0F" w:rsidRPr="00BB3C1D" w:rsidRDefault="00562F0F" w:rsidP="00562F0F">
      <w:pPr>
        <w:spacing w:line="240" w:lineRule="auto"/>
        <w:jc w:val="both"/>
        <w:rPr>
          <w:sz w:val="20"/>
          <w:szCs w:val="20"/>
        </w:rPr>
      </w:pPr>
      <w:r w:rsidRPr="00BB3C1D">
        <w:rPr>
          <w:sz w:val="20"/>
          <w:szCs w:val="20"/>
        </w:rPr>
        <w:t xml:space="preserve">Izvor: </w:t>
      </w:r>
      <w:r>
        <w:rPr>
          <w:sz w:val="20"/>
          <w:szCs w:val="20"/>
        </w:rPr>
        <w:t xml:space="preserve">Brander and van Beukering (2016). </w:t>
      </w:r>
    </w:p>
    <w:p w:rsidR="00365674" w:rsidRDefault="00365674" w:rsidP="00365674">
      <w:pPr>
        <w:spacing w:line="276" w:lineRule="auto"/>
        <w:jc w:val="both"/>
        <w:rPr>
          <w:rFonts w:cs="DIN-Regular"/>
        </w:rPr>
      </w:pPr>
      <w:r>
        <w:rPr>
          <w:rFonts w:cs="DIN-Regular"/>
        </w:rPr>
        <w:t>Detaljniji uvid u to kako koristiti metod “transfer</w:t>
      </w:r>
      <w:r w:rsidR="00F05ACF">
        <w:rPr>
          <w:rFonts w:cs="DIN-Regular"/>
        </w:rPr>
        <w:t>a</w:t>
      </w:r>
      <w:r>
        <w:rPr>
          <w:rFonts w:cs="DIN-Regular"/>
        </w:rPr>
        <w:t xml:space="preserve">” može se naći u radovima Brander </w:t>
      </w:r>
      <w:r w:rsidRPr="00365674">
        <w:rPr>
          <w:rFonts w:cs="DIN-Regular"/>
        </w:rPr>
        <w:t>(2013</w:t>
      </w:r>
      <w:r>
        <w:rPr>
          <w:rFonts w:cs="DIN-Regular"/>
        </w:rPr>
        <w:t>)</w:t>
      </w:r>
      <w:r w:rsidR="001404D8">
        <w:rPr>
          <w:rFonts w:cs="DIN-Regular"/>
        </w:rPr>
        <w:t>, EFTEC (2010, 2010a)</w:t>
      </w:r>
      <w:r>
        <w:t xml:space="preserve"> kao i </w:t>
      </w:r>
      <w:r>
        <w:rPr>
          <w:rFonts w:cs="DIN-Regular"/>
        </w:rPr>
        <w:t>McVittie i Hussain</w:t>
      </w:r>
      <w:r w:rsidRPr="00855A77">
        <w:rPr>
          <w:rFonts w:cs="DIN-Regular"/>
        </w:rPr>
        <w:t xml:space="preserve"> (2013)</w:t>
      </w:r>
      <w:r>
        <w:rPr>
          <w:rFonts w:cs="DIN-Regular"/>
        </w:rPr>
        <w:t>. U McVittie i Hussain</w:t>
      </w:r>
      <w:r w:rsidRPr="00855A77">
        <w:rPr>
          <w:rFonts w:cs="DIN-Regular"/>
        </w:rPr>
        <w:t xml:space="preserve"> (2013)</w:t>
      </w:r>
      <w:r>
        <w:rPr>
          <w:rFonts w:cs="DIN-Regular"/>
        </w:rPr>
        <w:t xml:space="preserve"> se uz to može naći dobar opis raspoloživih baza podataka koje možemo koristiti za svrhe vrednovanja ekoloških usluga. </w:t>
      </w:r>
      <w:r w:rsidR="00FB0DC8">
        <w:rPr>
          <w:rFonts w:cs="DIN-Regular"/>
        </w:rPr>
        <w:t xml:space="preserve">U stvari taj je rad uglavnom posvećen predstavljanju takozvane TEEB baze podataka koja je njpoznatija baza ove vrste. </w:t>
      </w:r>
    </w:p>
    <w:p w:rsidR="00783D84" w:rsidRDefault="00783D84" w:rsidP="00365674">
      <w:pPr>
        <w:spacing w:line="276" w:lineRule="auto"/>
        <w:jc w:val="both"/>
        <w:rPr>
          <w:rFonts w:cs="DIN-Regular"/>
        </w:rPr>
      </w:pPr>
      <w:r>
        <w:rPr>
          <w:rFonts w:cs="DIN-Regular"/>
        </w:rPr>
        <w:t xml:space="preserve">TEEB baza podataka se </w:t>
      </w:r>
      <w:r w:rsidR="00FB4A19">
        <w:rPr>
          <w:rFonts w:cs="DIN-Regular"/>
        </w:rPr>
        <w:t>mož</w:t>
      </w:r>
      <w:r w:rsidR="00CD0BDE">
        <w:rPr>
          <w:rFonts w:cs="DIN-Regular"/>
        </w:rPr>
        <w:t>e</w:t>
      </w:r>
      <w:r w:rsidR="00FB4A19">
        <w:rPr>
          <w:rFonts w:cs="DIN-Regular"/>
        </w:rPr>
        <w:t xml:space="preserve"> naći na sledećim linkovima: </w:t>
      </w:r>
    </w:p>
    <w:tbl>
      <w:tblPr>
        <w:tblStyle w:val="TableGrid"/>
        <w:tblW w:w="9355" w:type="dxa"/>
        <w:tblLook w:val="04A0"/>
      </w:tblPr>
      <w:tblGrid>
        <w:gridCol w:w="9355"/>
      </w:tblGrid>
      <w:tr w:rsidR="00783D84" w:rsidRPr="002A5BE4" w:rsidTr="002A5BE4">
        <w:trPr>
          <w:trHeight w:val="315"/>
        </w:trPr>
        <w:tc>
          <w:tcPr>
            <w:tcW w:w="9355" w:type="dxa"/>
            <w:noWrap/>
            <w:hideMark/>
          </w:tcPr>
          <w:p w:rsidR="00783D84" w:rsidRPr="002A5BE4" w:rsidRDefault="00E53A22" w:rsidP="00FB4A19">
            <w:pPr>
              <w:spacing w:line="276" w:lineRule="auto"/>
              <w:jc w:val="both"/>
              <w:rPr>
                <w:sz w:val="18"/>
                <w:szCs w:val="18"/>
                <w:u w:val="single"/>
              </w:rPr>
            </w:pPr>
            <w:hyperlink r:id="rId68" w:history="1">
              <w:r w:rsidR="00783D84" w:rsidRPr="002A5BE4">
                <w:rPr>
                  <w:rStyle w:val="Hyperlink"/>
                  <w:sz w:val="18"/>
                  <w:szCs w:val="18"/>
                </w:rPr>
                <w:t>http://www.es-partnership.org/esp/80763/5/0/50</w:t>
              </w:r>
            </w:hyperlink>
          </w:p>
        </w:tc>
      </w:tr>
      <w:tr w:rsidR="00783D84" w:rsidRPr="002A5BE4" w:rsidTr="002A5BE4">
        <w:trPr>
          <w:trHeight w:val="315"/>
        </w:trPr>
        <w:tc>
          <w:tcPr>
            <w:tcW w:w="9355" w:type="dxa"/>
            <w:noWrap/>
            <w:hideMark/>
          </w:tcPr>
          <w:p w:rsidR="00783D84" w:rsidRPr="002A5BE4" w:rsidRDefault="00E53A22" w:rsidP="00FB4A19">
            <w:pPr>
              <w:spacing w:line="276" w:lineRule="auto"/>
              <w:jc w:val="both"/>
              <w:rPr>
                <w:sz w:val="18"/>
                <w:szCs w:val="18"/>
                <w:u w:val="single"/>
              </w:rPr>
            </w:pPr>
            <w:hyperlink r:id="rId69" w:history="1">
              <w:r w:rsidR="00783D84" w:rsidRPr="002A5BE4">
                <w:rPr>
                  <w:rStyle w:val="Hyperlink"/>
                  <w:sz w:val="18"/>
                  <w:szCs w:val="18"/>
                </w:rPr>
                <w:t xml:space="preserve">http://www.globalvaluexchange.org/news/0ad95653e1 </w:t>
              </w:r>
            </w:hyperlink>
          </w:p>
        </w:tc>
      </w:tr>
      <w:tr w:rsidR="00783D84" w:rsidRPr="002A5BE4" w:rsidTr="002A5BE4">
        <w:trPr>
          <w:trHeight w:val="315"/>
        </w:trPr>
        <w:tc>
          <w:tcPr>
            <w:tcW w:w="9355" w:type="dxa"/>
            <w:noWrap/>
            <w:hideMark/>
          </w:tcPr>
          <w:p w:rsidR="00783D84" w:rsidRPr="002A5BE4" w:rsidRDefault="00E53A22" w:rsidP="00FB4A19">
            <w:pPr>
              <w:spacing w:line="276" w:lineRule="auto"/>
              <w:jc w:val="both"/>
              <w:rPr>
                <w:sz w:val="18"/>
                <w:szCs w:val="18"/>
                <w:u w:val="single"/>
              </w:rPr>
            </w:pPr>
            <w:hyperlink r:id="rId70" w:history="1">
              <w:r w:rsidR="00783D84" w:rsidRPr="002A5BE4">
                <w:rPr>
                  <w:rStyle w:val="Hyperlink"/>
                  <w:sz w:val="18"/>
                  <w:szCs w:val="18"/>
                </w:rPr>
                <w:t xml:space="preserve">https://www.es-partnership.org/services/data-knowledge-sharing/ecosystem-service-valuation-database/ </w:t>
              </w:r>
            </w:hyperlink>
          </w:p>
        </w:tc>
      </w:tr>
    </w:tbl>
    <w:p w:rsidR="00783D84" w:rsidRDefault="00FB4A19" w:rsidP="00FB4A19">
      <w:pPr>
        <w:spacing w:before="240" w:line="276" w:lineRule="auto"/>
        <w:jc w:val="both"/>
      </w:pPr>
      <w:r>
        <w:t xml:space="preserve">Pored ove postoji </w:t>
      </w:r>
      <w:r w:rsidR="002A5BE4">
        <w:t>i</w:t>
      </w:r>
      <w:r>
        <w:t xml:space="preserve"> niz drugih baza podataka </w:t>
      </w:r>
      <w:r w:rsidR="002A5BE4">
        <w:t xml:space="preserve">i studija </w:t>
      </w:r>
      <w:r>
        <w:t xml:space="preserve">koje semogu koristiti za ocjenu ekonomske vrijednosti ekoloških usluga. Neke važnije se mogu naći na sledećim linkovima: </w:t>
      </w:r>
    </w:p>
    <w:tbl>
      <w:tblPr>
        <w:tblStyle w:val="TableGrid"/>
        <w:tblW w:w="9355" w:type="dxa"/>
        <w:tblLook w:val="04A0"/>
      </w:tblPr>
      <w:tblGrid>
        <w:gridCol w:w="9355"/>
      </w:tblGrid>
      <w:tr w:rsidR="00FB4A19" w:rsidRPr="002A5BE4" w:rsidTr="002A5BE4">
        <w:trPr>
          <w:trHeight w:val="315"/>
        </w:trPr>
        <w:tc>
          <w:tcPr>
            <w:tcW w:w="9355" w:type="dxa"/>
            <w:noWrap/>
            <w:hideMark/>
          </w:tcPr>
          <w:p w:rsidR="00FB4A19" w:rsidRPr="002A5BE4" w:rsidRDefault="00E53A22" w:rsidP="00FB4A19">
            <w:pPr>
              <w:spacing w:line="276" w:lineRule="auto"/>
              <w:jc w:val="both"/>
              <w:rPr>
                <w:sz w:val="18"/>
                <w:szCs w:val="18"/>
                <w:u w:val="single"/>
              </w:rPr>
            </w:pPr>
            <w:hyperlink r:id="rId71" w:history="1">
              <w:r w:rsidR="00FB4A19" w:rsidRPr="002A5BE4">
                <w:rPr>
                  <w:rStyle w:val="Hyperlink"/>
                  <w:sz w:val="18"/>
                  <w:szCs w:val="18"/>
                </w:rPr>
                <w:t xml:space="preserve">https://www.data.gov/ecosystems/ </w:t>
              </w:r>
            </w:hyperlink>
          </w:p>
        </w:tc>
      </w:tr>
      <w:tr w:rsidR="00FB4A19" w:rsidRPr="002A5BE4" w:rsidTr="002A5BE4">
        <w:trPr>
          <w:trHeight w:val="315"/>
        </w:trPr>
        <w:tc>
          <w:tcPr>
            <w:tcW w:w="9355" w:type="dxa"/>
            <w:noWrap/>
            <w:hideMark/>
          </w:tcPr>
          <w:p w:rsidR="00FB4A19" w:rsidRPr="002A5BE4" w:rsidRDefault="00E53A22" w:rsidP="00FB4A19">
            <w:pPr>
              <w:spacing w:line="276" w:lineRule="auto"/>
              <w:jc w:val="both"/>
              <w:rPr>
                <w:sz w:val="18"/>
                <w:szCs w:val="18"/>
                <w:u w:val="single"/>
              </w:rPr>
            </w:pPr>
            <w:hyperlink r:id="rId72" w:history="1">
              <w:r w:rsidR="00FB4A19" w:rsidRPr="002A5BE4">
                <w:rPr>
                  <w:rStyle w:val="Hyperlink"/>
                  <w:sz w:val="18"/>
                  <w:szCs w:val="18"/>
                </w:rPr>
                <w:t xml:space="preserve">http://www.teebweb.org/publication/tthe-economics-of-ecosystems-and-biodiversity-valuation-database-manual/ </w:t>
              </w:r>
            </w:hyperlink>
          </w:p>
        </w:tc>
      </w:tr>
      <w:tr w:rsidR="00FB4A19" w:rsidRPr="002A5BE4" w:rsidTr="002A5BE4">
        <w:trPr>
          <w:trHeight w:val="315"/>
        </w:trPr>
        <w:tc>
          <w:tcPr>
            <w:tcW w:w="9355" w:type="dxa"/>
            <w:noWrap/>
            <w:hideMark/>
          </w:tcPr>
          <w:p w:rsidR="00FB4A19" w:rsidRPr="002A5BE4" w:rsidRDefault="00E53A22" w:rsidP="00FB4A19">
            <w:pPr>
              <w:spacing w:line="276" w:lineRule="auto"/>
              <w:jc w:val="both"/>
              <w:rPr>
                <w:sz w:val="18"/>
                <w:szCs w:val="18"/>
                <w:u w:val="single"/>
              </w:rPr>
            </w:pPr>
            <w:hyperlink r:id="rId73" w:history="1">
              <w:r w:rsidR="00FB4A19" w:rsidRPr="002A5BE4">
                <w:rPr>
                  <w:rStyle w:val="Hyperlink"/>
                  <w:sz w:val="18"/>
                  <w:szCs w:val="18"/>
                </w:rPr>
                <w:t xml:space="preserve">http://www.gecoserv.org/ </w:t>
              </w:r>
            </w:hyperlink>
          </w:p>
        </w:tc>
      </w:tr>
      <w:tr w:rsidR="00FB4A19" w:rsidRPr="002A5BE4" w:rsidTr="002A5BE4">
        <w:trPr>
          <w:trHeight w:val="315"/>
        </w:trPr>
        <w:tc>
          <w:tcPr>
            <w:tcW w:w="9355" w:type="dxa"/>
            <w:noWrap/>
            <w:hideMark/>
          </w:tcPr>
          <w:p w:rsidR="00FB4A19" w:rsidRPr="002A5BE4" w:rsidRDefault="00E53A22" w:rsidP="00FB4A19">
            <w:pPr>
              <w:spacing w:line="276" w:lineRule="auto"/>
              <w:jc w:val="both"/>
              <w:rPr>
                <w:sz w:val="18"/>
                <w:szCs w:val="18"/>
                <w:u w:val="single"/>
              </w:rPr>
            </w:pPr>
            <w:hyperlink r:id="rId74" w:history="1">
              <w:r w:rsidR="00FB4A19" w:rsidRPr="002A5BE4">
                <w:rPr>
                  <w:rStyle w:val="Hyperlink"/>
                  <w:sz w:val="18"/>
                  <w:szCs w:val="18"/>
                </w:rPr>
                <w:t xml:space="preserve">http://innge.net/wiki/index.php/Ecological_Databases </w:t>
              </w:r>
            </w:hyperlink>
          </w:p>
        </w:tc>
      </w:tr>
    </w:tbl>
    <w:p w:rsidR="002A5BE4" w:rsidRDefault="002A5BE4" w:rsidP="006E0A51">
      <w:pPr>
        <w:spacing w:line="276" w:lineRule="auto"/>
      </w:pPr>
    </w:p>
    <w:p w:rsidR="009C485C" w:rsidRDefault="009C485C" w:rsidP="006E0A51">
      <w:pPr>
        <w:spacing w:line="276" w:lineRule="auto"/>
      </w:pPr>
    </w:p>
    <w:p w:rsidR="009C485C" w:rsidRDefault="009C485C" w:rsidP="006E0A51">
      <w:pPr>
        <w:spacing w:line="276" w:lineRule="auto"/>
      </w:pPr>
    </w:p>
    <w:p w:rsidR="009C485C" w:rsidRDefault="009C485C" w:rsidP="006E0A51">
      <w:pPr>
        <w:spacing w:line="276" w:lineRule="auto"/>
      </w:pPr>
    </w:p>
    <w:p w:rsidR="009C485C" w:rsidRDefault="009C485C">
      <w:r>
        <w:br w:type="page"/>
      </w:r>
    </w:p>
    <w:p w:rsidR="009C485C" w:rsidRDefault="009C485C" w:rsidP="006E0A51">
      <w:pPr>
        <w:spacing w:line="276" w:lineRule="auto"/>
      </w:pPr>
    </w:p>
    <w:p w:rsidR="009C485C" w:rsidRDefault="009C485C" w:rsidP="006E0A51">
      <w:pPr>
        <w:spacing w:line="276" w:lineRule="auto"/>
      </w:pPr>
    </w:p>
    <w:p w:rsidR="0096665F" w:rsidRPr="009C485C" w:rsidRDefault="00D5582C" w:rsidP="002A5BE4">
      <w:pPr>
        <w:spacing w:line="276" w:lineRule="auto"/>
        <w:jc w:val="both"/>
        <w:rPr>
          <w:b/>
          <w:sz w:val="28"/>
          <w:szCs w:val="28"/>
        </w:rPr>
      </w:pPr>
      <w:r>
        <w:rPr>
          <w:b/>
          <w:sz w:val="28"/>
          <w:szCs w:val="28"/>
        </w:rPr>
        <w:t xml:space="preserve">5.5. </w:t>
      </w:r>
      <w:r w:rsidR="008325CC">
        <w:rPr>
          <w:b/>
          <w:sz w:val="28"/>
          <w:szCs w:val="28"/>
        </w:rPr>
        <w:t>Kada</w:t>
      </w:r>
      <w:r w:rsidR="0096665F" w:rsidRPr="009C485C">
        <w:rPr>
          <w:b/>
          <w:sz w:val="28"/>
          <w:szCs w:val="28"/>
        </w:rPr>
        <w:t xml:space="preserve"> ne možemo</w:t>
      </w:r>
      <w:r w:rsidR="00CD0BDE">
        <w:rPr>
          <w:b/>
          <w:sz w:val="28"/>
          <w:szCs w:val="28"/>
        </w:rPr>
        <w:t>,</w:t>
      </w:r>
      <w:r w:rsidR="00744274">
        <w:rPr>
          <w:b/>
          <w:sz w:val="28"/>
          <w:szCs w:val="28"/>
        </w:rPr>
        <w:t>a</w:t>
      </w:r>
      <w:r w:rsidR="00F43E10">
        <w:rPr>
          <w:b/>
          <w:sz w:val="28"/>
          <w:szCs w:val="28"/>
        </w:rPr>
        <w:t xml:space="preserve"> kada ne moramo vrednosno izraziti</w:t>
      </w:r>
      <w:r w:rsidR="0096665F" w:rsidRPr="009C485C">
        <w:rPr>
          <w:b/>
          <w:sz w:val="28"/>
          <w:szCs w:val="28"/>
        </w:rPr>
        <w:t xml:space="preserve"> ekološke efekte </w:t>
      </w:r>
    </w:p>
    <w:p w:rsidR="002A5BE4" w:rsidRDefault="002A5BE4" w:rsidP="002A5BE4">
      <w:pPr>
        <w:spacing w:line="276" w:lineRule="auto"/>
        <w:jc w:val="both"/>
      </w:pPr>
      <w:r>
        <w:t xml:space="preserve">Postoje, međutim, i situacije kada ni metod “transfera” ne može pomoći u nastojanju da monetarno izrazimo vrijednosti neekonomskih tokova ekoloških usluga. Prije svega, u mnogim situacijama su lokalne </w:t>
      </w:r>
      <w:r w:rsidR="00236071">
        <w:t xml:space="preserve">ekološke </w:t>
      </w:r>
      <w:r>
        <w:t xml:space="preserve">specifičnosti </w:t>
      </w:r>
      <w:r w:rsidR="00236071">
        <w:t>toliko izražene da nam ni bogate baze podataka ne mogu poslužiti kao oslonac</w:t>
      </w:r>
      <w:r w:rsidR="00C0679D">
        <w:t xml:space="preserve"> u nastojanju da damo makar približnu procjenu na ovaj način</w:t>
      </w:r>
      <w:r w:rsidR="00236071">
        <w:t xml:space="preserve">. Drugo, mnogo važnije i komplikovanije je pitanje estetskih vrijednosti vezanih za određene ekološke sadržaje. </w:t>
      </w:r>
      <w:r w:rsidR="00C0679D">
        <w:t>Kao što je vrijednost neke javne ili privat</w:t>
      </w:r>
      <w:r w:rsidR="001E43FA">
        <w:t>n</w:t>
      </w:r>
      <w:r w:rsidR="00C0679D">
        <w:t xml:space="preserve">e zbirke slika nemoguće vrednovati na bazi prihoda </w:t>
      </w:r>
      <w:r w:rsidR="00DC461A">
        <w:t>ostvarenih od prodaje karata za obilazak galerije u kojoj je zbirka smještena tako je i estetske vrijednosti nekog nacionalnog parka nemoguće mjeriti na bazi prihoda ostvarenog prodajom ulaznica u nacionalni park. Ovo je miš</w:t>
      </w:r>
      <w:r w:rsidR="002A0ECE">
        <w:t>ljenje dobrog dijela sociologa k</w:t>
      </w:r>
      <w:r w:rsidR="00DC461A">
        <w:t xml:space="preserve">ulture i zasnovano je na stavu da se estetske vrijednosti ne mogu tretirati kao komercijalne, te da se zato ne mogu ni izraziti preko monetarnog ekvivalenta. To je mišljenje sa kojim se slaže i dobar dio ekonomista mada ima </w:t>
      </w:r>
      <w:r w:rsidR="00573CAA">
        <w:t xml:space="preserve">i ekonomista koji smatraju da klasični ekonomski modeli vrednovanja mogu biti primijenjeni i ovdje. </w:t>
      </w:r>
    </w:p>
    <w:p w:rsidR="000C12C6" w:rsidRDefault="00573CAA" w:rsidP="002A5BE4">
      <w:pPr>
        <w:spacing w:line="276" w:lineRule="auto"/>
        <w:jc w:val="both"/>
      </w:pPr>
      <w:r>
        <w:t xml:space="preserve">Postavlja se </w:t>
      </w:r>
      <w:r w:rsidR="000C12C6">
        <w:t xml:space="preserve">sada </w:t>
      </w:r>
      <w:r>
        <w:t>pitanje šta činiti tj</w:t>
      </w:r>
      <w:r w:rsidR="001E43FA">
        <w:t>.</w:t>
      </w:r>
      <w:r>
        <w:t xml:space="preserve">kako odlučivati u onim situacijama kada zbog raznoraznih razloga nemamo odgovarajuću procjenu ekonomske vrijednosti tokova ekoloških usluga. U takvim situacijama </w:t>
      </w:r>
      <w:r w:rsidR="002E0A3C">
        <w:t xml:space="preserve">se možemo suočiti sa nekoliko kombinacija. </w:t>
      </w:r>
    </w:p>
    <w:p w:rsidR="00C0679D" w:rsidRDefault="002E0A3C" w:rsidP="002A5BE4">
      <w:pPr>
        <w:spacing w:line="276" w:lineRule="auto"/>
        <w:jc w:val="both"/>
      </w:pPr>
      <w:r>
        <w:t>Prvo, moguće je da su sve vrijednosti ekološkiih tokova očito i bez mjerenja negativne a da je istovremeno i suma svih ostalih društvenih i ekonomskih tokova posmatranog projekta (mjere, javne politike i sl</w:t>
      </w:r>
      <w:r w:rsidR="001E43FA">
        <w:t>.</w:t>
      </w:r>
      <w:r>
        <w:t xml:space="preserve">) </w:t>
      </w:r>
      <w:r w:rsidR="001404D8">
        <w:t xml:space="preserve">takođe </w:t>
      </w:r>
      <w:r>
        <w:t xml:space="preserve">negativna. Ovo je situacija u kojoj dati projekat prosto odmah treba odbaciti bez trošenja sredstava na procjenu ekonomske vrijednosti ekoloških efekata čak i kada postoji mogućnost za tako nešto. </w:t>
      </w:r>
    </w:p>
    <w:p w:rsidR="000C12C6" w:rsidRPr="000C12C6" w:rsidRDefault="000C12C6" w:rsidP="000C12C6">
      <w:pPr>
        <w:autoSpaceDE w:val="0"/>
        <w:autoSpaceDN w:val="0"/>
        <w:adjustRightInd w:val="0"/>
        <w:spacing w:line="276" w:lineRule="auto"/>
        <w:jc w:val="both"/>
        <w:rPr>
          <w:rFonts w:cs="Tahoma"/>
          <w:color w:val="000000"/>
        </w:rPr>
      </w:pPr>
      <w:r>
        <w:rPr>
          <w:rFonts w:cs="Tahoma"/>
          <w:color w:val="000000"/>
        </w:rPr>
        <w:t>Drugo, kada je suma svih ekoloških efekata pozitivna</w:t>
      </w:r>
      <w:r w:rsidR="001E43FA">
        <w:rPr>
          <w:rFonts w:cs="Tahoma"/>
          <w:color w:val="000000"/>
        </w:rPr>
        <w:t>,</w:t>
      </w:r>
      <w:r>
        <w:rPr>
          <w:rFonts w:cs="Tahoma"/>
          <w:color w:val="000000"/>
        </w:rPr>
        <w:t xml:space="preserve"> a istovremeno je</w:t>
      </w:r>
      <w:r w:rsidR="001404D8">
        <w:rPr>
          <w:rFonts w:cs="Tahoma"/>
          <w:color w:val="000000"/>
        </w:rPr>
        <w:t xml:space="preserve"> takođe</w:t>
      </w:r>
      <w:r>
        <w:rPr>
          <w:rFonts w:cs="Tahoma"/>
          <w:color w:val="000000"/>
        </w:rPr>
        <w:t xml:space="preserve"> i suma svih ostalih društveno-ekonomskih efekata pozitivna, tada je očito da imamo posla sa povoljnim projektom koji treba prihvatiti bez ikakvog mjerenja ekoloških efekata i bespotrebnog trošenja srestava na ovakve vrste </w:t>
      </w:r>
      <w:r w:rsidR="001404D8">
        <w:rPr>
          <w:rFonts w:cs="Tahoma"/>
          <w:color w:val="000000"/>
        </w:rPr>
        <w:t>istraživanja. U oba prethodna</w:t>
      </w:r>
      <w:r>
        <w:rPr>
          <w:rFonts w:cs="Tahoma"/>
          <w:color w:val="000000"/>
        </w:rPr>
        <w:t xml:space="preserve"> slučaja nije isključeno da se</w:t>
      </w:r>
      <w:r w:rsidR="001404D8">
        <w:rPr>
          <w:rFonts w:cs="Tahoma"/>
          <w:color w:val="000000"/>
        </w:rPr>
        <w:t>, kroz nove projekte,</w:t>
      </w:r>
      <w:r>
        <w:rPr>
          <w:rFonts w:cs="Tahoma"/>
          <w:color w:val="000000"/>
        </w:rPr>
        <w:t xml:space="preserve"> ekološke analize naprave kasnije, nakon završetka projekta koji ocjenjujemo, sa namjerom da se </w:t>
      </w:r>
      <w:r w:rsidR="00352163">
        <w:rPr>
          <w:rFonts w:cs="Tahoma"/>
          <w:color w:val="000000"/>
        </w:rPr>
        <w:t xml:space="preserve">pozitivni ekološki efekti projekta još više uvećaju a negativni umanje. </w:t>
      </w:r>
    </w:p>
    <w:p w:rsidR="000E78F6" w:rsidRDefault="00352163" w:rsidP="000C12C6">
      <w:pPr>
        <w:spacing w:line="276" w:lineRule="auto"/>
        <w:jc w:val="both"/>
      </w:pPr>
      <w:r>
        <w:t xml:space="preserve">Treći slučaj je onaj kod kojeg je suma svih društveno-ekonomskih efekata pozitivna dok je vrijednost svih ekoloških efekata negativna. Ovdje su moguće dvije situacije. Prva je ona u kojoj je i bez mjerenja jasno da je vrijednost negativnih ekoloških efekata zanemarljivo mala u poređenju sa svim ostalim </w:t>
      </w:r>
      <w:r w:rsidR="00F5231E">
        <w:t xml:space="preserve">pozitivnim </w:t>
      </w:r>
      <w:r>
        <w:t>društveno ekonomskih efe</w:t>
      </w:r>
      <w:r w:rsidR="006860A2">
        <w:t>kata. U ovoj situaciji se</w:t>
      </w:r>
      <w:r>
        <w:t xml:space="preserve"> može prihvatiti projekat bez</w:t>
      </w:r>
      <w:r w:rsidR="006860A2">
        <w:t xml:space="preserve"> dodatnog</w:t>
      </w:r>
      <w:r>
        <w:t xml:space="preserve"> mjerenja ekonomske vrijednosti </w:t>
      </w:r>
      <w:r w:rsidR="006860A2">
        <w:t xml:space="preserve">ekoloških efekata. </w:t>
      </w:r>
    </w:p>
    <w:p w:rsidR="006860A2" w:rsidRDefault="006860A2" w:rsidP="000C12C6">
      <w:pPr>
        <w:spacing w:line="276" w:lineRule="auto"/>
        <w:jc w:val="both"/>
      </w:pPr>
      <w:r>
        <w:t xml:space="preserve">Ukoliko je, međutim, u prethodnom slučaju očekivana vrijednost </w:t>
      </w:r>
      <w:r w:rsidR="0023568D">
        <w:t xml:space="preserve">negativnih ekoloških efekata </w:t>
      </w:r>
      <w:r>
        <w:t xml:space="preserve">vrlo visoka, odnosno dovoljno visoka da bi mogla ugroziti isplativost projekta u cjelini, tada se, pošto je mjerenje ili skupo ili nemoguće, mora pristupiti kolektivnoj procjeni vrijednosti projekta kao cjelina. U </w:t>
      </w:r>
      <w:r>
        <w:lastRenderedPageBreak/>
        <w:t xml:space="preserve">krajnjoj liniji, sam politički proces će dati svoj sud o projekti čak i kada tome ne pristupimo na organizovan način. </w:t>
      </w:r>
      <w:r w:rsidR="00062515">
        <w:t>Nažalost, politički proces često bude ili krivotvoren od moćnih grupa ili bude praćen visokim stepenom, često nepotrebne, hostilizacije. Dobra studija bi trebala da upravo spreči ove pojave i odluke o projektima ili bilo kojim javnim politikma</w:t>
      </w:r>
      <w:r w:rsidR="002B34F8">
        <w:t xml:space="preserve"> tako što će javne odluke</w:t>
      </w:r>
      <w:r w:rsidR="00062515">
        <w:t xml:space="preserve"> učini</w:t>
      </w:r>
      <w:r w:rsidR="002B34F8">
        <w:t>ti,</w:t>
      </w:r>
      <w:r w:rsidR="00062515">
        <w:t xml:space="preserve"> u što je moguće većoj mjeri</w:t>
      </w:r>
      <w:r w:rsidR="002B34F8">
        <w:t>, jasnim</w:t>
      </w:r>
      <w:r w:rsidR="00062515">
        <w:t xml:space="preserve"> pitanjem stručne ocjene. </w:t>
      </w:r>
    </w:p>
    <w:p w:rsidR="000A44E7" w:rsidRDefault="00B33C0E" w:rsidP="003C7D65">
      <w:pPr>
        <w:spacing w:line="276" w:lineRule="auto"/>
        <w:jc w:val="both"/>
      </w:pPr>
      <w:r>
        <w:t>Posebnu vrstu predstavljaju projekti koji su isključivo ekološki tj</w:t>
      </w:r>
      <w:r w:rsidR="001E43FA">
        <w:t>.</w:t>
      </w:r>
      <w:r>
        <w:t>čije je jezgro u poboljšanju životne sredine. Takve projekte karakteriše to da su im svi, ili skoro svi, troškovi dati u mon</w:t>
      </w:r>
      <w:r w:rsidR="000A44E7">
        <w:t>etarnim jedinicama mjere dok sui</w:t>
      </w:r>
      <w:r>
        <w:t>m sve, ili skoro sve, koristi u nemonetarnim jedinicama. Samo ukoliko su troškovi vrlo mali a koristi očigledno velike</w:t>
      </w:r>
      <w:r w:rsidR="000A44E7">
        <w:t xml:space="preserve"> i bez mjerenja</w:t>
      </w:r>
      <w:r>
        <w:t xml:space="preserve"> možemo prihvatiti projekat bez procjene ekonomske vrijednosti koristi. U tom slučaju se, dakle, pristupa tako</w:t>
      </w:r>
      <w:r w:rsidR="000A44E7">
        <w:t>zvanoj Cost-Efectivness analizi, kod koje se koristi projekta ne dovode u pitanje već se teži naći metod realizacije projekta koji će zadate ciljeve ostvariti uz najniže troškove.</w:t>
      </w:r>
      <w:r>
        <w:t xml:space="preserve"> U svim ostalim slučajevima, pogotovo kod skupih ekoloških projekata, se </w:t>
      </w:r>
      <w:r w:rsidR="009A4ADA">
        <w:t xml:space="preserve">strogo </w:t>
      </w:r>
      <w:r>
        <w:t xml:space="preserve">preporučuje </w:t>
      </w:r>
      <w:r w:rsidR="009A4ADA">
        <w:t>primjena kompletne Cost-Benefit analize. U protivnom imali bi odlučivanje o skupim projektima u krajnje netrasparentnim uslovima, što bi pogodovalo razvoju korupcije</w:t>
      </w:r>
      <w:r w:rsidR="000A44E7">
        <w:t xml:space="preserve"> pa time i do hostilizacije političkog procesa</w:t>
      </w:r>
      <w:r w:rsidR="009A4ADA">
        <w:t xml:space="preserve">. </w:t>
      </w:r>
    </w:p>
    <w:p w:rsidR="006B686F" w:rsidRDefault="006B686F" w:rsidP="003C7D65">
      <w:pPr>
        <w:spacing w:line="276" w:lineRule="auto"/>
        <w:jc w:val="both"/>
      </w:pPr>
    </w:p>
    <w:p w:rsidR="008708D2" w:rsidRDefault="008708D2">
      <w:r>
        <w:br w:type="page"/>
      </w:r>
    </w:p>
    <w:p w:rsidR="008708D2" w:rsidRDefault="008708D2" w:rsidP="000C12C6">
      <w:pPr>
        <w:spacing w:line="276" w:lineRule="auto"/>
        <w:jc w:val="both"/>
      </w:pPr>
    </w:p>
    <w:p w:rsidR="000A44E7" w:rsidRDefault="000A44E7" w:rsidP="000C12C6">
      <w:pPr>
        <w:spacing w:line="276" w:lineRule="auto"/>
        <w:jc w:val="both"/>
      </w:pPr>
    </w:p>
    <w:p w:rsidR="000A44E7" w:rsidRPr="000A44E7" w:rsidRDefault="00B91E23" w:rsidP="000C12C6">
      <w:pPr>
        <w:spacing w:line="276" w:lineRule="auto"/>
        <w:jc w:val="both"/>
        <w:rPr>
          <w:b/>
          <w:sz w:val="28"/>
          <w:szCs w:val="28"/>
        </w:rPr>
      </w:pPr>
      <w:r>
        <w:rPr>
          <w:b/>
          <w:sz w:val="28"/>
          <w:szCs w:val="28"/>
        </w:rPr>
        <w:t xml:space="preserve">5.6. </w:t>
      </w:r>
      <w:r w:rsidR="00D81C03">
        <w:rPr>
          <w:b/>
          <w:sz w:val="28"/>
          <w:szCs w:val="28"/>
        </w:rPr>
        <w:t>Identifikacija e</w:t>
      </w:r>
      <w:r w:rsidR="000A44E7" w:rsidRPr="000A44E7">
        <w:rPr>
          <w:b/>
          <w:sz w:val="28"/>
          <w:szCs w:val="28"/>
        </w:rPr>
        <w:t>kološki</w:t>
      </w:r>
      <w:r w:rsidR="00D81C03">
        <w:rPr>
          <w:b/>
          <w:sz w:val="28"/>
          <w:szCs w:val="28"/>
        </w:rPr>
        <w:t>h</w:t>
      </w:r>
      <w:r w:rsidR="000A44E7" w:rsidRPr="000A44E7">
        <w:rPr>
          <w:b/>
          <w:sz w:val="28"/>
          <w:szCs w:val="28"/>
        </w:rPr>
        <w:t xml:space="preserve"> problem</w:t>
      </w:r>
      <w:r w:rsidR="00D81C03">
        <w:rPr>
          <w:b/>
          <w:sz w:val="28"/>
          <w:szCs w:val="28"/>
        </w:rPr>
        <w:t>a</w:t>
      </w:r>
      <w:r w:rsidR="000A44E7" w:rsidRPr="000A44E7">
        <w:rPr>
          <w:b/>
          <w:sz w:val="28"/>
          <w:szCs w:val="28"/>
        </w:rPr>
        <w:t>na mHE Jara i</w:t>
      </w:r>
      <w:r w:rsidR="00F14190">
        <w:rPr>
          <w:b/>
          <w:sz w:val="28"/>
          <w:szCs w:val="28"/>
        </w:rPr>
        <w:t xml:space="preserve">mHE </w:t>
      </w:r>
      <w:r w:rsidR="005D0A50">
        <w:rPr>
          <w:b/>
          <w:sz w:val="28"/>
          <w:szCs w:val="28"/>
        </w:rPr>
        <w:t>Babino P</w:t>
      </w:r>
      <w:r w:rsidR="00F14190">
        <w:rPr>
          <w:b/>
          <w:sz w:val="28"/>
          <w:szCs w:val="28"/>
        </w:rPr>
        <w:t xml:space="preserve">olje </w:t>
      </w:r>
    </w:p>
    <w:p w:rsidR="008708D2" w:rsidRDefault="002A0ECE" w:rsidP="00097201">
      <w:pPr>
        <w:spacing w:line="276" w:lineRule="auto"/>
        <w:jc w:val="both"/>
      </w:pPr>
      <w:r>
        <w:t xml:space="preserve">Na osnovu </w:t>
      </w:r>
      <w:r w:rsidR="00097201">
        <w:t>e</w:t>
      </w:r>
      <w:r>
        <w:t xml:space="preserve">koloških studija </w:t>
      </w:r>
      <w:r w:rsidR="00097201">
        <w:t xml:space="preserve">napravljenih </w:t>
      </w:r>
      <w:r w:rsidR="00700DED">
        <w:t xml:space="preserve">od konsultantske firme SISTEM </w:t>
      </w:r>
      <w:r>
        <w:t>za dvije male hidroelektrane</w:t>
      </w:r>
      <w:r w:rsidR="006A37A2">
        <w:t>, Jara i</w:t>
      </w:r>
      <w:r w:rsidR="00D84FDC">
        <w:t xml:space="preserve"> Babini Polje,</w:t>
      </w:r>
      <w:r w:rsidR="00097201">
        <w:t xml:space="preserve">prije izgradnje </w:t>
      </w:r>
      <w:r w:rsidR="0031033D">
        <w:t xml:space="preserve">elektrana </w:t>
      </w:r>
      <w:r w:rsidR="00097201">
        <w:t>ustanovljen je izvjestan broj malih</w:t>
      </w:r>
      <w:r w:rsidR="005D0A50">
        <w:t>, skoro</w:t>
      </w:r>
      <w:r w:rsidR="00097201">
        <w:t xml:space="preserve"> zanemarljivih</w:t>
      </w:r>
      <w:r w:rsidR="00D84FDC">
        <w:t>,</w:t>
      </w:r>
      <w:r w:rsidR="00097201">
        <w:t xml:space="preserve"> ekoloških poremećaja usled izgradnje </w:t>
      </w:r>
      <w:r w:rsidR="00D84FDC">
        <w:t xml:space="preserve">i budućeg poslovanja </w:t>
      </w:r>
      <w:r w:rsidR="006A37A2">
        <w:t xml:space="preserve">ovih dveju </w:t>
      </w:r>
      <w:r w:rsidR="00D84FDC">
        <w:t>malih hidro-</w:t>
      </w:r>
      <w:r w:rsidR="00097201">
        <w:t xml:space="preserve">elektrana. </w:t>
      </w:r>
      <w:r w:rsidR="00A3187E">
        <w:t xml:space="preserve">Uprkos iscrpnom istraživanju </w:t>
      </w:r>
      <w:r w:rsidR="00D84FDC">
        <w:t>i h</w:t>
      </w:r>
      <w:r w:rsidR="00A3187E">
        <w:t>v</w:t>
      </w:r>
      <w:r w:rsidR="001E43FA">
        <w:t>a</w:t>
      </w:r>
      <w:r w:rsidR="00A3187E">
        <w:t xml:space="preserve">le vrednom naporu u radu nije učinjen </w:t>
      </w:r>
      <w:r w:rsidR="00D84FDC">
        <w:t>pokušaj da se iz</w:t>
      </w:r>
      <w:r w:rsidR="00A3187E">
        <w:t>vrši ekonomska evaluacija ekoloških efekata</w:t>
      </w:r>
      <w:r w:rsidR="00D84FDC">
        <w:t xml:space="preserve"> projekata. Iskoristićemo zato rezultate</w:t>
      </w:r>
      <w:r w:rsidR="00D81C03">
        <w:t xml:space="preserve"> nalaza </w:t>
      </w:r>
      <w:r w:rsidR="00D84FDC">
        <w:t xml:space="preserve">ovih ekoloških studija kao izvor podataka za takvu evaluaciju. Pored toga, s obzirom da su </w:t>
      </w:r>
      <w:r w:rsidR="009E71EB">
        <w:t xml:space="preserve">već izgrađene te da </w:t>
      </w:r>
      <w:r w:rsidR="00D84FDC">
        <w:t>elektrane funkcionišu već dvije godine</w:t>
      </w:r>
      <w:r w:rsidR="009E71EB">
        <w:t xml:space="preserve"> bilo je moguće identifikovati neke nove ekološke problem koji se u studiji ne nalaze već su se naknadno javili. Podatke o ovim problemima dobili smo radom na terenu kroz razgovor sa mještanima zahvaćenih sela kao i direktnim uvidom u situaciju. U narednim redovima sledi opis situacje i ekoloških problema onako kako su identifikovani na obe male elektrane u studijama i naknadnim uvidom.</w:t>
      </w:r>
      <w:r w:rsidR="0089146E">
        <w:rPr>
          <w:rStyle w:val="FootnoteReference"/>
        </w:rPr>
        <w:footnoteReference w:id="20"/>
      </w:r>
    </w:p>
    <w:p w:rsidR="009C20E7" w:rsidRPr="000D257A" w:rsidRDefault="000D257A" w:rsidP="00272C10">
      <w:pPr>
        <w:pStyle w:val="ListParagraph"/>
        <w:numPr>
          <w:ilvl w:val="0"/>
          <w:numId w:val="4"/>
        </w:numPr>
        <w:spacing w:line="276" w:lineRule="auto"/>
        <w:jc w:val="both"/>
        <w:rPr>
          <w:b/>
        </w:rPr>
      </w:pPr>
      <w:r w:rsidRPr="000D257A">
        <w:rPr>
          <w:b/>
        </w:rPr>
        <w:t xml:space="preserve">Nalazi ekološke studije o </w:t>
      </w:r>
      <w:r w:rsidR="009616CF" w:rsidRPr="000D257A">
        <w:rPr>
          <w:b/>
        </w:rPr>
        <w:t xml:space="preserve">mHE Jara </w:t>
      </w:r>
    </w:p>
    <w:p w:rsidR="003C63AB" w:rsidRDefault="009E71EB" w:rsidP="003C63AB">
      <w:pPr>
        <w:spacing w:line="276" w:lineRule="auto"/>
        <w:jc w:val="both"/>
      </w:pPr>
      <w:r w:rsidRPr="00CB5A30">
        <w:rPr>
          <w:bCs/>
        </w:rPr>
        <w:t xml:space="preserve">U opisu stanja </w:t>
      </w:r>
      <w:r w:rsidRPr="00C16C66">
        <w:rPr>
          <w:b/>
          <w:bCs/>
          <w:i/>
        </w:rPr>
        <w:t>životne sredine kakva je bila prije izgradnje</w:t>
      </w:r>
      <w:r w:rsidRPr="00CB5A30">
        <w:rPr>
          <w:bCs/>
        </w:rPr>
        <w:t xml:space="preserve"> mHE Jara</w:t>
      </w:r>
      <w:r w:rsidR="00CB5A30" w:rsidRPr="00CB5A30">
        <w:rPr>
          <w:bCs/>
        </w:rPr>
        <w:t xml:space="preserve"> autori konstatuju da je, u cjelini gledano, k</w:t>
      </w:r>
      <w:r w:rsidR="00CB5A30" w:rsidRPr="00CB5A30">
        <w:t>valitet životn</w:t>
      </w:r>
      <w:r w:rsidR="00CB5A30">
        <w:t>e sredine na lokaciji planiranog</w:t>
      </w:r>
      <w:r w:rsidR="00CB5A30" w:rsidRPr="00CB5A30">
        <w:t xml:space="preserve"> postrojenja veoma dobar. </w:t>
      </w:r>
      <w:r w:rsidR="00CB5A30">
        <w:t xml:space="preserve">Posmatrajući pojedine posebne dimenzije ekosistema </w:t>
      </w:r>
      <w:r w:rsidR="00CB5A30">
        <w:rPr>
          <w:bCs/>
        </w:rPr>
        <w:t>koje su relevantne</w:t>
      </w:r>
      <w:r>
        <w:rPr>
          <w:bCs/>
        </w:rPr>
        <w:t xml:space="preserve"> i</w:t>
      </w:r>
      <w:r w:rsidR="00CB5A30">
        <w:rPr>
          <w:bCs/>
        </w:rPr>
        <w:t xml:space="preserve"> osjetljive</w:t>
      </w:r>
      <w:r>
        <w:rPr>
          <w:bCs/>
        </w:rPr>
        <w:t>na uticaj datog projekta autori posebno ističu sledeće</w:t>
      </w:r>
      <w:r w:rsidR="003258DC">
        <w:rPr>
          <w:bCs/>
        </w:rPr>
        <w:t xml:space="preserve"> (sve prema Jara, 2012)</w:t>
      </w:r>
      <w:r>
        <w:rPr>
          <w:bCs/>
        </w:rPr>
        <w:t>:</w:t>
      </w:r>
    </w:p>
    <w:p w:rsidR="00242082" w:rsidRPr="00242082" w:rsidRDefault="00A3187E" w:rsidP="00272C10">
      <w:pPr>
        <w:pStyle w:val="ListParagraph"/>
        <w:numPr>
          <w:ilvl w:val="0"/>
          <w:numId w:val="2"/>
        </w:numPr>
        <w:spacing w:line="276" w:lineRule="auto"/>
        <w:jc w:val="both"/>
      </w:pPr>
      <w:r w:rsidRPr="00242082">
        <w:t>Na lokaciji i u njenoj blizi</w:t>
      </w:r>
      <w:r w:rsidR="003C63AB" w:rsidRPr="00242082">
        <w:t>ni nema značajnijih permanentnih izvora zagađenja, poput industrijskih postrojenja, prometnih saobraćajnica</w:t>
      </w:r>
      <w:r w:rsidRPr="00242082">
        <w:t xml:space="preserve"> i drugi</w:t>
      </w:r>
      <w:r w:rsidR="003C63AB" w:rsidRPr="00242082">
        <w:t>h</w:t>
      </w:r>
      <w:r w:rsidRPr="00242082">
        <w:t xml:space="preserve"> slični</w:t>
      </w:r>
      <w:r w:rsidR="003C63AB" w:rsidRPr="00242082">
        <w:t xml:space="preserve">h </w:t>
      </w:r>
      <w:r w:rsidR="00242082" w:rsidRPr="00242082">
        <w:t xml:space="preserve">i štetnih </w:t>
      </w:r>
      <w:r w:rsidR="003C63AB" w:rsidRPr="00242082">
        <w:t xml:space="preserve">izvora </w:t>
      </w:r>
      <w:r w:rsidR="00242082" w:rsidRPr="00242082">
        <w:t xml:space="preserve">aero-polucija, aqua-polucija i zagađenja tla; </w:t>
      </w:r>
    </w:p>
    <w:p w:rsidR="00242082" w:rsidRPr="003258DC" w:rsidRDefault="0089146E" w:rsidP="00272C10">
      <w:pPr>
        <w:pStyle w:val="ListParagraph"/>
        <w:numPr>
          <w:ilvl w:val="0"/>
          <w:numId w:val="2"/>
        </w:numPr>
        <w:spacing w:line="276" w:lineRule="auto"/>
        <w:jc w:val="both"/>
      </w:pPr>
      <w:r w:rsidRPr="003258DC">
        <w:t>Izvršena je</w:t>
      </w:r>
      <w:r w:rsidR="00A3187E" w:rsidRPr="003258DC">
        <w:t xml:space="preserve"> hemijska i mikrobiološka analiza vode iz vodotoka uzete sa 3 lokacije (lokacije vodoz</w:t>
      </w:r>
      <w:r w:rsidR="003258DC" w:rsidRPr="003258DC">
        <w:t>ahvata na Temnjačkoj i T</w:t>
      </w:r>
      <w:r w:rsidR="00A3187E" w:rsidRPr="003258DC">
        <w:t>reskavičkoj rijeci i na lokaciji mašinske zgrade) od strane Sektora za ispitivanje voda i vazduha Hidr</w:t>
      </w:r>
      <w:r w:rsidR="00C973CA">
        <w:t>ometeorološkog zavoda Podgorica;</w:t>
      </w:r>
    </w:p>
    <w:p w:rsidR="003258DC" w:rsidRPr="003258DC" w:rsidRDefault="00A3187E" w:rsidP="00272C10">
      <w:pPr>
        <w:pStyle w:val="ListParagraph"/>
        <w:numPr>
          <w:ilvl w:val="0"/>
          <w:numId w:val="2"/>
        </w:numPr>
        <w:spacing w:line="276" w:lineRule="auto"/>
        <w:jc w:val="both"/>
      </w:pPr>
      <w:r w:rsidRPr="003258DC">
        <w:t xml:space="preserve">Vodotoci su imali odlične organoleptičke osobine, nizak sadržaj glavnih jona, odsustvo opasnih i štetnih materija, zanemarljivo prisustvo </w:t>
      </w:r>
      <w:r w:rsidR="00C973CA">
        <w:t>biorazgradive organske materije;</w:t>
      </w:r>
    </w:p>
    <w:p w:rsidR="003258DC" w:rsidRPr="003258DC" w:rsidRDefault="00A3187E" w:rsidP="00272C10">
      <w:pPr>
        <w:pStyle w:val="ListParagraph"/>
        <w:numPr>
          <w:ilvl w:val="0"/>
          <w:numId w:val="2"/>
        </w:numPr>
        <w:spacing w:line="276" w:lineRule="auto"/>
        <w:jc w:val="both"/>
      </w:pPr>
      <w:r w:rsidRPr="003258DC">
        <w:t>Temperatura vode je bila niska. Mala tvrdoća vode i ostalih povezanih parametara plavskih rijeka ukazuje na kratko vremensku distancu izmeñu padavin</w:t>
      </w:r>
      <w:r w:rsidR="00C973CA">
        <w:t>ske, podzemne i površinske vode;</w:t>
      </w:r>
    </w:p>
    <w:p w:rsidR="00242082" w:rsidRPr="003258DC" w:rsidRDefault="00A3187E" w:rsidP="00272C10">
      <w:pPr>
        <w:pStyle w:val="ListParagraph"/>
        <w:numPr>
          <w:ilvl w:val="0"/>
          <w:numId w:val="2"/>
        </w:numPr>
        <w:spacing w:line="276" w:lineRule="auto"/>
        <w:jc w:val="both"/>
      </w:pPr>
      <w:r w:rsidRPr="003258DC">
        <w:t>Antropogeni uticaj na vodotoke na lokacijama vodozahvata ili nije</w:t>
      </w:r>
      <w:r w:rsidR="008727A9">
        <w:t xml:space="preserve"> evidentiran ili je zanemarljiv;</w:t>
      </w:r>
    </w:p>
    <w:p w:rsidR="00A3187E" w:rsidRPr="003258DC" w:rsidRDefault="00A3187E" w:rsidP="00272C10">
      <w:pPr>
        <w:pStyle w:val="ListParagraph"/>
        <w:numPr>
          <w:ilvl w:val="0"/>
          <w:numId w:val="2"/>
        </w:numPr>
        <w:spacing w:line="276" w:lineRule="auto"/>
        <w:jc w:val="both"/>
      </w:pPr>
      <w:r w:rsidRPr="003258DC">
        <w:t>Analizom je ustanovljeno da mikrobiološko stanje vode Temnja</w:t>
      </w:r>
      <w:r w:rsidR="003258DC" w:rsidRPr="003258DC">
        <w:t>čke rijeke u blizini ove lokacije</w:t>
      </w:r>
      <w:r w:rsidRPr="003258DC">
        <w:t xml:space="preserve"> nije odgovaralo klasi "A1", jer je broj fekalnih bakterija i patogenih fekalnih streptokoka bio iznad ove klase. Porijeklo bakterija je najvjerovatnije od stočarskih naseobina i naselja u slivnom području.</w:t>
      </w:r>
    </w:p>
    <w:p w:rsidR="00BF7509" w:rsidRDefault="003258DC" w:rsidP="00A27451">
      <w:pPr>
        <w:spacing w:line="276" w:lineRule="auto"/>
        <w:jc w:val="both"/>
      </w:pPr>
      <w:r>
        <w:t xml:space="preserve">Kada je riječ o </w:t>
      </w:r>
      <w:r w:rsidRPr="00C16C66">
        <w:rPr>
          <w:b/>
          <w:i/>
        </w:rPr>
        <w:t xml:space="preserve">uticaju postrojenja mHE Jara </w:t>
      </w:r>
      <w:r w:rsidR="007B368F" w:rsidRPr="00C16C66">
        <w:rPr>
          <w:b/>
          <w:i/>
        </w:rPr>
        <w:t>n</w:t>
      </w:r>
      <w:r w:rsidRPr="00C16C66">
        <w:rPr>
          <w:b/>
          <w:i/>
        </w:rPr>
        <w:t>a biljni i životinjski svijet</w:t>
      </w:r>
      <w:r>
        <w:t xml:space="preserve"> autori ustanovljavaju (SISTEM, 2012)</w:t>
      </w:r>
      <w:r w:rsidR="007B368F" w:rsidRPr="005A705D">
        <w:t>:</w:t>
      </w:r>
    </w:p>
    <w:p w:rsidR="00D31B7C" w:rsidRPr="00C973CA" w:rsidRDefault="00BF7509" w:rsidP="00272C10">
      <w:pPr>
        <w:pStyle w:val="ListParagraph"/>
        <w:numPr>
          <w:ilvl w:val="0"/>
          <w:numId w:val="2"/>
        </w:numPr>
        <w:spacing w:line="276" w:lineRule="auto"/>
        <w:jc w:val="both"/>
        <w:rPr>
          <w:color w:val="0070C0"/>
        </w:rPr>
      </w:pPr>
      <w:r w:rsidRPr="00BF7509">
        <w:lastRenderedPageBreak/>
        <w:t>D</w:t>
      </w:r>
      <w:r w:rsidR="007B368F" w:rsidRPr="00BF7509">
        <w:t>a se uticaji na floru i vegetaciju prvenstveno odnose na devastaciju biljnog pokrivača duž trase cjevovoda, kao i na uništavanje biljnog pokrivača pri privremenom zauzimanju prostora prilikom izgradnje pratećih objekata</w:t>
      </w:r>
      <w:r w:rsidRPr="00BF7509">
        <w:t xml:space="preserve"> za gradilište. Očekuje se da će</w:t>
      </w:r>
      <w:r w:rsidR="007B368F" w:rsidRPr="00BF7509">
        <w:t xml:space="preserve"> osnovna vegetacijska</w:t>
      </w:r>
      <w:r w:rsidRPr="00BF7509">
        <w:t xml:space="preserve"> struktura ostati nepromjenjena, </w:t>
      </w:r>
      <w:r>
        <w:t>i</w:t>
      </w:r>
      <w:r w:rsidRPr="00BF7509">
        <w:t xml:space="preserve"> pored nekih privremenih promjena u toku gradnje. </w:t>
      </w:r>
    </w:p>
    <w:p w:rsidR="00D31B7C" w:rsidRPr="00C973CA" w:rsidRDefault="00C973CA" w:rsidP="00272C10">
      <w:pPr>
        <w:pStyle w:val="ListParagraph"/>
        <w:numPr>
          <w:ilvl w:val="0"/>
          <w:numId w:val="2"/>
        </w:numPr>
        <w:spacing w:line="276" w:lineRule="auto"/>
        <w:jc w:val="both"/>
      </w:pPr>
      <w:r w:rsidRPr="00C973CA">
        <w:t>Na području gdje su izvedeni</w:t>
      </w:r>
      <w:r w:rsidR="007B368F" w:rsidRPr="00C973CA">
        <w:t xml:space="preserve"> radovi nema reprezentativnih habitata koji se nalaze na Habitat Direktivi, tj. </w:t>
      </w:r>
      <w:r w:rsidRPr="00C973CA">
        <w:t>koji</w:t>
      </w:r>
      <w:r w:rsidR="007B368F" w:rsidRPr="00C973CA">
        <w:t>čine dio NATURA 2000 mreže i u skladu sa t</w:t>
      </w:r>
      <w:r w:rsidRPr="00C973CA">
        <w:t>im predstavljaju staništa od međ</w:t>
      </w:r>
      <w:r w:rsidR="007B368F" w:rsidRPr="00C973CA">
        <w:t xml:space="preserve">unarodnog značaja. </w:t>
      </w:r>
    </w:p>
    <w:p w:rsidR="00D31B7C" w:rsidRPr="00C973CA" w:rsidRDefault="00C973CA" w:rsidP="00272C10">
      <w:pPr>
        <w:pStyle w:val="ListParagraph"/>
        <w:numPr>
          <w:ilvl w:val="0"/>
          <w:numId w:val="2"/>
        </w:numPr>
        <w:spacing w:line="276" w:lineRule="auto"/>
        <w:jc w:val="both"/>
      </w:pPr>
      <w:r w:rsidRPr="00C973CA">
        <w:t>Studijom je procijenjeno da planiranim radovima nebi trebalebiti ugrožene</w:t>
      </w:r>
      <w:r w:rsidR="007B368F" w:rsidRPr="00C973CA">
        <w:t xml:space="preserve"> neke endemične ili subendemične vrste.</w:t>
      </w:r>
    </w:p>
    <w:p w:rsidR="00D31B7C" w:rsidRPr="00C973CA" w:rsidRDefault="007B368F" w:rsidP="00272C10">
      <w:pPr>
        <w:pStyle w:val="ListParagraph"/>
        <w:numPr>
          <w:ilvl w:val="0"/>
          <w:numId w:val="2"/>
        </w:numPr>
        <w:spacing w:line="276" w:lineRule="auto"/>
        <w:jc w:val="both"/>
      </w:pPr>
      <w:r w:rsidRPr="00C973CA">
        <w:t>Promjene vodnih režima na vodotocima neće značajno remetiti strukture zajednica primarnih producenata.</w:t>
      </w:r>
    </w:p>
    <w:p w:rsidR="00D31B7C" w:rsidRPr="00C973CA" w:rsidRDefault="007B368F" w:rsidP="00272C10">
      <w:pPr>
        <w:pStyle w:val="ListParagraph"/>
        <w:numPr>
          <w:ilvl w:val="0"/>
          <w:numId w:val="2"/>
        </w:numPr>
        <w:spacing w:line="276" w:lineRule="auto"/>
        <w:jc w:val="both"/>
      </w:pPr>
      <w:r w:rsidRPr="00C973CA">
        <w:t>Promjena vodnog režima i pravljenje prepreke na samim vod</w:t>
      </w:r>
      <w:r w:rsidR="00C973CA">
        <w:t>otocima</w:t>
      </w:r>
      <w:r w:rsidRPr="00C973CA">
        <w:t xml:space="preserve"> imaće negativne posledice po populacije potočne pastrmke u ovim rijekama.</w:t>
      </w:r>
    </w:p>
    <w:p w:rsidR="007B368F" w:rsidRPr="00C973CA" w:rsidRDefault="007B368F" w:rsidP="00272C10">
      <w:pPr>
        <w:pStyle w:val="ListParagraph"/>
        <w:numPr>
          <w:ilvl w:val="0"/>
          <w:numId w:val="2"/>
        </w:numPr>
        <w:spacing w:line="276" w:lineRule="auto"/>
        <w:jc w:val="both"/>
      </w:pPr>
      <w:r w:rsidRPr="00C973CA">
        <w:t>Ocjena je da se u odnosu na konkretni Projekat na izabranom lokalitetu mogu obavljati aktivn</w:t>
      </w:r>
      <w:r w:rsidR="00C16C66">
        <w:t xml:space="preserve">osti koje su ovdje predviñene jer </w:t>
      </w:r>
      <w:r w:rsidRPr="00C973CA">
        <w:t>one neće imati značajan nega</w:t>
      </w:r>
      <w:r w:rsidR="00C16C66">
        <w:t>tivni uticaj na životnu sredinu, kao I da obim njihovog aktivnosti neće prekoračiti apsorpcioni</w:t>
      </w:r>
      <w:r w:rsidRPr="00C973CA">
        <w:t xml:space="preserve"> ka</w:t>
      </w:r>
      <w:r w:rsidR="00C16C66">
        <w:t>pacitet životne sredine konkretne</w:t>
      </w:r>
      <w:r w:rsidRPr="00C973CA">
        <w:t xml:space="preserve"> lokacije.</w:t>
      </w:r>
    </w:p>
    <w:p w:rsidR="00D83195" w:rsidRDefault="007B368F" w:rsidP="00A27451">
      <w:pPr>
        <w:spacing w:line="276" w:lineRule="auto"/>
        <w:jc w:val="both"/>
      </w:pPr>
      <w:r w:rsidRPr="00C16C66">
        <w:rPr>
          <w:bCs/>
        </w:rPr>
        <w:t>Negativni</w:t>
      </w:r>
      <w:r w:rsidRPr="00B72EB3">
        <w:rPr>
          <w:bCs/>
          <w:i/>
        </w:rPr>
        <w:t>uticaji postrojenja mHE</w:t>
      </w:r>
      <w:r w:rsidR="00C16C66" w:rsidRPr="00B72EB3">
        <w:rPr>
          <w:bCs/>
          <w:i/>
        </w:rPr>
        <w:t xml:space="preserve"> Jare</w:t>
      </w:r>
      <w:r w:rsidR="00C16C66">
        <w:rPr>
          <w:bCs/>
        </w:rPr>
        <w:t xml:space="preserve">je u radu čije rezultate analiziramo </w:t>
      </w:r>
      <w:r w:rsidR="00D83195">
        <w:rPr>
          <w:bCs/>
        </w:rPr>
        <w:t>razmatran iz više perspektiva. M</w:t>
      </w:r>
      <w:r w:rsidR="00D83195">
        <w:t xml:space="preserve">ogućnost </w:t>
      </w:r>
      <w:r w:rsidR="00D83195" w:rsidRPr="00D83195">
        <w:rPr>
          <w:b/>
          <w:i/>
        </w:rPr>
        <w:t xml:space="preserve">zagađenja </w:t>
      </w:r>
      <w:r w:rsidRPr="00D83195">
        <w:rPr>
          <w:b/>
          <w:i/>
        </w:rPr>
        <w:t xml:space="preserve">vazduha </w:t>
      </w:r>
      <w:r w:rsidRPr="00B72EB3">
        <w:t>tokom izgradnje</w:t>
      </w:r>
      <w:r w:rsidR="00D83195">
        <w:t xml:space="preserve"> projekta proizilazi iz</w:t>
      </w:r>
      <w:r w:rsidRPr="00D83195">
        <w:t>:</w:t>
      </w:r>
    </w:p>
    <w:p w:rsidR="009B4CD9" w:rsidRPr="009B4CD9" w:rsidRDefault="009B4CD9" w:rsidP="00272C10">
      <w:pPr>
        <w:pStyle w:val="ListParagraph"/>
        <w:numPr>
          <w:ilvl w:val="0"/>
          <w:numId w:val="2"/>
        </w:numPr>
        <w:spacing w:line="276" w:lineRule="auto"/>
        <w:jc w:val="both"/>
      </w:pPr>
      <w:r w:rsidRPr="009B4CD9">
        <w:t xml:space="preserve">Neizostavnih </w:t>
      </w:r>
      <w:r w:rsidR="007B368F" w:rsidRPr="009B4CD9">
        <w:t>izduvni gas</w:t>
      </w:r>
      <w:r w:rsidRPr="009B4CD9">
        <w:t>ovi koji nastaju usled rada građevinskih i transportnih mašina</w:t>
      </w:r>
      <w:r w:rsidR="007B368F" w:rsidRPr="009B4CD9">
        <w:t xml:space="preserve"> koji kao pogonsko </w:t>
      </w:r>
      <w:r w:rsidRPr="009B4CD9">
        <w:t xml:space="preserve">gorivo koriste naftne derivate; </w:t>
      </w:r>
    </w:p>
    <w:p w:rsidR="00B72EB3" w:rsidRDefault="009B4CD9" w:rsidP="00272C10">
      <w:pPr>
        <w:pStyle w:val="ListParagraph"/>
        <w:numPr>
          <w:ilvl w:val="0"/>
          <w:numId w:val="2"/>
        </w:numPr>
        <w:spacing w:line="276" w:lineRule="auto"/>
        <w:jc w:val="both"/>
      </w:pPr>
      <w:r w:rsidRPr="009B4CD9">
        <w:t>Usled prašine kao posljedica izvođ</w:t>
      </w:r>
      <w:r w:rsidR="007B368F" w:rsidRPr="009B4CD9">
        <w:t>enja radova (iskop, utovar i istovar materijala).</w:t>
      </w:r>
    </w:p>
    <w:p w:rsidR="00B72EB3" w:rsidRPr="00B72EB3" w:rsidRDefault="007B368F" w:rsidP="00272C10">
      <w:pPr>
        <w:pStyle w:val="ListParagraph"/>
        <w:numPr>
          <w:ilvl w:val="0"/>
          <w:numId w:val="2"/>
        </w:numPr>
        <w:spacing w:line="276" w:lineRule="auto"/>
        <w:jc w:val="both"/>
      </w:pPr>
      <w:r w:rsidRPr="00B72EB3">
        <w:t>Ti negativni uticaji su najčešće lok</w:t>
      </w:r>
      <w:r w:rsidR="00B72EB3" w:rsidRPr="00B72EB3">
        <w:t>alizovani samo na prostoru izvođ</w:t>
      </w:r>
      <w:r w:rsidRPr="00B72EB3">
        <w:t>enja radova,</w:t>
      </w:r>
      <w:r w:rsidR="00B72EB3" w:rsidRPr="00B72EB3">
        <w:t xml:space="preserve"> i samo u period gradnje; </w:t>
      </w:r>
    </w:p>
    <w:p w:rsidR="00B72EB3" w:rsidRPr="00B72EB3" w:rsidRDefault="00B72EB3" w:rsidP="00272C10">
      <w:pPr>
        <w:pStyle w:val="ListParagraph"/>
        <w:numPr>
          <w:ilvl w:val="0"/>
          <w:numId w:val="2"/>
        </w:numPr>
        <w:spacing w:line="276" w:lineRule="auto"/>
        <w:jc w:val="both"/>
      </w:pPr>
      <w:r w:rsidRPr="00B72EB3">
        <w:t xml:space="preserve">Uz primjenu neophodnih mjera zaštite nebi ostavile značajnije efekte; </w:t>
      </w:r>
    </w:p>
    <w:p w:rsidR="00B72EB3" w:rsidRPr="00B72EB3" w:rsidRDefault="00B72EB3" w:rsidP="00272C10">
      <w:pPr>
        <w:pStyle w:val="ListParagraph"/>
        <w:numPr>
          <w:ilvl w:val="0"/>
          <w:numId w:val="2"/>
        </w:numPr>
        <w:spacing w:line="276" w:lineRule="auto"/>
        <w:jc w:val="both"/>
      </w:pPr>
      <w:r w:rsidRPr="00B72EB3">
        <w:t>Uzto e</w:t>
      </w:r>
      <w:r w:rsidR="007B368F" w:rsidRPr="00B72EB3">
        <w:t>fikasna kon</w:t>
      </w:r>
      <w:r w:rsidRPr="00B72EB3">
        <w:t>trola nivoa ovih emisija se uvijek može</w:t>
      </w:r>
      <w:r w:rsidR="007B368F" w:rsidRPr="00B72EB3">
        <w:t xml:space="preserve"> ostvariti kroz pravilno planiranje i striktno provoñe</w:t>
      </w:r>
      <w:r w:rsidRPr="00B72EB3">
        <w:t xml:space="preserve">nje mjera zaštite na gradilištu. </w:t>
      </w:r>
    </w:p>
    <w:p w:rsidR="007B368F" w:rsidRPr="00B72EB3" w:rsidRDefault="007B368F" w:rsidP="00272C10">
      <w:pPr>
        <w:pStyle w:val="ListParagraph"/>
        <w:numPr>
          <w:ilvl w:val="0"/>
          <w:numId w:val="2"/>
        </w:numPr>
        <w:spacing w:line="276" w:lineRule="auto"/>
        <w:jc w:val="both"/>
      </w:pPr>
      <w:r w:rsidRPr="00B72EB3">
        <w:t>Za vrijeme redovnog rada postrojenja mHE neće biti negativnih emisija u vazduh.</w:t>
      </w:r>
    </w:p>
    <w:p w:rsidR="00B72EB3" w:rsidRPr="00F15475" w:rsidRDefault="00B72EB3" w:rsidP="00A27451">
      <w:pPr>
        <w:spacing w:line="276" w:lineRule="auto"/>
        <w:jc w:val="both"/>
      </w:pPr>
      <w:r w:rsidRPr="00F15475">
        <w:t>Kada je riječ o uticaju na</w:t>
      </w:r>
      <w:r w:rsidRPr="00F15475">
        <w:rPr>
          <w:b/>
        </w:rPr>
        <w:t xml:space="preserve"> kvalitet vode </w:t>
      </w:r>
      <w:r w:rsidRPr="00F15475">
        <w:t xml:space="preserve">autori taključuju sledeće: </w:t>
      </w:r>
    </w:p>
    <w:p w:rsidR="00B72EB3" w:rsidRPr="00F15475" w:rsidRDefault="00B72EB3" w:rsidP="00272C10">
      <w:pPr>
        <w:pStyle w:val="ListParagraph"/>
        <w:numPr>
          <w:ilvl w:val="0"/>
          <w:numId w:val="2"/>
        </w:numPr>
        <w:spacing w:line="276" w:lineRule="auto"/>
        <w:jc w:val="both"/>
      </w:pPr>
      <w:r w:rsidRPr="00F15475">
        <w:t>Uticaj izvođ</w:t>
      </w:r>
      <w:r w:rsidR="007B368F" w:rsidRPr="00F15475">
        <w:t xml:space="preserve">enja radova na </w:t>
      </w:r>
      <w:r w:rsidR="007B368F" w:rsidRPr="00F15475">
        <w:rPr>
          <w:bCs/>
        </w:rPr>
        <w:t>kvalitet vode</w:t>
      </w:r>
      <w:r w:rsidR="007B368F" w:rsidRPr="00F15475">
        <w:t xml:space="preserve">u vodotoku se primjenom tehničkih mjera zaštite na gradilištu i površinama koje su pod neposrednim uticajem </w:t>
      </w:r>
      <w:r w:rsidRPr="00F15475">
        <w:t>gradnje</w:t>
      </w:r>
      <w:r w:rsidR="007B368F" w:rsidRPr="00F15475">
        <w:t xml:space="preserve"> može</w:t>
      </w:r>
      <w:r w:rsidRPr="00F15475">
        <w:t xml:space="preserve"> okarakterisati kao prihvatljiv; </w:t>
      </w:r>
    </w:p>
    <w:p w:rsidR="00B72EB3" w:rsidRPr="00F15475" w:rsidRDefault="00B72EB3" w:rsidP="00272C10">
      <w:pPr>
        <w:pStyle w:val="ListParagraph"/>
        <w:numPr>
          <w:ilvl w:val="0"/>
          <w:numId w:val="2"/>
        </w:numPr>
        <w:spacing w:line="276" w:lineRule="auto"/>
        <w:jc w:val="both"/>
      </w:pPr>
      <w:r w:rsidRPr="00F15475">
        <w:t xml:space="preserve">Ovo tim prije jer je gradnja privremenog karaktera; </w:t>
      </w:r>
    </w:p>
    <w:p w:rsidR="00F15475" w:rsidRPr="00F15475" w:rsidRDefault="00B72EB3" w:rsidP="00272C10">
      <w:pPr>
        <w:pStyle w:val="ListParagraph"/>
        <w:numPr>
          <w:ilvl w:val="0"/>
          <w:numId w:val="2"/>
        </w:numPr>
        <w:spacing w:line="276" w:lineRule="auto"/>
        <w:jc w:val="both"/>
      </w:pPr>
      <w:r w:rsidRPr="00F15475">
        <w:t xml:space="preserve">Sve to </w:t>
      </w:r>
      <w:r w:rsidR="007B368F" w:rsidRPr="00F15475">
        <w:t>neće ostaviti značajnije uticaje na k</w:t>
      </w:r>
      <w:r w:rsidRPr="00F15475">
        <w:t>valitet vode u vodotoku pa</w:t>
      </w:r>
      <w:r w:rsidR="00F15475" w:rsidRPr="00F15475">
        <w:t xml:space="preserve"> time ni na živi svijet u njoj;</w:t>
      </w:r>
    </w:p>
    <w:p w:rsidR="007B368F" w:rsidRPr="00F15475" w:rsidRDefault="007B368F" w:rsidP="00272C10">
      <w:pPr>
        <w:pStyle w:val="ListParagraph"/>
        <w:numPr>
          <w:ilvl w:val="0"/>
          <w:numId w:val="2"/>
        </w:numPr>
        <w:spacing w:line="276" w:lineRule="auto"/>
        <w:jc w:val="both"/>
      </w:pPr>
      <w:r w:rsidRPr="00F15475">
        <w:t xml:space="preserve">Uticaj funkcionisanja postrojenja na kvalitet vode je </w:t>
      </w:r>
      <w:r w:rsidR="00F15475" w:rsidRPr="00F15475">
        <w:t xml:space="preserve">takođe </w:t>
      </w:r>
      <w:r w:rsidRPr="00F15475">
        <w:t>zanemarljiv</w:t>
      </w:r>
      <w:r w:rsidR="00F15475" w:rsidRPr="00F15475">
        <w:t xml:space="preserve"> prema autorima studije</w:t>
      </w:r>
      <w:r w:rsidRPr="00F15475">
        <w:t>. Činjenica je da je zbog tehničko-tehnoloških rješenja koja su dovela funkcionisanje ovakvih sistema do nivoa potpune neškodljivosti za kvalitet vode omogućila postavljanje ovakvih sistema na</w:t>
      </w:r>
      <w:r w:rsidR="00F15475" w:rsidRPr="00F15475">
        <w:t xml:space="preserve">same </w:t>
      </w:r>
      <w:r w:rsidRPr="00F15475">
        <w:t xml:space="preserve">vodovode. </w:t>
      </w:r>
    </w:p>
    <w:p w:rsidR="00F15475" w:rsidRPr="00F15475" w:rsidRDefault="007B368F" w:rsidP="00A27451">
      <w:pPr>
        <w:spacing w:line="276" w:lineRule="auto"/>
        <w:jc w:val="both"/>
      </w:pPr>
      <w:r w:rsidRPr="00F15475">
        <w:rPr>
          <w:b/>
          <w:i/>
        </w:rPr>
        <w:lastRenderedPageBreak/>
        <w:t>Uticaj na vodotok u toku redovnog rada postrojenja</w:t>
      </w:r>
      <w:r w:rsidRPr="00F15475">
        <w:t xml:space="preserve"> se ogleda u smanjivanju protoka u dijelu rijeke obuhvaćene sistemom mHE. </w:t>
      </w:r>
    </w:p>
    <w:p w:rsidR="00F15475" w:rsidRPr="00F15475" w:rsidRDefault="007B368F" w:rsidP="00272C10">
      <w:pPr>
        <w:pStyle w:val="ListParagraph"/>
        <w:numPr>
          <w:ilvl w:val="0"/>
          <w:numId w:val="2"/>
        </w:numPr>
        <w:spacing w:line="276" w:lineRule="auto"/>
        <w:jc w:val="both"/>
      </w:pPr>
      <w:r w:rsidRPr="00F15475">
        <w:t>Ovaj uticaj je prihvatljiv za živi svijet u njoj osim za populacije potočne pastrmke u ovim rijekama, čija će uzvodna migracija, koju ona poduzima radi mrijesta, biti sprij</w:t>
      </w:r>
      <w:r w:rsidR="00F15475" w:rsidRPr="00F15475">
        <w:t xml:space="preserve">ečena što će doprinijeti </w:t>
      </w:r>
      <w:r w:rsidRPr="00F15475">
        <w:t xml:space="preserve">smanjenu njene brojnosti u cijeloj regiji. </w:t>
      </w:r>
    </w:p>
    <w:p w:rsidR="007B368F" w:rsidRPr="00F15475" w:rsidRDefault="007B368F" w:rsidP="00272C10">
      <w:pPr>
        <w:pStyle w:val="ListParagraph"/>
        <w:numPr>
          <w:ilvl w:val="0"/>
          <w:numId w:val="2"/>
        </w:numPr>
        <w:spacing w:line="276" w:lineRule="auto"/>
        <w:jc w:val="both"/>
      </w:pPr>
      <w:r w:rsidRPr="00F15475">
        <w:t>Projekat se može dovesti u zonu održivosti, a negativni efekti bi bili s</w:t>
      </w:r>
      <w:r w:rsidR="00F15475" w:rsidRPr="00F15475">
        <w:t>manjeni</w:t>
      </w:r>
      <w:r w:rsidRPr="00F15475">
        <w:t>, ako bi se vodotoci poribljavali sa makar 3000 komada mlañi potočne pastrmke svake godine (dunavska Da1 ili Da2 filogenetska linija koja je karakteristična za Plavsko jezero i rijeku Lim).</w:t>
      </w:r>
    </w:p>
    <w:p w:rsidR="004264CB" w:rsidRPr="000009DC" w:rsidRDefault="000009DC" w:rsidP="00A27451">
      <w:pPr>
        <w:spacing w:line="276" w:lineRule="auto"/>
        <w:jc w:val="both"/>
        <w:rPr>
          <w:b/>
          <w:bCs/>
        </w:rPr>
      </w:pPr>
      <w:r w:rsidRPr="000009DC">
        <w:rPr>
          <w:bCs/>
        </w:rPr>
        <w:t xml:space="preserve">Kada je riječ o </w:t>
      </w:r>
      <w:r w:rsidRPr="000009DC">
        <w:rPr>
          <w:b/>
          <w:bCs/>
        </w:rPr>
        <w:t>u</w:t>
      </w:r>
      <w:r w:rsidR="007B368F" w:rsidRPr="000009DC">
        <w:rPr>
          <w:b/>
          <w:bCs/>
        </w:rPr>
        <w:t>ticaj na zemljište</w:t>
      </w:r>
      <w:r w:rsidRPr="000009DC">
        <w:rPr>
          <w:bCs/>
        </w:rPr>
        <w:t>u studiji se insistira na sledećem</w:t>
      </w:r>
      <w:r w:rsidR="007B368F" w:rsidRPr="000009DC">
        <w:rPr>
          <w:bCs/>
        </w:rPr>
        <w:t xml:space="preserve">: </w:t>
      </w:r>
    </w:p>
    <w:p w:rsidR="004264CB" w:rsidRPr="000009DC" w:rsidRDefault="007B368F" w:rsidP="00272C10">
      <w:pPr>
        <w:pStyle w:val="ListParagraph"/>
        <w:numPr>
          <w:ilvl w:val="0"/>
          <w:numId w:val="2"/>
        </w:numPr>
        <w:spacing w:line="276" w:lineRule="auto"/>
        <w:jc w:val="both"/>
      </w:pPr>
      <w:r w:rsidRPr="000009DC">
        <w:t>Tokom izgradnje ovog objekta uticaj se ogleda kroz privremeno zauzimanje pro</w:t>
      </w:r>
      <w:r w:rsidR="004264CB" w:rsidRPr="000009DC">
        <w:t xml:space="preserve">stora za vrijeme izgradnje mHE; </w:t>
      </w:r>
    </w:p>
    <w:p w:rsidR="004264CB" w:rsidRPr="000009DC" w:rsidRDefault="007B368F" w:rsidP="00272C10">
      <w:pPr>
        <w:pStyle w:val="ListParagraph"/>
        <w:numPr>
          <w:ilvl w:val="0"/>
          <w:numId w:val="2"/>
        </w:numPr>
        <w:spacing w:line="276" w:lineRule="auto"/>
        <w:jc w:val="both"/>
      </w:pPr>
      <w:r w:rsidRPr="000009DC">
        <w:t>Nakon završetka radova sve privremeno zauzete površine će biti vraćene u prvobitno stanje tako da nema promjene lokalne top</w:t>
      </w:r>
      <w:r w:rsidR="004264CB" w:rsidRPr="000009DC">
        <w:t xml:space="preserve">ografije; </w:t>
      </w:r>
    </w:p>
    <w:p w:rsidR="000009DC" w:rsidRPr="000009DC" w:rsidRDefault="007B368F" w:rsidP="00272C10">
      <w:pPr>
        <w:pStyle w:val="ListParagraph"/>
        <w:numPr>
          <w:ilvl w:val="0"/>
          <w:numId w:val="2"/>
        </w:numPr>
        <w:spacing w:line="276" w:lineRule="auto"/>
        <w:jc w:val="both"/>
      </w:pPr>
      <w:r w:rsidRPr="000009DC">
        <w:t>Što se tiče trajnog zauzimanja zemljiš</w:t>
      </w:r>
      <w:r w:rsidR="000009DC" w:rsidRPr="000009DC">
        <w:t>ta objektima koji će biti izgrađ</w:t>
      </w:r>
      <w:r w:rsidRPr="000009DC">
        <w:t>eni kao sastavni dio mHE "Jara", na lokacijama vodozahvata će biti neznatno proširena korita rijeka i na lokaciji mašinske zgrade i odvodnog kanal</w:t>
      </w:r>
      <w:r w:rsidR="000009DC" w:rsidRPr="000009DC">
        <w:t xml:space="preserve">a (čija je dužina 70 m); </w:t>
      </w:r>
    </w:p>
    <w:p w:rsidR="000009DC" w:rsidRPr="000009DC" w:rsidRDefault="000009DC" w:rsidP="00272C10">
      <w:pPr>
        <w:pStyle w:val="ListParagraph"/>
        <w:numPr>
          <w:ilvl w:val="0"/>
          <w:numId w:val="2"/>
        </w:numPr>
        <w:spacing w:line="276" w:lineRule="auto"/>
        <w:jc w:val="both"/>
      </w:pPr>
      <w:r w:rsidRPr="000009DC">
        <w:t>Uticaj izvođ</w:t>
      </w:r>
      <w:r w:rsidR="007B368F" w:rsidRPr="000009DC">
        <w:t>enja radova na kvalitet zemljišta tokom izgradnje objekata mHE "Jara" je povezan sa radom grañevinskih mašina tokom gradnje i iskopavanja zemljišta. Ovi uticaji se odnose n</w:t>
      </w:r>
      <w:r w:rsidRPr="000009DC">
        <w:t>a mogućnost zaganj</w:t>
      </w:r>
      <w:r w:rsidR="007B368F" w:rsidRPr="000009DC">
        <w:t>ivanja zemljišta naftnim derivatima i mazivima</w:t>
      </w:r>
      <w:r w:rsidRPr="000009DC">
        <w:t xml:space="preserve"> do kojih može doći zbog raznih razloga. </w:t>
      </w:r>
    </w:p>
    <w:p w:rsidR="000009DC" w:rsidRPr="000009DC" w:rsidRDefault="007B368F" w:rsidP="00272C10">
      <w:pPr>
        <w:pStyle w:val="ListParagraph"/>
        <w:numPr>
          <w:ilvl w:val="0"/>
          <w:numId w:val="2"/>
        </w:numPr>
        <w:spacing w:line="276" w:lineRule="auto"/>
        <w:jc w:val="both"/>
      </w:pPr>
      <w:r w:rsidRPr="000009DC">
        <w:t>Uz sprovoñenje mjera zaštite na gradilištu i pristupnim putevima izbjeći će se</w:t>
      </w:r>
      <w:r w:rsidR="000009DC" w:rsidRPr="000009DC">
        <w:t xml:space="preserve"> mogućnost dolaska u dodir zagađ</w:t>
      </w:r>
      <w:r w:rsidRPr="000009DC">
        <w:t>ujućih materija sa zemljištem pa će uticaji gradnje na kvalitet zemljišta biti mali s obzirom da su privremeni (prestaju nakon završetka gradnje).</w:t>
      </w:r>
    </w:p>
    <w:p w:rsidR="007B368F" w:rsidRPr="000009DC" w:rsidRDefault="000009DC" w:rsidP="00272C10">
      <w:pPr>
        <w:pStyle w:val="ListParagraph"/>
        <w:numPr>
          <w:ilvl w:val="0"/>
          <w:numId w:val="2"/>
        </w:numPr>
        <w:spacing w:line="276" w:lineRule="auto"/>
        <w:jc w:val="both"/>
      </w:pPr>
      <w:r w:rsidRPr="000009DC">
        <w:t>Samo f</w:t>
      </w:r>
      <w:r w:rsidR="007B368F" w:rsidRPr="000009DC">
        <w:t>unkcionisanje postrojenja neće prouzrokovati negativne uticaje na kvalitet zemljišta.</w:t>
      </w:r>
    </w:p>
    <w:p w:rsidR="00321ED4" w:rsidRPr="00321ED4" w:rsidRDefault="007B368F" w:rsidP="00A27451">
      <w:pPr>
        <w:spacing w:line="276" w:lineRule="auto"/>
        <w:jc w:val="both"/>
      </w:pPr>
      <w:r w:rsidRPr="00321ED4">
        <w:rPr>
          <w:b/>
          <w:bCs/>
        </w:rPr>
        <w:t xml:space="preserve">Uticaj buke </w:t>
      </w:r>
      <w:r w:rsidRPr="00321ED4">
        <w:t xml:space="preserve">koja nastaje u toku funkcionja postrojenja </w:t>
      </w:r>
      <w:r w:rsidR="00321ED4" w:rsidRPr="00321ED4">
        <w:t>na</w:t>
      </w:r>
    </w:p>
    <w:p w:rsidR="00321ED4" w:rsidRPr="00321ED4" w:rsidRDefault="00321ED4" w:rsidP="00272C10">
      <w:pPr>
        <w:pStyle w:val="ListParagraph"/>
        <w:numPr>
          <w:ilvl w:val="0"/>
          <w:numId w:val="2"/>
        </w:numPr>
        <w:spacing w:line="276" w:lineRule="auto"/>
        <w:jc w:val="both"/>
      </w:pPr>
      <w:r w:rsidRPr="00321ED4">
        <w:t>stanovništvo u području izvođ</w:t>
      </w:r>
      <w:r w:rsidR="007B368F" w:rsidRPr="00321ED4">
        <w:t>enja projekta, uz primijenjene tehničke mjere zaštite (zvučn</w:t>
      </w:r>
      <w:r w:rsidRPr="00321ED4">
        <w:t>a izolacija</w:t>
      </w:r>
      <w:r w:rsidR="000009DC" w:rsidRPr="00321ED4">
        <w:t>) bi trebala biti umjeren na minimum</w:t>
      </w:r>
      <w:r w:rsidRPr="00321ED4">
        <w:t xml:space="preserve">; </w:t>
      </w:r>
    </w:p>
    <w:p w:rsidR="007B368F" w:rsidRPr="00321ED4" w:rsidRDefault="007B368F" w:rsidP="00272C10">
      <w:pPr>
        <w:pStyle w:val="ListParagraph"/>
        <w:numPr>
          <w:ilvl w:val="0"/>
          <w:numId w:val="2"/>
        </w:numPr>
        <w:spacing w:line="276" w:lineRule="auto"/>
        <w:jc w:val="both"/>
      </w:pPr>
      <w:r w:rsidRPr="00321ED4">
        <w:t>Tokom eksploatacije i rada postrojenja maksimalna</w:t>
      </w:r>
      <w:r w:rsidR="00321ED4" w:rsidRPr="00321ED4">
        <w:t xml:space="preserve"> buka unutar mašinske zgrade nebi smjela</w:t>
      </w:r>
      <w:r w:rsidRPr="00321ED4">
        <w:t xml:space="preserve"> preći 82 dB, tako da neće biti uticaja buke na okruženje van mašinske zgrade</w:t>
      </w:r>
      <w:r w:rsidR="00321ED4" w:rsidRPr="00321ED4">
        <w:t xml:space="preserve">. </w:t>
      </w:r>
    </w:p>
    <w:p w:rsidR="007B368F" w:rsidRPr="00321ED4" w:rsidRDefault="007B368F" w:rsidP="00A27451">
      <w:pPr>
        <w:spacing w:line="276" w:lineRule="auto"/>
        <w:jc w:val="both"/>
      </w:pPr>
      <w:r w:rsidRPr="00321ED4">
        <w:rPr>
          <w:b/>
          <w:bCs/>
        </w:rPr>
        <w:t>Uticaj vibracija</w:t>
      </w:r>
      <w:r w:rsidR="00321ED4">
        <w:t xml:space="preserve">tokom izgradnje projekta bi trebao biti mali i najviše </w:t>
      </w:r>
      <w:r w:rsidRPr="00321ED4">
        <w:t>uticati na radnike na gradilištu i rukovaoce mašinama, njihov uticaj je privremen pa samim tim neće značajnije uticati na ljude u okruženju.</w:t>
      </w:r>
    </w:p>
    <w:p w:rsidR="007B368F" w:rsidRPr="00321ED4" w:rsidRDefault="007B368F" w:rsidP="00A27451">
      <w:pPr>
        <w:spacing w:line="276" w:lineRule="auto"/>
        <w:jc w:val="both"/>
      </w:pPr>
      <w:r w:rsidRPr="00321ED4">
        <w:rPr>
          <w:b/>
          <w:bCs/>
        </w:rPr>
        <w:t xml:space="preserve">Otpad </w:t>
      </w:r>
      <w:r w:rsidRPr="00321ED4">
        <w:t>koji nastaje tokom remonta postrojenja i zamjene biće razvrstan i odlagan na zakonom propisan način i predat sakupljačima otpada u skladu sa propisima, tako da će se spriječiti svako moguće dospijevanje u okolinu i njena kontaminacija.</w:t>
      </w:r>
    </w:p>
    <w:p w:rsidR="007B368F" w:rsidRPr="00321ED4" w:rsidRDefault="007B368F" w:rsidP="00A27451">
      <w:pPr>
        <w:spacing w:line="276" w:lineRule="auto"/>
        <w:jc w:val="both"/>
      </w:pPr>
      <w:r w:rsidRPr="00321ED4">
        <w:rPr>
          <w:b/>
          <w:bCs/>
        </w:rPr>
        <w:lastRenderedPageBreak/>
        <w:t xml:space="preserve">Uticaj na zaštićena prirodna dobra kao što je </w:t>
      </w:r>
      <w:r w:rsidRPr="00321ED4">
        <w:t>NP Prokletije, je</w:t>
      </w:r>
      <w:r w:rsidR="00321ED4" w:rsidRPr="00321ED4">
        <w:t xml:space="preserve"> prema autorima studije,</w:t>
      </w:r>
      <w:r w:rsidRPr="00321ED4">
        <w:t xml:space="preserve"> prihvatljiv i privremen u dijelu uticaja koji se tiču izgradnje postrojenja (emisija u vazduh od rada gra</w:t>
      </w:r>
      <w:r w:rsidR="00460D6D">
        <w:t>đ</w:t>
      </w:r>
      <w:r w:rsidRPr="00321ED4">
        <w:t xml:space="preserve">evinskih mašina). </w:t>
      </w:r>
    </w:p>
    <w:p w:rsidR="002E6EDF" w:rsidRDefault="00F83FF5" w:rsidP="00A27451">
      <w:pPr>
        <w:spacing w:line="276" w:lineRule="auto"/>
        <w:jc w:val="both"/>
      </w:pPr>
      <w:r w:rsidRPr="002E6EDF">
        <w:rPr>
          <w:bCs/>
        </w:rPr>
        <w:t xml:space="preserve">U ekološkoj studiji je posebno obrađeno </w:t>
      </w:r>
      <w:r w:rsidR="002E6EDF" w:rsidRPr="002E6EDF">
        <w:rPr>
          <w:bCs/>
        </w:rPr>
        <w:t>pitanje</w:t>
      </w:r>
      <w:r w:rsidR="002E6EDF" w:rsidRPr="002E6EDF">
        <w:rPr>
          <w:b/>
          <w:bCs/>
        </w:rPr>
        <w:t>m</w:t>
      </w:r>
      <w:r w:rsidR="007B368F" w:rsidRPr="002E6EDF">
        <w:rPr>
          <w:b/>
          <w:bCs/>
        </w:rPr>
        <w:t>jere koje će se preduzeti u cilju sprječavanja smanjenja</w:t>
      </w:r>
      <w:r w:rsidR="002E6EDF" w:rsidRPr="002E6EDF">
        <w:rPr>
          <w:b/>
          <w:bCs/>
        </w:rPr>
        <w:t xml:space="preserve"> ili uklanjanja štetnog uticaja. </w:t>
      </w:r>
      <w:r w:rsidR="002E6EDF" w:rsidRPr="002E6EDF">
        <w:rPr>
          <w:bCs/>
        </w:rPr>
        <w:t>Ove se mjere</w:t>
      </w:r>
      <w:r w:rsidR="002E6EDF" w:rsidRPr="002E6EDF">
        <w:t xml:space="preserve">moraju </w:t>
      </w:r>
      <w:r w:rsidR="007B368F" w:rsidRPr="002E6EDF">
        <w:t>odvijati kro</w:t>
      </w:r>
      <w:r w:rsidR="002E6EDF" w:rsidRPr="002E6EDF">
        <w:t xml:space="preserve">z sve faze realizacije projekta. </w:t>
      </w:r>
      <w:r w:rsidR="002E6EDF">
        <w:t xml:space="preserve">Ovo je posebno važno jer realizacija ovih važnih mjera podrazumijeva značajne troškove i izdatke koje moramo uzeti u obzira kod analize private I društvene isplativosti projekta. U ekološkoj studiji se posebno insistira na sledećim mjerama: </w:t>
      </w:r>
    </w:p>
    <w:p w:rsidR="002E6EDF" w:rsidRPr="002E6EDF" w:rsidRDefault="002E6EDF" w:rsidP="00272C10">
      <w:pPr>
        <w:pStyle w:val="ListParagraph"/>
        <w:numPr>
          <w:ilvl w:val="0"/>
          <w:numId w:val="2"/>
        </w:numPr>
        <w:spacing w:line="276" w:lineRule="auto"/>
        <w:jc w:val="both"/>
      </w:pPr>
      <w:r>
        <w:rPr>
          <w:bCs/>
        </w:rPr>
        <w:t>Mjere zaštite u toku građ</w:t>
      </w:r>
      <w:r w:rsidR="007B368F" w:rsidRPr="002E6EDF">
        <w:rPr>
          <w:bCs/>
        </w:rPr>
        <w:t xml:space="preserve">enja </w:t>
      </w:r>
      <w:r w:rsidR="007B368F" w:rsidRPr="002E6EDF">
        <w:t>postrojenja se odnose na poštovanje i sprovoñenje mjera za smanjenje negativnih uticaja gradnje</w:t>
      </w:r>
      <w:r w:rsidRPr="002E6EDF">
        <w:t xml:space="preserve">; </w:t>
      </w:r>
    </w:p>
    <w:p w:rsidR="002E6EDF" w:rsidRDefault="007B368F" w:rsidP="00272C10">
      <w:pPr>
        <w:pStyle w:val="ListParagraph"/>
        <w:numPr>
          <w:ilvl w:val="0"/>
          <w:numId w:val="2"/>
        </w:numPr>
        <w:spacing w:line="276" w:lineRule="auto"/>
        <w:jc w:val="both"/>
      </w:pPr>
      <w:r w:rsidRPr="002E6EDF">
        <w:rPr>
          <w:bCs/>
        </w:rPr>
        <w:t xml:space="preserve">Mjere zaštite u periodu eksploatacije </w:t>
      </w:r>
      <w:r w:rsidRPr="002E6EDF">
        <w:t>se ogledaju u kontroli i upravljanju postrojenjem na način da se izbjegne nastajanje bilo kakvih kvarova ili havarija koji bi doveli, kako do velikih šteta po samo postrojenje, tako i do mogućih negativnih uticaja na životnu sredinu, prije</w:t>
      </w:r>
      <w:r w:rsidR="002E6EDF">
        <w:t xml:space="preserve"> svega na same vodotoke rijeka; </w:t>
      </w:r>
    </w:p>
    <w:p w:rsidR="002E6EDF" w:rsidRPr="002E6EDF" w:rsidRDefault="007B368F" w:rsidP="00272C10">
      <w:pPr>
        <w:pStyle w:val="ListParagraph"/>
        <w:numPr>
          <w:ilvl w:val="0"/>
          <w:numId w:val="2"/>
        </w:numPr>
        <w:spacing w:line="276" w:lineRule="auto"/>
        <w:jc w:val="both"/>
      </w:pPr>
      <w:r w:rsidRPr="002E6EDF">
        <w:t xml:space="preserve">Mjere koje je neophodno preduzeti u cilju sprečavanja (ili smanjenja mogućnosti nastajanja) akcidenta je odabir tehničkih rješenja koja smanjuje mogućnost dogañanja akcidenata u onoj mjeri u kojoj to može zavisiti od njih zavisiti. </w:t>
      </w:r>
    </w:p>
    <w:p w:rsidR="002E6EDF" w:rsidRPr="002E6EDF" w:rsidRDefault="007B368F" w:rsidP="00272C10">
      <w:pPr>
        <w:pStyle w:val="ListParagraph"/>
        <w:numPr>
          <w:ilvl w:val="0"/>
          <w:numId w:val="2"/>
        </w:numPr>
        <w:spacing w:line="276" w:lineRule="auto"/>
        <w:jc w:val="both"/>
      </w:pPr>
      <w:r w:rsidRPr="002E6EDF">
        <w:t xml:space="preserve">Monitoring stanja životne sredine je neophodno vršiti kroz sve faze realizacije projekta. </w:t>
      </w:r>
    </w:p>
    <w:p w:rsidR="009616CF" w:rsidRDefault="007B368F" w:rsidP="00272C10">
      <w:pPr>
        <w:pStyle w:val="ListParagraph"/>
        <w:numPr>
          <w:ilvl w:val="0"/>
          <w:numId w:val="2"/>
        </w:numPr>
        <w:spacing w:line="276" w:lineRule="auto"/>
        <w:jc w:val="both"/>
      </w:pPr>
      <w:r w:rsidRPr="002E6EDF">
        <w:t>Nakon puštanja u rad postrojenja potrebno je izvršiti mjerenje nivoa buke (bez rada i tokom rada postrojenja) u neposrednoj blizini mašinske zgrade i na taj način provjeriti predviñena mjere zaštite.</w:t>
      </w:r>
    </w:p>
    <w:p w:rsidR="002252FE" w:rsidRDefault="00F725AF" w:rsidP="002252FE">
      <w:pPr>
        <w:spacing w:line="276" w:lineRule="auto"/>
        <w:jc w:val="both"/>
      </w:pPr>
      <w:r>
        <w:t xml:space="preserve">Studija, kao što smo već rekli, ne ukazuje na mnogo rizika po ekosistem ali, očito, ukazuje na potrebu preduzimanja značajnih mjera za sprečavanje i umanjivanje štetnog uticaja projekta na okruženje. </w:t>
      </w:r>
    </w:p>
    <w:p w:rsidR="000D257A" w:rsidRPr="00F15475" w:rsidRDefault="000D257A" w:rsidP="00272C10">
      <w:pPr>
        <w:pStyle w:val="ListParagraph"/>
        <w:numPr>
          <w:ilvl w:val="0"/>
          <w:numId w:val="4"/>
        </w:numPr>
        <w:spacing w:before="240" w:line="276" w:lineRule="auto"/>
        <w:rPr>
          <w:b/>
        </w:rPr>
      </w:pPr>
      <w:r w:rsidRPr="000D257A">
        <w:rPr>
          <w:b/>
        </w:rPr>
        <w:t xml:space="preserve">Nalazi ekološke studije o </w:t>
      </w:r>
      <w:r w:rsidR="009616CF" w:rsidRPr="000D257A">
        <w:rPr>
          <w:b/>
        </w:rPr>
        <w:t xml:space="preserve">mHE Babino Polje </w:t>
      </w:r>
    </w:p>
    <w:p w:rsidR="003C3EFE" w:rsidRPr="00F90EA7" w:rsidRDefault="00F90EA7" w:rsidP="009702B8">
      <w:pPr>
        <w:spacing w:line="276" w:lineRule="auto"/>
        <w:jc w:val="both"/>
      </w:pPr>
      <w:r>
        <w:t xml:space="preserve">Uopšte govoreći, </w:t>
      </w:r>
      <w:r w:rsidRPr="00217E47">
        <w:rPr>
          <w:b/>
          <w:i/>
        </w:rPr>
        <w:t>k</w:t>
      </w:r>
      <w:r w:rsidR="003C3EFE" w:rsidRPr="00217E47">
        <w:rPr>
          <w:b/>
          <w:i/>
        </w:rPr>
        <w:t>valitet životne sredine na lokacij</w:t>
      </w:r>
      <w:r w:rsidRPr="00217E47">
        <w:rPr>
          <w:b/>
          <w:i/>
        </w:rPr>
        <w:t>i</w:t>
      </w:r>
      <w:r>
        <w:t xml:space="preserve"> postrojenja je ocijenjen</w:t>
      </w:r>
      <w:r w:rsidR="003C3EFE" w:rsidRPr="00F90EA7">
        <w:t xml:space="preserve"> kao veoma dobar. Na lokaciji i u </w:t>
      </w:r>
      <w:r>
        <w:t>njenoj blizini nisu identifikovani značajniji izvori</w:t>
      </w:r>
      <w:r w:rsidR="003C3EFE" w:rsidRPr="00F90EA7">
        <w:t xml:space="preserve"> zagađenja, kao što su in</w:t>
      </w:r>
      <w:r>
        <w:t xml:space="preserve">dustrijska postrojenja, saobraćajnice i drugi </w:t>
      </w:r>
      <w:r w:rsidR="003C3EFE" w:rsidRPr="00F90EA7">
        <w:t>izvori emisija koji bi negativno uticali na vazduh, vodu ili zemljište na lokaciji.</w:t>
      </w:r>
    </w:p>
    <w:p w:rsidR="00217E47" w:rsidRPr="00217E47" w:rsidRDefault="002252FE" w:rsidP="009702B8">
      <w:pPr>
        <w:spacing w:line="276" w:lineRule="auto"/>
        <w:jc w:val="both"/>
      </w:pPr>
      <w:r w:rsidRPr="00217E47">
        <w:t xml:space="preserve">Autori Studije su izvršili hemijsku i mikrobiološku </w:t>
      </w:r>
      <w:r w:rsidRPr="00217E47">
        <w:rPr>
          <w:b/>
          <w:i/>
        </w:rPr>
        <w:t>analizu</w:t>
      </w:r>
      <w:r w:rsidR="00217E47" w:rsidRPr="00217E47">
        <w:rPr>
          <w:b/>
          <w:i/>
        </w:rPr>
        <w:t xml:space="preserve"> vode iz vodotoka</w:t>
      </w:r>
      <w:r w:rsidR="00217E47" w:rsidRPr="00217E47">
        <w:t xml:space="preserve"> uzetu</w:t>
      </w:r>
      <w:r w:rsidR="003C3EFE" w:rsidRPr="00217E47">
        <w:t>sa 3 lokacije (lokacije vodozahvata na Babinopoljskoj i Hridskoj rijeci</w:t>
      </w:r>
      <w:r w:rsidR="00217E47" w:rsidRPr="00217E47">
        <w:t xml:space="preserve"> i na lokaciji mašinske zgrade). </w:t>
      </w:r>
      <w:r w:rsidR="003C3EFE" w:rsidRPr="00217E47">
        <w:t>Sektora za ispitivanje voda i vazduha Hidrometeorološkog zavoda Podgorica</w:t>
      </w:r>
      <w:r w:rsidR="00217E47" w:rsidRPr="00217E47">
        <w:t xml:space="preserve"> je izvršio analizu pri čemu je ustanovljeno: </w:t>
      </w:r>
    </w:p>
    <w:p w:rsidR="00217E47" w:rsidRPr="00217E47" w:rsidRDefault="003C3EFE" w:rsidP="00272C10">
      <w:pPr>
        <w:pStyle w:val="ListParagraph"/>
        <w:numPr>
          <w:ilvl w:val="0"/>
          <w:numId w:val="2"/>
        </w:numPr>
        <w:spacing w:line="276" w:lineRule="auto"/>
        <w:jc w:val="both"/>
      </w:pPr>
      <w:r w:rsidRPr="00217E47">
        <w:t xml:space="preserve">Vodotoci su imali odlične organoleptičke osobine, nizak sadržaj glavnih jona, odsustvo opasnih i štetnih materija, zanemarljivo prisustvo biorazgradive organske materije. </w:t>
      </w:r>
    </w:p>
    <w:p w:rsidR="00217E47" w:rsidRPr="00217E47" w:rsidRDefault="003C3EFE" w:rsidP="00272C10">
      <w:pPr>
        <w:pStyle w:val="ListParagraph"/>
        <w:numPr>
          <w:ilvl w:val="0"/>
          <w:numId w:val="2"/>
        </w:numPr>
        <w:spacing w:line="276" w:lineRule="auto"/>
        <w:jc w:val="both"/>
      </w:pPr>
      <w:r w:rsidRPr="00217E47">
        <w:t xml:space="preserve">Temperatura vode je bila niska. </w:t>
      </w:r>
    </w:p>
    <w:p w:rsidR="00217E47" w:rsidRPr="00217E47" w:rsidRDefault="003C3EFE" w:rsidP="00272C10">
      <w:pPr>
        <w:pStyle w:val="ListParagraph"/>
        <w:numPr>
          <w:ilvl w:val="0"/>
          <w:numId w:val="2"/>
        </w:numPr>
        <w:spacing w:line="276" w:lineRule="auto"/>
        <w:jc w:val="both"/>
      </w:pPr>
      <w:r w:rsidRPr="00217E47">
        <w:t xml:space="preserve">Mala tvrdoća vode i ostalih povezanih parametara plavskih rijeka ukazuje na kratko vremensku distancu između padavinske, podzemne i površinske vode. </w:t>
      </w:r>
    </w:p>
    <w:p w:rsidR="00217E47" w:rsidRPr="00217E47" w:rsidRDefault="003C3EFE" w:rsidP="00272C10">
      <w:pPr>
        <w:pStyle w:val="ListParagraph"/>
        <w:numPr>
          <w:ilvl w:val="0"/>
          <w:numId w:val="2"/>
        </w:numPr>
        <w:spacing w:line="276" w:lineRule="auto"/>
        <w:jc w:val="both"/>
      </w:pPr>
      <w:r w:rsidRPr="00217E47">
        <w:t>Antropogeni uticaj na vodotoke na lokacijama vodozahvata ili nije evidentiran ili je zanemarljiv.</w:t>
      </w:r>
    </w:p>
    <w:p w:rsidR="003C3EFE" w:rsidRPr="00217E47" w:rsidRDefault="003C3EFE" w:rsidP="00272C10">
      <w:pPr>
        <w:pStyle w:val="ListParagraph"/>
        <w:numPr>
          <w:ilvl w:val="0"/>
          <w:numId w:val="2"/>
        </w:numPr>
        <w:spacing w:line="276" w:lineRule="auto"/>
        <w:jc w:val="both"/>
      </w:pPr>
      <w:r w:rsidRPr="00217E47">
        <w:t>Analizom je ustanovljeno da mikrobiološko stanje vode iz rijeke u blizini lokacije MZ odgovaralo klasi "A1.</w:t>
      </w:r>
    </w:p>
    <w:p w:rsidR="00217E47" w:rsidRDefault="00217E47" w:rsidP="009702B8">
      <w:pPr>
        <w:spacing w:line="276" w:lineRule="auto"/>
        <w:jc w:val="both"/>
      </w:pPr>
      <w:r>
        <w:lastRenderedPageBreak/>
        <w:t xml:space="preserve">Kada je rijeć o </w:t>
      </w:r>
      <w:r w:rsidRPr="00217E47">
        <w:rPr>
          <w:b/>
          <w:i/>
        </w:rPr>
        <w:t>uticaju</w:t>
      </w:r>
      <w:r w:rsidR="003C3EFE" w:rsidRPr="00217E47">
        <w:rPr>
          <w:b/>
          <w:i/>
        </w:rPr>
        <w:t xml:space="preserve"> postrojenja n</w:t>
      </w:r>
      <w:r w:rsidRPr="00217E47">
        <w:rPr>
          <w:b/>
          <w:i/>
        </w:rPr>
        <w:t>a biljni i životinjski svijet</w:t>
      </w:r>
      <w:r w:rsidR="003C3EFE" w:rsidRPr="009616CF">
        <w:t xml:space="preserve"> ustanovljeno</w:t>
      </w:r>
      <w:r>
        <w:t xml:space="preserve"> je</w:t>
      </w:r>
      <w:r w:rsidR="003C3EFE" w:rsidRPr="009616CF">
        <w:t>:</w:t>
      </w:r>
    </w:p>
    <w:p w:rsidR="00217E47" w:rsidRPr="00A76594" w:rsidRDefault="00217E47" w:rsidP="00272C10">
      <w:pPr>
        <w:pStyle w:val="ListParagraph"/>
        <w:numPr>
          <w:ilvl w:val="0"/>
          <w:numId w:val="2"/>
        </w:numPr>
        <w:spacing w:line="276" w:lineRule="auto"/>
        <w:jc w:val="both"/>
      </w:pPr>
      <w:r w:rsidRPr="00A76594">
        <w:t>U</w:t>
      </w:r>
      <w:r w:rsidR="003C3EFE" w:rsidRPr="00A76594">
        <w:t>ticaji na floru i vegetaciju prvenstveno</w:t>
      </w:r>
      <w:r w:rsidRPr="00A76594">
        <w:t xml:space="preserve"> se</w:t>
      </w:r>
      <w:r w:rsidR="003C3EFE" w:rsidRPr="00A76594">
        <w:t xml:space="preserve"> odnose na devastaciju biljnog pokrivača duž trase cjevovoda, kao i na uništavanje biljnog pokrivača pri privremenom zauzimanju prostora prilikom izgradnje p</w:t>
      </w:r>
      <w:r w:rsidR="00A76594">
        <w:t xml:space="preserve">ratećih objekata za gradilište; </w:t>
      </w:r>
    </w:p>
    <w:p w:rsidR="00A76594" w:rsidRDefault="00217E47" w:rsidP="00272C10">
      <w:pPr>
        <w:pStyle w:val="ListParagraph"/>
        <w:numPr>
          <w:ilvl w:val="0"/>
          <w:numId w:val="2"/>
        </w:numPr>
        <w:spacing w:line="276" w:lineRule="auto"/>
        <w:jc w:val="both"/>
      </w:pPr>
      <w:r w:rsidRPr="00A76594">
        <w:t>V</w:t>
      </w:r>
      <w:r w:rsidR="003C3EFE" w:rsidRPr="00A76594">
        <w:t xml:space="preserve">egetacija </w:t>
      </w:r>
      <w:r w:rsidRPr="00A76594">
        <w:t>područja na kojem je objekat izgrađen ne spada u zajednicu osjetljivu</w:t>
      </w:r>
      <w:r w:rsidR="003C3EFE" w:rsidRPr="00A76594">
        <w:t xml:space="preserve"> na manje promjene f</w:t>
      </w:r>
      <w:r w:rsidR="00A76594" w:rsidRPr="00A76594">
        <w:t xml:space="preserve">lorističkog sastava, tako da bi, prema Studiji, </w:t>
      </w:r>
      <w:r w:rsidR="003C3EFE" w:rsidRPr="00A76594">
        <w:t xml:space="preserve">osnovna vegetacijska struktura </w:t>
      </w:r>
      <w:r w:rsidR="00A76594" w:rsidRPr="00A76594">
        <w:t xml:space="preserve">trebala </w:t>
      </w:r>
      <w:r w:rsidR="00A76594">
        <w:t xml:space="preserve">ostati nepromjenjena; </w:t>
      </w:r>
    </w:p>
    <w:p w:rsidR="00A76594" w:rsidRPr="00A76594" w:rsidRDefault="003C3EFE" w:rsidP="00272C10">
      <w:pPr>
        <w:pStyle w:val="ListParagraph"/>
        <w:numPr>
          <w:ilvl w:val="0"/>
          <w:numId w:val="2"/>
        </w:numPr>
        <w:spacing w:line="276" w:lineRule="auto"/>
        <w:jc w:val="both"/>
      </w:pPr>
      <w:r w:rsidRPr="00A76594">
        <w:t xml:space="preserve">Na </w:t>
      </w:r>
      <w:r w:rsidR="00A76594" w:rsidRPr="00A76594">
        <w:t xml:space="preserve">ovom </w:t>
      </w:r>
      <w:r w:rsidRPr="00A76594">
        <w:t>podr</w:t>
      </w:r>
      <w:r w:rsidR="00A76594" w:rsidRPr="00A76594">
        <w:t xml:space="preserve">učju </w:t>
      </w:r>
      <w:r w:rsidRPr="00A76594">
        <w:t>nema reprezentativnih habitata koji se nalaze na Habitat Direktivi, tj. čine dio NATURA 2000 mreže i u skladu sa tim predstavljaju st</w:t>
      </w:r>
      <w:r w:rsidR="00A76594" w:rsidRPr="00A76594">
        <w:t xml:space="preserve">aništa od međunarodnog značaja; </w:t>
      </w:r>
    </w:p>
    <w:p w:rsidR="00A76594" w:rsidRPr="00A76594" w:rsidRDefault="00A76594" w:rsidP="00272C10">
      <w:pPr>
        <w:pStyle w:val="ListParagraph"/>
        <w:numPr>
          <w:ilvl w:val="0"/>
          <w:numId w:val="2"/>
        </w:numPr>
        <w:spacing w:line="276" w:lineRule="auto"/>
        <w:jc w:val="both"/>
      </w:pPr>
      <w:r w:rsidRPr="00A76594">
        <w:t xml:space="preserve">Predviđeno je da neće </w:t>
      </w:r>
      <w:r w:rsidR="003C3EFE" w:rsidRPr="00A76594">
        <w:t>biti ugrožena populacija neke endemične ili subendemične vrste</w:t>
      </w:r>
      <w:r w:rsidRPr="00A76594">
        <w:t xml:space="preserve"> jer takve ne postoje na ovoj lokaciji; </w:t>
      </w:r>
    </w:p>
    <w:p w:rsidR="00A76594" w:rsidRPr="00A76594" w:rsidRDefault="003C3EFE" w:rsidP="00272C10">
      <w:pPr>
        <w:pStyle w:val="ListParagraph"/>
        <w:numPr>
          <w:ilvl w:val="0"/>
          <w:numId w:val="2"/>
        </w:numPr>
        <w:spacing w:line="276" w:lineRule="auto"/>
        <w:jc w:val="both"/>
      </w:pPr>
      <w:r w:rsidRPr="00A76594">
        <w:t xml:space="preserve">Promjene vodnih režima na vodotocima </w:t>
      </w:r>
      <w:r w:rsidR="00A76594" w:rsidRPr="00A76594">
        <w:t xml:space="preserve">nebi trebale značajnije </w:t>
      </w:r>
      <w:r w:rsidRPr="00A76594">
        <w:t xml:space="preserve">remetiti strukture </w:t>
      </w:r>
      <w:r w:rsidR="00A76594" w:rsidRPr="00A76594">
        <w:t xml:space="preserve">zajednica primarnih producenata; </w:t>
      </w:r>
    </w:p>
    <w:p w:rsidR="003C3EFE" w:rsidRPr="00A76594" w:rsidRDefault="003C3EFE" w:rsidP="00272C10">
      <w:pPr>
        <w:pStyle w:val="ListParagraph"/>
        <w:numPr>
          <w:ilvl w:val="0"/>
          <w:numId w:val="2"/>
        </w:numPr>
        <w:spacing w:line="276" w:lineRule="auto"/>
        <w:jc w:val="both"/>
      </w:pPr>
      <w:r w:rsidRPr="00A76594">
        <w:t>Promjena vodnog režima i pravljenje prepreke na</w:t>
      </w:r>
      <w:r w:rsidR="00A76594" w:rsidRPr="00A76594">
        <w:t xml:space="preserve"> samim vodotocima</w:t>
      </w:r>
      <w:r w:rsidRPr="00A76594">
        <w:t xml:space="preserve"> imaće veoma negativne posledice po populacije p</w:t>
      </w:r>
      <w:r w:rsidR="00A76594" w:rsidRPr="00A76594">
        <w:t xml:space="preserve">otočne pastrmke u ovim rijekama; </w:t>
      </w:r>
    </w:p>
    <w:p w:rsidR="00701D2C" w:rsidRDefault="003C3EFE" w:rsidP="009702B8">
      <w:pPr>
        <w:spacing w:line="276" w:lineRule="auto"/>
        <w:jc w:val="both"/>
      </w:pPr>
      <w:r w:rsidRPr="009616CF">
        <w:t>Negativni uticaji postrojenja mHE</w:t>
      </w:r>
      <w:r w:rsidR="00A76594">
        <w:t xml:space="preserve"> se razmatra iz više perspektiva. Kada je riječ o uticaju mHE na</w:t>
      </w:r>
      <w:r w:rsidR="00A76594" w:rsidRPr="00701D2C">
        <w:rPr>
          <w:b/>
          <w:i/>
        </w:rPr>
        <w:t xml:space="preserve">kvalitet vazduha </w:t>
      </w:r>
      <w:r w:rsidR="00701D2C">
        <w:t xml:space="preserve">u studiji se ustanovljava sledeće: </w:t>
      </w:r>
    </w:p>
    <w:p w:rsidR="00701D2C" w:rsidRPr="00701D2C" w:rsidRDefault="003C3EFE" w:rsidP="00272C10">
      <w:pPr>
        <w:pStyle w:val="ListParagraph"/>
        <w:numPr>
          <w:ilvl w:val="0"/>
          <w:numId w:val="2"/>
        </w:numPr>
        <w:spacing w:line="276" w:lineRule="auto"/>
        <w:jc w:val="both"/>
      </w:pPr>
      <w:r w:rsidRPr="00701D2C">
        <w:t>Zagađenje vazd</w:t>
      </w:r>
      <w:r w:rsidR="00701D2C" w:rsidRPr="00701D2C">
        <w:t>uha tokom izgradnje projekta su prvenstveno vezana za izduvne gasove</w:t>
      </w:r>
      <w:r w:rsidRPr="00701D2C">
        <w:t xml:space="preserve"> koji nastaju usled rada građevinskih mašina i vozila koji kao pogonsko gorivo koriste naftne derivate </w:t>
      </w:r>
      <w:r w:rsidR="00701D2C" w:rsidRPr="00701D2C">
        <w:t>I na prašinu</w:t>
      </w:r>
      <w:r w:rsidRPr="00701D2C">
        <w:t xml:space="preserve">, kao </w:t>
      </w:r>
      <w:r w:rsidR="00701D2C" w:rsidRPr="00701D2C">
        <w:t>posljedica izvođenja radova</w:t>
      </w:r>
      <w:r w:rsidRPr="00701D2C">
        <w:t>.</w:t>
      </w:r>
    </w:p>
    <w:p w:rsidR="00701D2C" w:rsidRPr="00701D2C" w:rsidRDefault="00701D2C" w:rsidP="00272C10">
      <w:pPr>
        <w:pStyle w:val="ListParagraph"/>
        <w:numPr>
          <w:ilvl w:val="0"/>
          <w:numId w:val="2"/>
        </w:numPr>
        <w:spacing w:line="276" w:lineRule="auto"/>
        <w:jc w:val="both"/>
      </w:pPr>
      <w:r w:rsidRPr="00701D2C">
        <w:t>Ovi</w:t>
      </w:r>
      <w:r w:rsidR="003C3EFE" w:rsidRPr="00701D2C">
        <w:t xml:space="preserve"> negativni uticaji su najčešće lokalizovani samo na prostoru izvođenja radova</w:t>
      </w:r>
      <w:r w:rsidRPr="00701D2C">
        <w:t xml:space="preserve"> I uz to</w:t>
      </w:r>
      <w:r w:rsidR="003C3EFE" w:rsidRPr="00701D2C">
        <w:t xml:space="preserve"> su privremenog karaktera,</w:t>
      </w:r>
      <w:r w:rsidRPr="00701D2C">
        <w:t>tako da</w:t>
      </w:r>
      <w:r w:rsidR="003C3EFE" w:rsidRPr="00701D2C">
        <w:t xml:space="preserve"> neće ostaviti značajniji uticaj na život stanovnika u okruženju i ekosistem na lokaciji. </w:t>
      </w:r>
    </w:p>
    <w:p w:rsidR="00701D2C" w:rsidRPr="00701D2C" w:rsidRDefault="003C3EFE" w:rsidP="00272C10">
      <w:pPr>
        <w:pStyle w:val="ListParagraph"/>
        <w:numPr>
          <w:ilvl w:val="0"/>
          <w:numId w:val="2"/>
        </w:numPr>
        <w:spacing w:line="276" w:lineRule="auto"/>
        <w:jc w:val="both"/>
      </w:pPr>
      <w:r w:rsidRPr="00701D2C">
        <w:t>Efikasna kon</w:t>
      </w:r>
      <w:r w:rsidR="00701D2C" w:rsidRPr="00701D2C">
        <w:t>trola nivoa ovih emisija se mogla</w:t>
      </w:r>
      <w:r w:rsidRPr="00701D2C">
        <w:t xml:space="preserve"> ostvariti kroz pravilno planiranje i striktno provođenje mjera zaštite na gradilištu, korišćenjem ispravne mehanizacije i redovnog kvašenja površina sa </w:t>
      </w:r>
      <w:r w:rsidR="009C20E7" w:rsidRPr="00701D2C">
        <w:t xml:space="preserve">kojih se može podizati prašina. </w:t>
      </w:r>
    </w:p>
    <w:p w:rsidR="003C3EFE" w:rsidRPr="00701D2C" w:rsidRDefault="003C3EFE" w:rsidP="00272C10">
      <w:pPr>
        <w:pStyle w:val="ListParagraph"/>
        <w:numPr>
          <w:ilvl w:val="0"/>
          <w:numId w:val="2"/>
        </w:numPr>
        <w:spacing w:line="276" w:lineRule="auto"/>
        <w:jc w:val="both"/>
      </w:pPr>
      <w:r w:rsidRPr="00701D2C">
        <w:t>Za vrijeme re</w:t>
      </w:r>
      <w:r w:rsidR="00701D2C" w:rsidRPr="00701D2C">
        <w:t>dovnog rada postrojenja mHE nebi trebalo</w:t>
      </w:r>
      <w:r w:rsidRPr="00701D2C">
        <w:t xml:space="preserve"> biti negativnih emisija u vazduh.</w:t>
      </w:r>
    </w:p>
    <w:p w:rsidR="007808A1" w:rsidRPr="00FC696A" w:rsidRDefault="003C3EFE" w:rsidP="009702B8">
      <w:pPr>
        <w:spacing w:line="276" w:lineRule="auto"/>
        <w:jc w:val="both"/>
      </w:pPr>
      <w:r w:rsidRPr="00FC696A">
        <w:rPr>
          <w:b/>
          <w:i/>
        </w:rPr>
        <w:t>Uticaj na</w:t>
      </w:r>
      <w:r w:rsidR="00FC696A">
        <w:rPr>
          <w:b/>
          <w:i/>
        </w:rPr>
        <w:t xml:space="preserve"> kvalitet</w:t>
      </w:r>
      <w:r w:rsidRPr="00FC696A">
        <w:rPr>
          <w:b/>
          <w:i/>
        </w:rPr>
        <w:t xml:space="preserve"> vode</w:t>
      </w:r>
      <w:r w:rsidR="007808A1" w:rsidRPr="00FC696A">
        <w:t xml:space="preserve"> se u Studiji razmatra iz perspective uticaja u toku gradnje kao i u toku rada postrojenja</w:t>
      </w:r>
      <w:r w:rsidRPr="00FC696A">
        <w:t xml:space="preserve">: </w:t>
      </w:r>
    </w:p>
    <w:p w:rsidR="007808A1" w:rsidRPr="00FC696A" w:rsidRDefault="003C3EFE" w:rsidP="00272C10">
      <w:pPr>
        <w:pStyle w:val="ListParagraph"/>
        <w:numPr>
          <w:ilvl w:val="0"/>
          <w:numId w:val="2"/>
        </w:numPr>
        <w:spacing w:line="276" w:lineRule="auto"/>
        <w:jc w:val="both"/>
      </w:pPr>
      <w:r w:rsidRPr="00FC696A">
        <w:t>Uticaj izvođenja radova na kvalitet vode u vodotoku</w:t>
      </w:r>
      <w:r w:rsidR="007808A1" w:rsidRPr="00FC696A">
        <w:t xml:space="preserve"> je očit ali se on</w:t>
      </w:r>
      <w:r w:rsidRPr="00FC696A">
        <w:t xml:space="preserve"> se primjenom tehničkih mjera zaštite na gradilištu i površinama koje su p</w:t>
      </w:r>
      <w:r w:rsidR="007808A1" w:rsidRPr="00FC696A">
        <w:t xml:space="preserve">od neposrednim uticajem gradnje može znatno smanjiti; </w:t>
      </w:r>
    </w:p>
    <w:p w:rsidR="00FC696A" w:rsidRPr="00FC696A" w:rsidRDefault="007808A1" w:rsidP="00272C10">
      <w:pPr>
        <w:pStyle w:val="ListParagraph"/>
        <w:numPr>
          <w:ilvl w:val="0"/>
          <w:numId w:val="2"/>
        </w:numPr>
        <w:spacing w:line="276" w:lineRule="auto"/>
        <w:jc w:val="both"/>
      </w:pPr>
      <w:r w:rsidRPr="00FC696A">
        <w:t>S</w:t>
      </w:r>
      <w:r w:rsidR="003C3EFE" w:rsidRPr="00FC696A">
        <w:t xml:space="preserve"> obzirom da je</w:t>
      </w:r>
      <w:r w:rsidRPr="00FC696A">
        <w:t xml:space="preserve"> gradnja</w:t>
      </w:r>
      <w:r w:rsidR="003C3EFE" w:rsidRPr="00FC696A">
        <w:t xml:space="preserve"> privremenog karaktera</w:t>
      </w:r>
      <w:r w:rsidRPr="00FC696A">
        <w:t xml:space="preserve"> ovaj se uticaj</w:t>
      </w:r>
      <w:r w:rsidR="003C3EFE" w:rsidRPr="00FC696A">
        <w:t xml:space="preserve"> može okarakterisati kao prih</w:t>
      </w:r>
      <w:r w:rsidR="00FC696A" w:rsidRPr="00FC696A">
        <w:t>vatljiv, jer neće ostaviti trajnog uticaja</w:t>
      </w:r>
      <w:r w:rsidR="003C3EFE" w:rsidRPr="00FC696A">
        <w:t xml:space="preserve"> na kvalitet vode u vodotoku pa sam</w:t>
      </w:r>
      <w:r w:rsidR="00FC696A" w:rsidRPr="00FC696A">
        <w:t xml:space="preserve">im tim ni na živi svijet u njoj; </w:t>
      </w:r>
    </w:p>
    <w:p w:rsidR="00FC696A" w:rsidRPr="00FC696A" w:rsidRDefault="00FC696A" w:rsidP="00272C10">
      <w:pPr>
        <w:pStyle w:val="ListParagraph"/>
        <w:numPr>
          <w:ilvl w:val="0"/>
          <w:numId w:val="2"/>
        </w:numPr>
        <w:spacing w:line="276" w:lineRule="auto"/>
        <w:jc w:val="both"/>
      </w:pPr>
      <w:r w:rsidRPr="00FC696A">
        <w:t>Sam uticaj rada</w:t>
      </w:r>
      <w:r w:rsidR="003C3EFE" w:rsidRPr="00FC696A">
        <w:t xml:space="preserve"> postrojenja </w:t>
      </w:r>
      <w:r w:rsidRPr="00FC696A">
        <w:t xml:space="preserve">na kvalitet vode je zanemarljiv; </w:t>
      </w:r>
    </w:p>
    <w:p w:rsidR="003C3EFE" w:rsidRPr="00FC696A" w:rsidRDefault="00FC696A" w:rsidP="00272C10">
      <w:pPr>
        <w:pStyle w:val="ListParagraph"/>
        <w:numPr>
          <w:ilvl w:val="0"/>
          <w:numId w:val="2"/>
        </w:numPr>
        <w:spacing w:line="276" w:lineRule="auto"/>
        <w:jc w:val="both"/>
      </w:pPr>
      <w:r w:rsidRPr="00FC696A">
        <w:t>Uz to u</w:t>
      </w:r>
      <w:r w:rsidR="003C3EFE" w:rsidRPr="00FC696A">
        <w:t>z primjenu svih mjera zaštite, monitoringa i održavanja sistema nema mogućnosti zagađenja vodom uljima ili mazivima koja s</w:t>
      </w:r>
      <w:r w:rsidRPr="00FC696A">
        <w:t xml:space="preserve">e nalaze u sistemu. </w:t>
      </w:r>
    </w:p>
    <w:p w:rsidR="009702B8" w:rsidRPr="0057069C" w:rsidRDefault="003C3EFE" w:rsidP="009702B8">
      <w:pPr>
        <w:spacing w:line="276" w:lineRule="auto"/>
        <w:jc w:val="both"/>
      </w:pPr>
      <w:r w:rsidRPr="0057069C">
        <w:rPr>
          <w:b/>
          <w:i/>
        </w:rPr>
        <w:t xml:space="preserve">Uticaj na vodotok </w:t>
      </w:r>
      <w:r w:rsidR="009702B8" w:rsidRPr="0057069C">
        <w:t xml:space="preserve">se takođe u Studiji razmatra i za period gradnje i docnije. </w:t>
      </w:r>
    </w:p>
    <w:p w:rsidR="009702B8" w:rsidRPr="009702B8" w:rsidRDefault="009702B8" w:rsidP="00272C10">
      <w:pPr>
        <w:pStyle w:val="ListParagraph"/>
        <w:numPr>
          <w:ilvl w:val="0"/>
          <w:numId w:val="2"/>
        </w:numPr>
        <w:spacing w:line="276" w:lineRule="auto"/>
        <w:jc w:val="both"/>
      </w:pPr>
      <w:r w:rsidRPr="009702B8">
        <w:lastRenderedPageBreak/>
        <w:t>U</w:t>
      </w:r>
      <w:r w:rsidR="003C3EFE" w:rsidRPr="009702B8">
        <w:t xml:space="preserve"> toku redovnog rada postrojenja se </w:t>
      </w:r>
      <w:r w:rsidRPr="009702B8">
        <w:t xml:space="preserve">promjene u vodotoku se </w:t>
      </w:r>
      <w:r w:rsidR="003C3EFE" w:rsidRPr="009702B8">
        <w:t>ogleda</w:t>
      </w:r>
      <w:r w:rsidRPr="009702B8">
        <w:t>ju</w:t>
      </w:r>
      <w:r w:rsidR="003C3EFE" w:rsidRPr="009702B8">
        <w:t xml:space="preserve"> u smanjivanju protoka u dijelu </w:t>
      </w:r>
      <w:r w:rsidRPr="009702B8">
        <w:t xml:space="preserve">rijeke obuhvaćene sistemom mHE; </w:t>
      </w:r>
    </w:p>
    <w:p w:rsidR="009702B8" w:rsidRPr="009702B8" w:rsidRDefault="003C3EFE" w:rsidP="00272C10">
      <w:pPr>
        <w:pStyle w:val="ListParagraph"/>
        <w:numPr>
          <w:ilvl w:val="0"/>
          <w:numId w:val="2"/>
        </w:numPr>
        <w:spacing w:line="276" w:lineRule="auto"/>
        <w:jc w:val="both"/>
      </w:pPr>
      <w:r w:rsidRPr="009702B8">
        <w:t xml:space="preserve">Ovaj uticaj je prihvatljiv za živi svijet u njoj osim za populacije potočne pastrmke u ovim rijekama, čija će uzvodna migracija, koju </w:t>
      </w:r>
      <w:r w:rsidR="009702B8" w:rsidRPr="009702B8">
        <w:t>ona poduzima radi mrijesta,</w:t>
      </w:r>
      <w:r w:rsidRPr="009702B8">
        <w:t xml:space="preserve"> spriječena što će doprinijeti manjem smanjenu nj</w:t>
      </w:r>
      <w:r w:rsidR="009702B8" w:rsidRPr="009702B8">
        <w:t xml:space="preserve">ene brojnosti u cijeloj regiji; </w:t>
      </w:r>
    </w:p>
    <w:p w:rsidR="003C3EFE" w:rsidRPr="009702B8" w:rsidRDefault="009702B8" w:rsidP="00272C10">
      <w:pPr>
        <w:pStyle w:val="ListParagraph"/>
        <w:numPr>
          <w:ilvl w:val="0"/>
          <w:numId w:val="2"/>
        </w:numPr>
        <w:spacing w:line="276" w:lineRule="auto"/>
        <w:jc w:val="both"/>
      </w:pPr>
      <w:r w:rsidRPr="009702B8">
        <w:t>Ovaj važan problem</w:t>
      </w:r>
      <w:r w:rsidR="003C3EFE" w:rsidRPr="009702B8">
        <w:t xml:space="preserve"> se može dovesti u zonu održivosti, a negativni efekti bi bili smanjeni na najmanju moguću mjeru, ako bi se vodotoci poribljavali sa makar 2000 komada mlađi potočne pastrmke svake godine (dunavska Da1 ili Da2 filogenetska linija koja je karakteristična </w:t>
      </w:r>
      <w:r w:rsidRPr="009702B8">
        <w:t xml:space="preserve">za Plavsko jezero i rijeku Lim). </w:t>
      </w:r>
    </w:p>
    <w:p w:rsidR="0057069C" w:rsidRDefault="003C3EFE" w:rsidP="009702B8">
      <w:pPr>
        <w:spacing w:line="276" w:lineRule="auto"/>
        <w:jc w:val="both"/>
      </w:pPr>
      <w:r w:rsidRPr="009702B8">
        <w:t xml:space="preserve">Tokom izgradnje ovog objekta </w:t>
      </w:r>
      <w:r w:rsidRPr="009702B8">
        <w:rPr>
          <w:b/>
          <w:i/>
        </w:rPr>
        <w:t xml:space="preserve">uticaj </w:t>
      </w:r>
      <w:r w:rsidR="009702B8" w:rsidRPr="009702B8">
        <w:rPr>
          <w:b/>
          <w:i/>
        </w:rPr>
        <w:t>na zemljište</w:t>
      </w:r>
      <w:r w:rsidRPr="009702B8">
        <w:t xml:space="preserve">se ogleda kroz </w:t>
      </w:r>
    </w:p>
    <w:p w:rsidR="0057069C" w:rsidRDefault="003C3EFE" w:rsidP="00272C10">
      <w:pPr>
        <w:pStyle w:val="ListParagraph"/>
        <w:numPr>
          <w:ilvl w:val="0"/>
          <w:numId w:val="2"/>
        </w:numPr>
        <w:spacing w:line="276" w:lineRule="auto"/>
        <w:jc w:val="both"/>
      </w:pPr>
      <w:r w:rsidRPr="009702B8">
        <w:t>privremeno zauzimanje prostora za vrijeme izgradnje mHE, za izgradnju pratećih objekata, infrastrukture za gradilište, pozajmiš</w:t>
      </w:r>
      <w:r w:rsidR="0057069C">
        <w:t xml:space="preserve">ta i odlagališta materijala itd; </w:t>
      </w:r>
    </w:p>
    <w:p w:rsidR="0057069C" w:rsidRDefault="0057069C" w:rsidP="00272C10">
      <w:pPr>
        <w:pStyle w:val="ListParagraph"/>
        <w:numPr>
          <w:ilvl w:val="0"/>
          <w:numId w:val="2"/>
        </w:numPr>
        <w:spacing w:line="276" w:lineRule="auto"/>
        <w:jc w:val="both"/>
      </w:pPr>
      <w:r w:rsidRPr="0057069C">
        <w:t xml:space="preserve">Po </w:t>
      </w:r>
      <w:r w:rsidR="003C3EFE" w:rsidRPr="0057069C">
        <w:t>završetka radova sve privremeno zauzete površine će biti vraćene u prvobitno stanje tako da nema promjene lokalne topografije i uticaj na zemljište je veoma mali i privremenog karaktera na čitavoj trasi cjevovoda.</w:t>
      </w:r>
    </w:p>
    <w:p w:rsidR="005A3659" w:rsidRPr="005A3659" w:rsidRDefault="0057069C" w:rsidP="00272C10">
      <w:pPr>
        <w:pStyle w:val="ListParagraph"/>
        <w:numPr>
          <w:ilvl w:val="0"/>
          <w:numId w:val="2"/>
        </w:numPr>
        <w:spacing w:line="276" w:lineRule="auto"/>
        <w:jc w:val="both"/>
      </w:pPr>
      <w:r w:rsidRPr="005A3659">
        <w:t>Kada je riječ o trajnom zauzimanju</w:t>
      </w:r>
      <w:r w:rsidR="003C3EFE" w:rsidRPr="005A3659">
        <w:t xml:space="preserve"> zemljišta objektima koji će biti izgrađeni</w:t>
      </w:r>
      <w:r w:rsidR="005A3659" w:rsidRPr="005A3659">
        <w:t xml:space="preserve"> kao sastavni dio mHE</w:t>
      </w:r>
      <w:r w:rsidR="003C3EFE" w:rsidRPr="005A3659">
        <w:t>, na lokacijama vodozahvata će biti nez</w:t>
      </w:r>
      <w:r w:rsidR="005A3659" w:rsidRPr="005A3659">
        <w:t xml:space="preserve">natno proširena korita Rijeka; </w:t>
      </w:r>
    </w:p>
    <w:p w:rsidR="003C3EFE" w:rsidRPr="005A3659" w:rsidRDefault="005A3659" w:rsidP="00272C10">
      <w:pPr>
        <w:pStyle w:val="ListParagraph"/>
        <w:numPr>
          <w:ilvl w:val="0"/>
          <w:numId w:val="2"/>
        </w:numPr>
        <w:spacing w:line="276" w:lineRule="auto"/>
        <w:jc w:val="both"/>
      </w:pPr>
      <w:r w:rsidRPr="005A3659">
        <w:t>N</w:t>
      </w:r>
      <w:r w:rsidR="003C3EFE" w:rsidRPr="005A3659">
        <w:t>a lokaciji mašinske zgrade i</w:t>
      </w:r>
      <w:r w:rsidRPr="005A3659">
        <w:t xml:space="preserve"> odvodnog kanala će biti</w:t>
      </w:r>
      <w:r w:rsidR="003C3EFE" w:rsidRPr="005A3659">
        <w:t xml:space="preserve"> trajno zauzeta površina za same objekte tako da je ovaj uticaj lokalan i trajan.</w:t>
      </w:r>
    </w:p>
    <w:p w:rsidR="005A3659" w:rsidRPr="005A3659" w:rsidRDefault="003C3EFE" w:rsidP="009702B8">
      <w:pPr>
        <w:spacing w:line="276" w:lineRule="auto"/>
        <w:jc w:val="both"/>
      </w:pPr>
      <w:r w:rsidRPr="005A3659">
        <w:t>U</w:t>
      </w:r>
      <w:r w:rsidR="005A3659" w:rsidRPr="005A3659">
        <w:t xml:space="preserve">ticaj projekta </w:t>
      </w:r>
      <w:r w:rsidRPr="005A3659">
        <w:t>na</w:t>
      </w:r>
      <w:r w:rsidRPr="005A3659">
        <w:rPr>
          <w:b/>
          <w:i/>
        </w:rPr>
        <w:t xml:space="preserve">kvalitet zemljišta </w:t>
      </w:r>
      <w:r w:rsidRPr="005A3659">
        <w:t xml:space="preserve">tokom izgradnje objekata mHE "Babino polje" je povezan sa radom građevinskih mašina tokom gradnje i iskopavanja zemljišta. </w:t>
      </w:r>
    </w:p>
    <w:p w:rsidR="005A3659" w:rsidRPr="005A3659" w:rsidRDefault="003C3EFE" w:rsidP="00272C10">
      <w:pPr>
        <w:pStyle w:val="ListParagraph"/>
        <w:numPr>
          <w:ilvl w:val="0"/>
          <w:numId w:val="2"/>
        </w:numPr>
        <w:spacing w:line="276" w:lineRule="auto"/>
        <w:jc w:val="both"/>
      </w:pPr>
      <w:r w:rsidRPr="005A3659">
        <w:t>Ovi uticaji se odnose na mogućnost zagađivanja zemljišta naftnim derivatima i mazivima do kojih može doći usled kvarova na građevinskim mašinama, nepr</w:t>
      </w:r>
      <w:r w:rsidR="005A3659" w:rsidRPr="005A3659">
        <w:t xml:space="preserve">avilnim skladištenjem i slično; </w:t>
      </w:r>
    </w:p>
    <w:p w:rsidR="005A3659" w:rsidRPr="005A3659" w:rsidRDefault="005A3659" w:rsidP="00272C10">
      <w:pPr>
        <w:pStyle w:val="ListParagraph"/>
        <w:numPr>
          <w:ilvl w:val="0"/>
          <w:numId w:val="2"/>
        </w:numPr>
        <w:spacing w:line="276" w:lineRule="auto"/>
        <w:jc w:val="both"/>
      </w:pPr>
      <w:r w:rsidRPr="005A3659">
        <w:t>Ipak, u</w:t>
      </w:r>
      <w:r w:rsidR="003C3EFE" w:rsidRPr="005A3659">
        <w:t xml:space="preserve">z sprovođenje mjera zaštite na gradilištu i pristupnim putevima </w:t>
      </w:r>
      <w:r w:rsidRPr="005A3659">
        <w:t>može se</w:t>
      </w:r>
      <w:r w:rsidR="003C3EFE" w:rsidRPr="005A3659">
        <w:t xml:space="preserve">izbjeći </w:t>
      </w:r>
      <w:r w:rsidRPr="005A3659">
        <w:t>ovaj rizik.</w:t>
      </w:r>
    </w:p>
    <w:p w:rsidR="003C3EFE" w:rsidRPr="005A3659" w:rsidRDefault="005A3659" w:rsidP="00272C10">
      <w:pPr>
        <w:pStyle w:val="ListParagraph"/>
        <w:numPr>
          <w:ilvl w:val="0"/>
          <w:numId w:val="2"/>
        </w:numPr>
        <w:spacing w:line="276" w:lineRule="auto"/>
        <w:jc w:val="both"/>
      </w:pPr>
      <w:r w:rsidRPr="005A3659">
        <w:t>Samo f</w:t>
      </w:r>
      <w:r w:rsidR="003C3EFE" w:rsidRPr="005A3659">
        <w:t>unkcionisanje postrojenja neće prouzrokovati negativne uticaje na kvalitet zemljišta.</w:t>
      </w:r>
    </w:p>
    <w:p w:rsidR="005A3659" w:rsidRPr="005A3659" w:rsidRDefault="003C3EFE" w:rsidP="009702B8">
      <w:pPr>
        <w:spacing w:line="276" w:lineRule="auto"/>
        <w:jc w:val="both"/>
      </w:pPr>
      <w:r w:rsidRPr="005A3659">
        <w:rPr>
          <w:b/>
          <w:i/>
        </w:rPr>
        <w:t>Uticaj buke</w:t>
      </w:r>
      <w:r w:rsidRPr="005A3659">
        <w:t xml:space="preserve"> koja nastaje u toku funkcionja postrojenja na stanovništvo u području izvođenja projekta,</w:t>
      </w:r>
    </w:p>
    <w:p w:rsidR="005A3659" w:rsidRPr="005A3659" w:rsidRDefault="003C3EFE" w:rsidP="00272C10">
      <w:pPr>
        <w:pStyle w:val="ListParagraph"/>
        <w:numPr>
          <w:ilvl w:val="0"/>
          <w:numId w:val="2"/>
        </w:numPr>
        <w:spacing w:line="276" w:lineRule="auto"/>
        <w:jc w:val="both"/>
      </w:pPr>
      <w:r w:rsidRPr="005A3659">
        <w:t>uz primij</w:t>
      </w:r>
      <w:r w:rsidR="005A3659" w:rsidRPr="005A3659">
        <w:t>enjene tehničke mjere zaštite</w:t>
      </w:r>
      <w:r w:rsidRPr="005A3659">
        <w:t xml:space="preserve"> će biti umjeren </w:t>
      </w:r>
      <w:r w:rsidR="005A3659" w:rsidRPr="005A3659">
        <w:t>do minimalan</w:t>
      </w:r>
      <w:r w:rsidRPr="005A3659">
        <w:t xml:space="preserve">. </w:t>
      </w:r>
    </w:p>
    <w:p w:rsidR="003C3EFE" w:rsidRPr="005A3659" w:rsidRDefault="003C3EFE" w:rsidP="00272C10">
      <w:pPr>
        <w:pStyle w:val="ListParagraph"/>
        <w:numPr>
          <w:ilvl w:val="0"/>
          <w:numId w:val="2"/>
        </w:numPr>
        <w:spacing w:line="276" w:lineRule="auto"/>
        <w:jc w:val="both"/>
      </w:pPr>
      <w:r w:rsidRPr="005A3659">
        <w:t>Tokom eksploatacije i rada postrojenja maksimalna buka unutar mašinske zgrade neće preći 82 dB, tako da neće</w:t>
      </w:r>
      <w:r w:rsidR="005A3659" w:rsidRPr="005A3659">
        <w:t xml:space="preserve"> biti uticaja buke na okruženje. </w:t>
      </w:r>
    </w:p>
    <w:p w:rsidR="00E43223" w:rsidRDefault="003C3EFE" w:rsidP="009702B8">
      <w:pPr>
        <w:spacing w:line="276" w:lineRule="auto"/>
        <w:jc w:val="both"/>
      </w:pPr>
      <w:r w:rsidRPr="005A3659">
        <w:rPr>
          <w:b/>
          <w:i/>
        </w:rPr>
        <w:t>Uticaj vibracija</w:t>
      </w:r>
      <w:r w:rsidRPr="005A3659">
        <w:t xml:space="preserve"> tokom izgradnje projekta će</w:t>
      </w:r>
    </w:p>
    <w:p w:rsidR="00E43223" w:rsidRDefault="003C3EFE" w:rsidP="00272C10">
      <w:pPr>
        <w:pStyle w:val="ListParagraph"/>
        <w:numPr>
          <w:ilvl w:val="0"/>
          <w:numId w:val="2"/>
        </w:numPr>
        <w:spacing w:line="276" w:lineRule="auto"/>
        <w:jc w:val="both"/>
      </w:pPr>
      <w:r w:rsidRPr="005A3659">
        <w:t xml:space="preserve">biti mali i najviše će uticati na radnike na gradilištu i rukovaoce mašinama, </w:t>
      </w:r>
    </w:p>
    <w:p w:rsidR="003C3EFE" w:rsidRPr="005A3659" w:rsidRDefault="003C3EFE" w:rsidP="00272C10">
      <w:pPr>
        <w:pStyle w:val="ListParagraph"/>
        <w:numPr>
          <w:ilvl w:val="0"/>
          <w:numId w:val="2"/>
        </w:numPr>
        <w:spacing w:line="276" w:lineRule="auto"/>
        <w:jc w:val="both"/>
      </w:pPr>
      <w:r w:rsidRPr="005A3659">
        <w:t>njihov uticaj je privremen pa samim tim neće značajnije uticati na ljude u okruženju.</w:t>
      </w:r>
    </w:p>
    <w:p w:rsidR="00E43223" w:rsidRPr="00E43223" w:rsidRDefault="003C3EFE" w:rsidP="009702B8">
      <w:pPr>
        <w:spacing w:line="276" w:lineRule="auto"/>
        <w:jc w:val="both"/>
      </w:pPr>
      <w:r w:rsidRPr="00E43223">
        <w:t xml:space="preserve">S obzirom na veličinu projekta, projektno rješenje i samu lokaciju objekata neće biti značajnije promjene namjene i </w:t>
      </w:r>
      <w:r w:rsidRPr="00E43223">
        <w:rPr>
          <w:b/>
          <w:i/>
        </w:rPr>
        <w:t>korišćenja površina</w:t>
      </w:r>
      <w:r w:rsidRPr="00E43223">
        <w:t xml:space="preserve">. </w:t>
      </w:r>
    </w:p>
    <w:p w:rsidR="00E43223" w:rsidRPr="00E43223" w:rsidRDefault="003C3EFE" w:rsidP="00272C10">
      <w:pPr>
        <w:pStyle w:val="ListParagraph"/>
        <w:numPr>
          <w:ilvl w:val="0"/>
          <w:numId w:val="2"/>
        </w:numPr>
        <w:spacing w:line="276" w:lineRule="auto"/>
        <w:jc w:val="both"/>
      </w:pPr>
      <w:r w:rsidRPr="00E43223">
        <w:t xml:space="preserve">Površine kojima će biti ukopavan cjevovod će biti nakon završetka radova vraćene u prvobitno stanje. </w:t>
      </w:r>
    </w:p>
    <w:p w:rsidR="00E43223" w:rsidRPr="00E43223" w:rsidRDefault="003C3EFE" w:rsidP="00272C10">
      <w:pPr>
        <w:pStyle w:val="ListParagraph"/>
        <w:numPr>
          <w:ilvl w:val="0"/>
          <w:numId w:val="2"/>
        </w:numPr>
        <w:spacing w:line="276" w:lineRule="auto"/>
        <w:jc w:val="both"/>
      </w:pPr>
      <w:r w:rsidRPr="00E43223">
        <w:lastRenderedPageBreak/>
        <w:t>Lokacija na kojoj je planirana mašinska zgrada je livada (pašnjak) i dio njene površine će trajno promijeniti namjenu, jer će biti zauzet objektom.</w:t>
      </w:r>
    </w:p>
    <w:p w:rsidR="003C3EFE" w:rsidRPr="00E43223" w:rsidRDefault="00E43223" w:rsidP="00E43223">
      <w:pPr>
        <w:spacing w:line="276" w:lineRule="auto"/>
        <w:jc w:val="both"/>
      </w:pPr>
      <w:r>
        <w:t xml:space="preserve">Tokom funkcionisanja mHe, prema Studiji, </w:t>
      </w:r>
      <w:r w:rsidR="003C3EFE" w:rsidRPr="00E43223">
        <w:t xml:space="preserve">ne nastaje opasan </w:t>
      </w:r>
      <w:r w:rsidR="003C3EFE" w:rsidRPr="00E43223">
        <w:rPr>
          <w:b/>
          <w:i/>
        </w:rPr>
        <w:t xml:space="preserve">otpad </w:t>
      </w:r>
      <w:r w:rsidR="003C3EFE" w:rsidRPr="00E43223">
        <w:t>niti ima nus produkata ovog tipa proizvodnje koji bi mogli dospjeti u zemljište i izvršiti njegovo zagađivanje.</w:t>
      </w:r>
    </w:p>
    <w:p w:rsidR="003C3EFE" w:rsidRPr="00BE5011" w:rsidRDefault="003C3EFE" w:rsidP="009702B8">
      <w:pPr>
        <w:spacing w:line="276" w:lineRule="auto"/>
        <w:jc w:val="both"/>
        <w:rPr>
          <w:color w:val="0070C0"/>
        </w:rPr>
      </w:pPr>
      <w:r w:rsidRPr="00E43223">
        <w:rPr>
          <w:b/>
          <w:i/>
        </w:rPr>
        <w:t>Uticaj na zaštićena prirodna dobra</w:t>
      </w:r>
      <w:r w:rsidR="00E43223">
        <w:t xml:space="preserve">poput NP Prokletija je, prema nalazima Studije, </w:t>
      </w:r>
      <w:r w:rsidRPr="00E43223">
        <w:t>prihvatljiv i privremen u dijelu uticaja koji se tiču izg</w:t>
      </w:r>
      <w:r w:rsidR="00E43223">
        <w:t>radnje postrojenja</w:t>
      </w:r>
      <w:r w:rsidRPr="00E43223">
        <w:t>. Osim privremenih uticaja u toku izgradnje vodozahvata i dijela cjevovoda koji se nalazi na njegovoj teritoriji, funkcionisanje postrojenja</w:t>
      </w:r>
      <w:r w:rsidR="009C20E7" w:rsidRPr="00E43223">
        <w:t xml:space="preserve">, uz primjenu predloženih mjera </w:t>
      </w:r>
      <w:r w:rsidRPr="00E43223">
        <w:t>zaštite će biti prihvatljiv sa sanovišta očuvanja biljnog i životinjskog svijeta u u NP Prokletije</w:t>
      </w:r>
      <w:r w:rsidRPr="00BE5011">
        <w:rPr>
          <w:color w:val="0070C0"/>
        </w:rPr>
        <w:t>.</w:t>
      </w:r>
    </w:p>
    <w:p w:rsidR="00E43223" w:rsidRPr="009F43EA" w:rsidRDefault="003C3EFE" w:rsidP="009702B8">
      <w:pPr>
        <w:spacing w:line="276" w:lineRule="auto"/>
        <w:jc w:val="both"/>
      </w:pPr>
      <w:r w:rsidRPr="009F43EA">
        <w:rPr>
          <w:b/>
          <w:i/>
        </w:rPr>
        <w:t>Mjere koje će se preduzeti u cilju sprječavanja smanjenja ili uklanjanja štetnog uticaja</w:t>
      </w:r>
      <w:r w:rsidRPr="009F43EA">
        <w:t xml:space="preserve">: </w:t>
      </w:r>
    </w:p>
    <w:p w:rsidR="00E43223" w:rsidRPr="009F43EA" w:rsidRDefault="00E43223" w:rsidP="00272C10">
      <w:pPr>
        <w:pStyle w:val="ListParagraph"/>
        <w:numPr>
          <w:ilvl w:val="0"/>
          <w:numId w:val="2"/>
        </w:numPr>
        <w:spacing w:line="276" w:lineRule="auto"/>
        <w:jc w:val="both"/>
      </w:pPr>
      <w:r w:rsidRPr="009F43EA">
        <w:t>M</w:t>
      </w:r>
      <w:r w:rsidR="003C3EFE" w:rsidRPr="009F43EA">
        <w:t>oraju se odvijati kroz sve faze realizacije projekta: fazu planiranja i pripreme izgradnje, fazu izgradnje i fazu redo</w:t>
      </w:r>
      <w:r w:rsidRPr="009F43EA">
        <w:t xml:space="preserve">vnog funkcionisanja postrojenja; </w:t>
      </w:r>
    </w:p>
    <w:p w:rsidR="00E43223" w:rsidRPr="009F43EA" w:rsidRDefault="003C3EFE" w:rsidP="00272C10">
      <w:pPr>
        <w:pStyle w:val="ListParagraph"/>
        <w:numPr>
          <w:ilvl w:val="0"/>
          <w:numId w:val="2"/>
        </w:numPr>
        <w:spacing w:line="276" w:lineRule="auto"/>
        <w:jc w:val="both"/>
      </w:pPr>
      <w:r w:rsidRPr="009F43EA">
        <w:t>Mjere zaštite koje se realizuju prije izgradnje projekta su one koje su predviđene tokom projektovanja, kroz iznalaženje</w:t>
      </w:r>
      <w:r w:rsidR="00E43223" w:rsidRPr="009F43EA">
        <w:t xml:space="preserve"> adekvatnih</w:t>
      </w:r>
      <w:r w:rsidRPr="009F43EA">
        <w:t xml:space="preserve"> tehničko – tehnoloških rješenja</w:t>
      </w:r>
      <w:r w:rsidR="00E43223" w:rsidRPr="009F43EA">
        <w:t xml:space="preserve">; </w:t>
      </w:r>
    </w:p>
    <w:p w:rsidR="009F43EA" w:rsidRPr="009F43EA" w:rsidRDefault="003C3EFE" w:rsidP="00272C10">
      <w:pPr>
        <w:pStyle w:val="ListParagraph"/>
        <w:numPr>
          <w:ilvl w:val="0"/>
          <w:numId w:val="2"/>
        </w:numPr>
        <w:spacing w:line="276" w:lineRule="auto"/>
        <w:jc w:val="both"/>
      </w:pPr>
      <w:r w:rsidRPr="009F43EA">
        <w:t>Mjere zaštite u toku građenja postrojenja se odnose na poštovanje i sprovođenje mjera za smanjenje negativnih uticaja gradnje tako što će se locirati, obezbijediti i organizovati gradilište na način da ostavi što manj</w:t>
      </w:r>
      <w:r w:rsidR="009F43EA" w:rsidRPr="009F43EA">
        <w:t>i uticaj na okolinu</w:t>
      </w:r>
      <w:r w:rsidRPr="009F43EA">
        <w:t xml:space="preserve">. </w:t>
      </w:r>
    </w:p>
    <w:p w:rsidR="009F43EA" w:rsidRPr="009F43EA" w:rsidRDefault="003C3EFE" w:rsidP="00272C10">
      <w:pPr>
        <w:pStyle w:val="ListParagraph"/>
        <w:numPr>
          <w:ilvl w:val="0"/>
          <w:numId w:val="2"/>
        </w:numPr>
        <w:spacing w:line="276" w:lineRule="auto"/>
        <w:jc w:val="both"/>
      </w:pPr>
      <w:r w:rsidRPr="009F43EA">
        <w:t>Mjere zaštite u periodu eksploatacije se ogledaju u kontroli i upravljanju postrojenjem na način da se izbjegne nastajanje bilo kakvih kvarova ili havarija koji bi doveli, kako do velikih šteta po samo postrojenje, tako i do mogućih negati</w:t>
      </w:r>
      <w:r w:rsidR="009F43EA" w:rsidRPr="009F43EA">
        <w:t xml:space="preserve">vnih uticaja na životnu sredinu; </w:t>
      </w:r>
    </w:p>
    <w:p w:rsidR="009F43EA" w:rsidRPr="009F43EA" w:rsidRDefault="003C3EFE" w:rsidP="00272C10">
      <w:pPr>
        <w:pStyle w:val="ListParagraph"/>
        <w:numPr>
          <w:ilvl w:val="0"/>
          <w:numId w:val="2"/>
        </w:numPr>
        <w:spacing w:line="276" w:lineRule="auto"/>
        <w:jc w:val="both"/>
      </w:pPr>
      <w:r w:rsidRPr="009F43EA">
        <w:t>Pravilno održavanje objekta i strogo pridržavanje procedura u toku redovnih remonta hidroelektrane, prikupljanje i skladištenje ot</w:t>
      </w:r>
      <w:r w:rsidR="009F43EA" w:rsidRPr="009F43EA">
        <w:t xml:space="preserve">pada na zakonom propisan način; </w:t>
      </w:r>
    </w:p>
    <w:p w:rsidR="009F43EA" w:rsidRPr="009F43EA" w:rsidRDefault="003C3EFE" w:rsidP="00272C10">
      <w:pPr>
        <w:pStyle w:val="ListParagraph"/>
        <w:numPr>
          <w:ilvl w:val="0"/>
          <w:numId w:val="2"/>
        </w:numPr>
        <w:spacing w:line="276" w:lineRule="auto"/>
        <w:jc w:val="both"/>
      </w:pPr>
      <w:r w:rsidRPr="009F43EA">
        <w:t>Stroga kontrola protoka biološkog minimuma preko kontrole nivoa gornje vode, odnosno kot</w:t>
      </w:r>
      <w:r w:rsidR="009F43EA" w:rsidRPr="009F43EA">
        <w:t xml:space="preserve">e zahvatnog dijela vodozahvata; </w:t>
      </w:r>
    </w:p>
    <w:p w:rsidR="009F43EA" w:rsidRPr="009F43EA" w:rsidRDefault="003C3EFE" w:rsidP="00272C10">
      <w:pPr>
        <w:pStyle w:val="ListParagraph"/>
        <w:numPr>
          <w:ilvl w:val="0"/>
          <w:numId w:val="2"/>
        </w:numPr>
        <w:spacing w:line="276" w:lineRule="auto"/>
        <w:jc w:val="both"/>
      </w:pPr>
      <w:r w:rsidRPr="009F43EA">
        <w:t>Redovno sprovođenje monitoringa segmenata životne sredine prema usvojenom programu praćenja i u slučaju prekoračenja, obavijestiti nadležne institucije i izvršiti neophodne korekcije kako bi prekomjerni uticaj bio sve</w:t>
      </w:r>
      <w:r w:rsidR="009F43EA" w:rsidRPr="009F43EA">
        <w:t xml:space="preserve">den na zakonom definisani nivo; </w:t>
      </w:r>
    </w:p>
    <w:p w:rsidR="009F43EA" w:rsidRPr="009F43EA" w:rsidRDefault="003C3EFE" w:rsidP="00272C10">
      <w:pPr>
        <w:pStyle w:val="ListParagraph"/>
        <w:numPr>
          <w:ilvl w:val="0"/>
          <w:numId w:val="2"/>
        </w:numPr>
        <w:spacing w:line="276" w:lineRule="auto"/>
        <w:jc w:val="both"/>
      </w:pPr>
      <w:r w:rsidRPr="009F43EA">
        <w:t>Poribljavanje sa makar 2000 komada mlađi potočne pastrmke svake godine, kako bi se nadoknadio eventualni gubitak koji bi mogao biti izazvan nemogućnošću uspješne uzvodne mi</w:t>
      </w:r>
      <w:r w:rsidR="009F43EA" w:rsidRPr="009F43EA">
        <w:t xml:space="preserve">gracije ove vrste radi mrijesta; </w:t>
      </w:r>
    </w:p>
    <w:p w:rsidR="009F43EA" w:rsidRPr="009F43EA" w:rsidRDefault="003C3EFE" w:rsidP="00272C10">
      <w:pPr>
        <w:pStyle w:val="ListParagraph"/>
        <w:numPr>
          <w:ilvl w:val="0"/>
          <w:numId w:val="2"/>
        </w:numPr>
        <w:spacing w:line="276" w:lineRule="auto"/>
        <w:jc w:val="both"/>
      </w:pPr>
      <w:r w:rsidRPr="009F43EA">
        <w:t xml:space="preserve">Mjere koje je neophodno preduzeti u cilju sprečavanja (ili smanjenja mogućnosti nastajanja) akcidenta je odabir tehničkih rješenja koja smanjuje mogućnost događanja akcidenata u onoj mjeri u kojoj to </w:t>
      </w:r>
      <w:r w:rsidR="009F43EA" w:rsidRPr="009F43EA">
        <w:t xml:space="preserve">može zavisiti od njih zavisiti; </w:t>
      </w:r>
    </w:p>
    <w:p w:rsidR="00B27C72" w:rsidRDefault="003C3EFE" w:rsidP="00272C10">
      <w:pPr>
        <w:pStyle w:val="ListParagraph"/>
        <w:numPr>
          <w:ilvl w:val="0"/>
          <w:numId w:val="2"/>
        </w:numPr>
        <w:spacing w:line="276" w:lineRule="auto"/>
        <w:jc w:val="both"/>
      </w:pPr>
      <w:r w:rsidRPr="009F43EA">
        <w:t>Monitoring stanja životne sredine je neophodno vršiti kroz sve faze realizacije proje</w:t>
      </w:r>
      <w:r w:rsidR="009F43EA" w:rsidRPr="009F43EA">
        <w:t xml:space="preserve">kta. </w:t>
      </w:r>
    </w:p>
    <w:p w:rsidR="009F43EA" w:rsidRPr="009F43EA" w:rsidRDefault="009F43EA" w:rsidP="009F43EA">
      <w:pPr>
        <w:spacing w:line="276" w:lineRule="auto"/>
        <w:jc w:val="both"/>
      </w:pPr>
      <w:r>
        <w:t xml:space="preserve">Naravno, sve napred pobrojane mjere sprečavanja narušavanja životne sredine podrazumijevaju odgovarajuće troškove. Ti troškovi po svojim dimenzijama nijesu ni malo zanemarljivi. Oni predstavljaju značajan dio ukupnih ili, kako se to ćesto kaže, društvenih troškova projekta. U principu oni bi trebali biti dio privatnih troškova baš kao što bi to trebao biti slučaj </w:t>
      </w:r>
      <w:r w:rsidR="00593D90">
        <w:t>i</w:t>
      </w:r>
      <w:r>
        <w:t xml:space="preserve">sa svim ostalim ekološkim troškovima. </w:t>
      </w:r>
      <w:r w:rsidR="00593D90">
        <w:t xml:space="preserve">Rješenje ekoloških problema je, kao što znamo, upravo u eksplicitnom ili implicitnom uspostavljanju </w:t>
      </w:r>
      <w:r w:rsidR="00945F1C">
        <w:t>“</w:t>
      </w:r>
      <w:r w:rsidR="00593D90">
        <w:t>prave</w:t>
      </w:r>
      <w:r w:rsidR="00945F1C">
        <w:t>”</w:t>
      </w:r>
      <w:r w:rsidR="00593D90">
        <w:t xml:space="preserve"> </w:t>
      </w:r>
      <w:r w:rsidR="00593D90">
        <w:lastRenderedPageBreak/>
        <w:t xml:space="preserve">cijene ekoloških usluga, odnosno u prevaljivanju ekoloških troškova na pleći onih koji ih i čine. </w:t>
      </w:r>
      <w:r w:rsidR="00945F1C">
        <w:t xml:space="preserve">Nažalost, kod nasje to rijetko slučaj. </w:t>
      </w:r>
    </w:p>
    <w:p w:rsidR="00044327" w:rsidRPr="000D257A" w:rsidRDefault="000D257A" w:rsidP="00272C10">
      <w:pPr>
        <w:pStyle w:val="ListParagraph"/>
        <w:numPr>
          <w:ilvl w:val="0"/>
          <w:numId w:val="4"/>
        </w:numPr>
        <w:spacing w:line="276" w:lineRule="auto"/>
        <w:rPr>
          <w:b/>
        </w:rPr>
      </w:pPr>
      <w:r w:rsidRPr="000D257A">
        <w:rPr>
          <w:b/>
        </w:rPr>
        <w:t xml:space="preserve">Ekološki problem identifikovani </w:t>
      </w:r>
      <w:r w:rsidR="0079589B">
        <w:rPr>
          <w:b/>
        </w:rPr>
        <w:t xml:space="preserve">naknadno </w:t>
      </w:r>
      <w:r w:rsidRPr="000D257A">
        <w:rPr>
          <w:b/>
        </w:rPr>
        <w:t xml:space="preserve">na terenu nakon dvije godine rada elektrana </w:t>
      </w:r>
    </w:p>
    <w:p w:rsidR="00702F78" w:rsidRDefault="00C31B11" w:rsidP="00240C64">
      <w:pPr>
        <w:spacing w:line="276" w:lineRule="auto"/>
        <w:jc w:val="both"/>
      </w:pPr>
      <w:r>
        <w:t xml:space="preserve">Naknadnim uvidom u stanje ekosistema nakon izgradnje malih elektrana i nakon dvije godine </w:t>
      </w:r>
      <w:r w:rsidR="00240C64">
        <w:t xml:space="preserve">njihovog </w:t>
      </w:r>
      <w:r>
        <w:t xml:space="preserve">poslovanja ustanovljen je niz poremećaja </w:t>
      </w:r>
      <w:r w:rsidR="00240C64">
        <w:t>i povreda ekosistema koje</w:t>
      </w:r>
      <w:r>
        <w:t xml:space="preserve"> u citiranim ekološkim Studijama</w:t>
      </w:r>
      <w:r w:rsidR="00240C64">
        <w:t xml:space="preserve"> nisu bili predviđeni da će se desiti. Teško nam je da sudimo o tome u kojoj mjeri su ta odstupanja stvarnog stanja od predviđenog rezultat omaški napravljenih u samim Studijama a u kojoj mjeri su rezultat izvođenja radova u toku izgradnje objekata i same poslovne prakse investitora. </w:t>
      </w:r>
    </w:p>
    <w:p w:rsidR="00044327" w:rsidRDefault="00702F78" w:rsidP="00A4318C">
      <w:pPr>
        <w:spacing w:line="276" w:lineRule="auto"/>
        <w:jc w:val="both"/>
      </w:pPr>
      <w:r>
        <w:t>U narednim redovima ćemo se zadržati</w:t>
      </w:r>
      <w:r w:rsidR="00240C64">
        <w:t xml:space="preserve"> samo na identifikaovanju tih dodatnih problema. </w:t>
      </w:r>
    </w:p>
    <w:p w:rsidR="001F6933" w:rsidRDefault="00EB7C83" w:rsidP="00272C10">
      <w:pPr>
        <w:pStyle w:val="ListParagraph"/>
        <w:numPr>
          <w:ilvl w:val="0"/>
          <w:numId w:val="3"/>
        </w:numPr>
        <w:spacing w:line="276" w:lineRule="auto"/>
        <w:jc w:val="both"/>
      </w:pPr>
      <w:r>
        <w:t xml:space="preserve">Kao što znamo najveći problem je vezan za ono što se desilo sa poznatim Jazom koji je najveći u Evropi i dugačak je čitavih 20 kilometara. Kreće se od Bogaića do Plavske rijeke. Elektrana Jara već sada prekida Jaz a očekuje se da planirana mHE u Metehu ispresijeca Jaz na dodatnih 20 mjesta; </w:t>
      </w:r>
    </w:p>
    <w:p w:rsidR="002F4D2F" w:rsidRDefault="00EB7C83" w:rsidP="00272C10">
      <w:pPr>
        <w:pStyle w:val="ListParagraph"/>
        <w:numPr>
          <w:ilvl w:val="0"/>
          <w:numId w:val="2"/>
        </w:numPr>
        <w:spacing w:line="276" w:lineRule="auto"/>
        <w:jc w:val="both"/>
      </w:pPr>
      <w:r>
        <w:t>Posebno je važna i identifikovanje</w:t>
      </w:r>
      <w:r w:rsidR="00702F78">
        <w:t xml:space="preserve"> niz</w:t>
      </w:r>
      <w:r>
        <w:t>a</w:t>
      </w:r>
      <w:r w:rsidR="00702F78">
        <w:t xml:space="preserve"> erozionih odrona koje se desavaju usled lose realizacije gradnje objekta. O ovome se mogu naći i slike nainternetu. </w:t>
      </w:r>
    </w:p>
    <w:p w:rsidR="00A4318C" w:rsidRDefault="00B70B48" w:rsidP="00272C10">
      <w:pPr>
        <w:pStyle w:val="ListParagraph"/>
        <w:numPr>
          <w:ilvl w:val="0"/>
          <w:numId w:val="2"/>
        </w:numPr>
        <w:spacing w:line="276" w:lineRule="auto"/>
        <w:jc w:val="both"/>
      </w:pPr>
      <w:r>
        <w:t>Doš</w:t>
      </w:r>
      <w:r w:rsidR="00A4318C">
        <w:t>lo je usled gradnje elektrana do</w:t>
      </w:r>
      <w:r>
        <w:t xml:space="preserve"> poremećaja</w:t>
      </w:r>
      <w:r w:rsidR="009B4186">
        <w:t xml:space="preserve"> podzemni</w:t>
      </w:r>
      <w:r>
        <w:t>h tokova</w:t>
      </w:r>
      <w:r w:rsidR="009B4186">
        <w:t xml:space="preserve"> voda što je dovelo do </w:t>
      </w:r>
      <w:r>
        <w:t xml:space="preserve">promjena u izvorima i bunarima u donjem toku vodozahvata. Ovo je očito rezultat prethodne neinformisanosti i manjka istraživanja da se </w:t>
      </w:r>
      <w:r w:rsidR="009B4186">
        <w:t>podzemni tokovi</w:t>
      </w:r>
      <w:r w:rsidR="002F4D2F">
        <w:t xml:space="preserve"> identifikuju i tek potom pristupi projektovanju. </w:t>
      </w:r>
    </w:p>
    <w:p w:rsidR="00A4318C" w:rsidRDefault="009B4186" w:rsidP="00272C10">
      <w:pPr>
        <w:pStyle w:val="ListParagraph"/>
        <w:numPr>
          <w:ilvl w:val="0"/>
          <w:numId w:val="2"/>
        </w:numPr>
        <w:spacing w:line="276" w:lineRule="auto"/>
        <w:jc w:val="both"/>
      </w:pPr>
      <w:r>
        <w:t xml:space="preserve">Prekršeni </w:t>
      </w:r>
      <w:r w:rsidR="00A4318C">
        <w:t xml:space="preserve">je </w:t>
      </w:r>
      <w:r>
        <w:t>zakoni o nacionalnom p</w:t>
      </w:r>
      <w:r w:rsidR="00A4318C">
        <w:t xml:space="preserve">arku jer je došlo do devastacije lokalnih </w:t>
      </w:r>
      <w:r>
        <w:t xml:space="preserve">Puteva </w:t>
      </w:r>
      <w:r w:rsidR="00A4318C">
        <w:t xml:space="preserve">i Mostova; </w:t>
      </w:r>
    </w:p>
    <w:p w:rsidR="009B4186" w:rsidRDefault="00A4318C" w:rsidP="00272C10">
      <w:pPr>
        <w:pStyle w:val="ListParagraph"/>
        <w:numPr>
          <w:ilvl w:val="0"/>
          <w:numId w:val="2"/>
        </w:numPr>
        <w:spacing w:line="276" w:lineRule="auto"/>
        <w:jc w:val="both"/>
      </w:pPr>
      <w:r>
        <w:t xml:space="preserve">Cijev u </w:t>
      </w:r>
      <w:r w:rsidR="009B4186">
        <w:t>debljine od 1,6 m</w:t>
      </w:r>
      <w:r w:rsidR="00A017FB">
        <w:t xml:space="preserve"> (ukupne dužine 9,7 km)</w:t>
      </w:r>
      <w:r>
        <w:t xml:space="preserve"> koji su prema projektu trebale da budu smještene pored puta su, zapravo suprotno tome, smještene pr</w:t>
      </w:r>
      <w:r w:rsidR="00A017FB">
        <w:t>okopom ispod puta. Ovo je</w:t>
      </w:r>
      <w:r>
        <w:t xml:space="preserve"> bilo jeftinije</w:t>
      </w:r>
      <w:r w:rsidR="00A017FB">
        <w:t xml:space="preserve"> za investitora što je i razlog ovakve gradnje. Međutim, ovakva rabota</w:t>
      </w:r>
      <w:r>
        <w:t xml:space="preserve"> je povezano sa određenim </w:t>
      </w:r>
      <w:r w:rsidR="00A017FB">
        <w:t xml:space="preserve">izuzetno </w:t>
      </w:r>
      <w:r>
        <w:t xml:space="preserve">značajnim rizicima: </w:t>
      </w:r>
    </w:p>
    <w:p w:rsidR="00A4318C" w:rsidRDefault="00A4318C" w:rsidP="00272C10">
      <w:pPr>
        <w:pStyle w:val="ListParagraph"/>
        <w:numPr>
          <w:ilvl w:val="2"/>
          <w:numId w:val="2"/>
        </w:numPr>
        <w:spacing w:line="276" w:lineRule="auto"/>
        <w:jc w:val="both"/>
      </w:pPr>
      <w:r>
        <w:t xml:space="preserve">Prvo postoji rizik od eksplozije cijevi </w:t>
      </w:r>
      <w:r w:rsidR="0020660E">
        <w:t xml:space="preserve">što može imati katastrofalne posljedice; </w:t>
      </w:r>
    </w:p>
    <w:p w:rsidR="0020660E" w:rsidRDefault="0020660E" w:rsidP="00272C10">
      <w:pPr>
        <w:pStyle w:val="ListParagraph"/>
        <w:numPr>
          <w:ilvl w:val="2"/>
          <w:numId w:val="2"/>
        </w:numPr>
        <w:spacing w:line="276" w:lineRule="auto"/>
        <w:jc w:val="both"/>
      </w:pPr>
      <w:r>
        <w:t xml:space="preserve">Ovi događaji nijesu rijetki, cijevi često pucaju, što rizik čini izuzetno velikim: </w:t>
      </w:r>
    </w:p>
    <w:p w:rsidR="0020660E" w:rsidRDefault="0020660E" w:rsidP="00272C10">
      <w:pPr>
        <w:pStyle w:val="ListParagraph"/>
        <w:numPr>
          <w:ilvl w:val="2"/>
          <w:numId w:val="2"/>
        </w:numPr>
        <w:spacing w:line="276" w:lineRule="auto"/>
        <w:jc w:val="both"/>
      </w:pPr>
      <w:r>
        <w:t xml:space="preserve">Ovo je tim opasnije jer je dio ukopanih cijevi lociran u blizini škole; </w:t>
      </w:r>
    </w:p>
    <w:p w:rsidR="00A4318C" w:rsidRDefault="0020660E" w:rsidP="00272C10">
      <w:pPr>
        <w:pStyle w:val="ListParagraph"/>
        <w:numPr>
          <w:ilvl w:val="0"/>
          <w:numId w:val="2"/>
        </w:numPr>
        <w:spacing w:line="276" w:lineRule="auto"/>
        <w:jc w:val="both"/>
      </w:pPr>
      <w:r>
        <w:t xml:space="preserve">Buka koja opterećuje mještane u blizini postrojenja se kreće oko 90 deci bela, što je prema procjenama WHO (World Health Organization / Svjetske zdravstvene organizacije) vrlo opasno jer, pored toga što smanjuje kvalitet ćivota, prijeti </w:t>
      </w:r>
      <w:r w:rsidR="005236F7">
        <w:t xml:space="preserve">raznim bolčestima poput gubitka sluha, tinitusa i slično; </w:t>
      </w:r>
    </w:p>
    <w:p w:rsidR="005236F7" w:rsidRDefault="005236F7" w:rsidP="00272C10">
      <w:pPr>
        <w:pStyle w:val="ListParagraph"/>
        <w:numPr>
          <w:ilvl w:val="0"/>
          <w:numId w:val="2"/>
        </w:numPr>
        <w:spacing w:line="276" w:lineRule="auto"/>
        <w:jc w:val="both"/>
      </w:pPr>
      <w:r>
        <w:t xml:space="preserve">Zbog jake buke kao i zbog ranije pomenutih promjena izvorišta </w:t>
      </w:r>
      <w:r w:rsidR="001B2E92">
        <w:t xml:space="preserve">dolazi do kretanja divljači u raznim pravcima, </w:t>
      </w:r>
      <w:r>
        <w:t>po selima se pojavljuje divljač (posebno divlje svilje) što predstavlja opasnost i za mještane a još više za usjeve i domaće životinje</w:t>
      </w:r>
      <w:r w:rsidR="00EB7C83">
        <w:t>, pa time i za ukupnu poljoprivrednu proizvodnju u selima</w:t>
      </w:r>
      <w:r>
        <w:t xml:space="preserve">; </w:t>
      </w:r>
    </w:p>
    <w:p w:rsidR="00CC2178" w:rsidRDefault="00CC2178" w:rsidP="00272C10">
      <w:pPr>
        <w:pStyle w:val="ListParagraph"/>
        <w:numPr>
          <w:ilvl w:val="0"/>
          <w:numId w:val="2"/>
        </w:numPr>
        <w:spacing w:line="276" w:lineRule="auto"/>
        <w:jc w:val="both"/>
      </w:pPr>
      <w:r>
        <w:t xml:space="preserve">Postoje opšti stav i mišljenje mještana da je litraža određen za razne potrebe domaćinstava isuviše mala usled čega je i nivo privredne aktivnosti manji od mogućeg a i potrebe domaćinstava su veće od onoga što im je određena usled čega će nivo blagostanja domaćinstava biti permanentno manji; </w:t>
      </w:r>
    </w:p>
    <w:p w:rsidR="00D00C8C" w:rsidRDefault="001B2E92" w:rsidP="00272C10">
      <w:pPr>
        <w:pStyle w:val="ListParagraph"/>
        <w:numPr>
          <w:ilvl w:val="0"/>
          <w:numId w:val="2"/>
        </w:numPr>
        <w:spacing w:line="276" w:lineRule="auto"/>
        <w:jc w:val="both"/>
      </w:pPr>
      <w:r>
        <w:lastRenderedPageBreak/>
        <w:t>Svi ovi duboki poremećaji doveli su Vladu do ideje da promijeni prostorni plan tako što će ovaj dio is</w:t>
      </w:r>
      <w:r w:rsidR="00D00C8C">
        <w:t>ključiti iz N</w:t>
      </w:r>
      <w:r>
        <w:t>acionalnog parka. Razlozi koji se pominju za ovo su u ideji da se u ovom dijelu pristupi drugačijem razvoju turizma (</w:t>
      </w:r>
      <w:r w:rsidR="00A017FB">
        <w:t xml:space="preserve">vikendice, seoski turizam i sl.). Pravi razlozi su prije u nastojanju da se u cjelini realizuju ostali projekti mHE u ovom vodozahvatu kao i u opštini Plan u cjelini; </w:t>
      </w:r>
    </w:p>
    <w:p w:rsidR="00D00C8C" w:rsidRDefault="00D00C8C" w:rsidP="00272C10">
      <w:pPr>
        <w:pStyle w:val="ListParagraph"/>
        <w:numPr>
          <w:ilvl w:val="0"/>
          <w:numId w:val="2"/>
        </w:numPr>
        <w:spacing w:line="276" w:lineRule="auto"/>
        <w:jc w:val="both"/>
      </w:pPr>
      <w:r>
        <w:t xml:space="preserve">Koliko je ovdje u prvom planu privatni interes investitora a ne ni javni interes </w:t>
      </w:r>
      <w:r w:rsidR="00073FBE">
        <w:t xml:space="preserve">naroda </w:t>
      </w:r>
      <w:r>
        <w:t xml:space="preserve">Plavsko-Gusinjske oblasti niti, intes mještana ovog područja koji su, po običajnom pravu, i </w:t>
      </w:r>
      <w:r w:rsidR="00073FBE">
        <w:t xml:space="preserve">kolektivni </w:t>
      </w:r>
      <w:r>
        <w:t xml:space="preserve">vlasnici ovih voda </w:t>
      </w:r>
      <w:r w:rsidR="00073FBE">
        <w:t xml:space="preserve">najbolje svjedoči činjenica da se čak došlo na ideju da u M. Z.Meteh iskoriste vode Ječmišta za svrhe izgradnje mHE. Vode Ječmišta, s druge strane, predstavljaju jedine reserve vode za opštinu Plav; </w:t>
      </w:r>
    </w:p>
    <w:p w:rsidR="00702F78" w:rsidRDefault="00793D16" w:rsidP="00272C10">
      <w:pPr>
        <w:pStyle w:val="ListParagraph"/>
        <w:numPr>
          <w:ilvl w:val="0"/>
          <w:numId w:val="2"/>
        </w:numPr>
        <w:spacing w:line="276" w:lineRule="auto"/>
        <w:jc w:val="both"/>
      </w:pPr>
      <w:r>
        <w:t>U</w:t>
      </w:r>
      <w:r w:rsidR="0055336B">
        <w:t xml:space="preserve"> istom smislu i u istom duhu, u M. Z. Murino je</w:t>
      </w:r>
      <w:r>
        <w:t xml:space="preserve"> predviđena</w:t>
      </w:r>
      <w:r w:rsidR="0055336B">
        <w:t xml:space="preserve"> izgradnja Mašinske hale</w:t>
      </w:r>
      <w:r>
        <w:t xml:space="preserve"> preko puta </w:t>
      </w:r>
      <w:r w:rsidR="0055336B">
        <w:t xml:space="preserve">kuće porodice Mijović; </w:t>
      </w:r>
    </w:p>
    <w:p w:rsidR="0055336B" w:rsidRDefault="0055336B" w:rsidP="00272C10">
      <w:pPr>
        <w:pStyle w:val="ListParagraph"/>
        <w:numPr>
          <w:ilvl w:val="0"/>
          <w:numId w:val="2"/>
        </w:numPr>
        <w:spacing w:line="276" w:lineRule="auto"/>
        <w:jc w:val="both"/>
      </w:pPr>
      <w:r>
        <w:t>Način na koji je cio posao rađen urodio je velikim nepovjerenjem</w:t>
      </w:r>
      <w:r w:rsidR="00340506">
        <w:t xml:space="preserve">, nepovjerenjem koje se počelo razvijati već od same Javne rasprave koja je po mišljenju većine onih sa kojima smo se sreli od samog početka bila krivotvorena </w:t>
      </w:r>
      <w:r w:rsidR="004A1BAD">
        <w:t>i</w:t>
      </w:r>
      <w:r w:rsidR="00340506">
        <w:t xml:space="preserve"> falsifikovana. Tako je recimo u Javnoj raspravi bilo obećano da će mHE biti derivacione a one su u stvari protočne, što je bitna razlika. Bilo je docnije i nastojanja da se mašinske hale smjeste u centru 4 sela. </w:t>
      </w:r>
    </w:p>
    <w:p w:rsidR="00D81C03" w:rsidRDefault="003E06C8" w:rsidP="003E06C8">
      <w:pPr>
        <w:spacing w:line="276" w:lineRule="auto"/>
        <w:jc w:val="both"/>
      </w:pPr>
      <w:r>
        <w:t xml:space="preserve">Čitav niz zanimljivih i upečatljivih stvari vezanih za javnu raspravu i sam politički proces koji se oko ovih mHE i ostalih malih elektrana u Plavu razvio može se naći na razni interesantnim FB profilima ili youtube siteovima. Orijentacije radi dajemo samo par uputa za one koje to više zanima. </w:t>
      </w:r>
    </w:p>
    <w:p w:rsidR="00702F78" w:rsidRDefault="00702F78" w:rsidP="003E06C8">
      <w:pPr>
        <w:spacing w:line="276" w:lineRule="auto"/>
        <w:jc w:val="both"/>
      </w:pPr>
    </w:p>
    <w:p w:rsidR="00D81C03" w:rsidRDefault="00D81C03">
      <w:r>
        <w:br w:type="page"/>
      </w:r>
    </w:p>
    <w:p w:rsidR="00D81C03" w:rsidRPr="006860A2" w:rsidRDefault="00D81C03" w:rsidP="0041112E">
      <w:pPr>
        <w:spacing w:line="276" w:lineRule="auto"/>
      </w:pPr>
    </w:p>
    <w:p w:rsidR="00B77DAC" w:rsidRDefault="00B77DAC" w:rsidP="004D1F30">
      <w:pPr>
        <w:spacing w:line="276" w:lineRule="auto"/>
      </w:pPr>
    </w:p>
    <w:p w:rsidR="00D81C03" w:rsidRPr="00D81C03" w:rsidRDefault="00B91E23" w:rsidP="004D1F30">
      <w:pPr>
        <w:spacing w:line="276" w:lineRule="auto"/>
        <w:rPr>
          <w:b/>
          <w:sz w:val="28"/>
          <w:szCs w:val="28"/>
        </w:rPr>
      </w:pPr>
      <w:r>
        <w:rPr>
          <w:b/>
          <w:sz w:val="28"/>
          <w:szCs w:val="28"/>
        </w:rPr>
        <w:t xml:space="preserve">5.7. </w:t>
      </w:r>
      <w:r w:rsidR="00D81C03">
        <w:rPr>
          <w:b/>
          <w:sz w:val="28"/>
          <w:szCs w:val="28"/>
        </w:rPr>
        <w:t xml:space="preserve">Ocjena ekonomske vrijednosti </w:t>
      </w:r>
      <w:r w:rsidR="00B51E1E">
        <w:rPr>
          <w:b/>
          <w:sz w:val="28"/>
          <w:szCs w:val="28"/>
        </w:rPr>
        <w:t xml:space="preserve">neto </w:t>
      </w:r>
      <w:r w:rsidR="00D81C03">
        <w:rPr>
          <w:b/>
          <w:sz w:val="28"/>
          <w:szCs w:val="28"/>
        </w:rPr>
        <w:t>ekološ</w:t>
      </w:r>
      <w:r w:rsidR="00C427E3">
        <w:rPr>
          <w:b/>
          <w:sz w:val="28"/>
          <w:szCs w:val="28"/>
        </w:rPr>
        <w:t xml:space="preserve">kih efekata dvije mHE </w:t>
      </w:r>
    </w:p>
    <w:p w:rsidR="00476492" w:rsidRPr="001221F3" w:rsidRDefault="00FF64D8" w:rsidP="00AC124F">
      <w:pPr>
        <w:spacing w:line="276" w:lineRule="auto"/>
        <w:jc w:val="both"/>
      </w:pPr>
      <w:r w:rsidRPr="001221F3">
        <w:t>Slijedi ocjena preciznijeg</w:t>
      </w:r>
      <w:r w:rsidR="00AC124F" w:rsidRPr="001221F3">
        <w:t xml:space="preserve"> mjerenja ekonomske vrijednosti ekoloških efekata dviju mHE. Pored </w:t>
      </w:r>
      <w:r w:rsidR="00A73098" w:rsidRPr="001221F3">
        <w:rPr>
          <w:i/>
        </w:rPr>
        <w:t xml:space="preserve">metoda </w:t>
      </w:r>
      <w:r w:rsidR="00AC124F" w:rsidRPr="001221F3">
        <w:rPr>
          <w:i/>
        </w:rPr>
        <w:t xml:space="preserve">transfera vrijednosti </w:t>
      </w:r>
      <w:r w:rsidRPr="001221F3">
        <w:t>koji se može koristiti za mjerenje pozitivnih efekata dviju mHE ovdje bi se morao</w:t>
      </w:r>
      <w:r w:rsidR="00AC124F" w:rsidRPr="001221F3">
        <w:t xml:space="preserve"> koristiti i metod koji se zasniva na detaljnom proračunu građevinskih i drugih troškova koje treba napraviti da bi se sanirale štete koje su do sada napravljene, a koje su</w:t>
      </w:r>
      <w:r w:rsidR="00A73098" w:rsidRPr="001221F3">
        <w:t xml:space="preserve"> p</w:t>
      </w:r>
      <w:r w:rsidR="00AC124F" w:rsidRPr="001221F3">
        <w:t xml:space="preserve">o svojoj prirodi takve da se mogu sanirati. </w:t>
      </w:r>
    </w:p>
    <w:p w:rsidR="0079589B" w:rsidRPr="001221F3" w:rsidRDefault="0079589B" w:rsidP="00212EED">
      <w:pPr>
        <w:pStyle w:val="ListParagraph"/>
        <w:numPr>
          <w:ilvl w:val="0"/>
          <w:numId w:val="40"/>
        </w:numPr>
        <w:spacing w:line="276" w:lineRule="auto"/>
        <w:jc w:val="both"/>
        <w:rPr>
          <w:b/>
        </w:rPr>
      </w:pPr>
      <w:r w:rsidRPr="001221F3">
        <w:rPr>
          <w:b/>
        </w:rPr>
        <w:t xml:space="preserve">Ekološke koristi od smanjenja emisije CO2 </w:t>
      </w:r>
    </w:p>
    <w:p w:rsidR="0079589B" w:rsidRPr="001221F3" w:rsidRDefault="0079589B" w:rsidP="00AC124F">
      <w:pPr>
        <w:spacing w:line="276" w:lineRule="auto"/>
        <w:jc w:val="both"/>
      </w:pPr>
      <w:r w:rsidRPr="001221F3">
        <w:t xml:space="preserve">Kada je riječ o, kako smo već rekli dubioznim, koristima koje ćemo imati zahvaljujući činjenici da </w:t>
      </w:r>
      <w:r w:rsidR="00051A9F" w:rsidRPr="001221F3">
        <w:t>ćemo izbjeći proizvodnju struje iz TA i/ili smanjiti korišćenje drugih energenata koji imaju visoku emisiju CO2, ove koristi mjerimo korišćenjem već poznate i u nas korišćene transfer vrijednosti od 5 EUR po toni CO2. Ova vrijednost zapravo mjeri vrijednost šteta i troškova koje emisija jedne tone CO2 ima za društvo, odnosno vrijednost ušteda i koristi koje imamo ako smanjimo potrošnju uglja i drugih energenata</w:t>
      </w:r>
      <w:r w:rsidR="00A9176C" w:rsidRPr="001221F3">
        <w:t xml:space="preserve"> za količinu koja emituje jednu tonu CO2.</w:t>
      </w:r>
      <w:r w:rsidR="00051A9F" w:rsidRPr="001221F3">
        <w:t xml:space="preserve"> Ovu vrijednost bi, s jedne strane, bilo potrebno korigovati za rast troškova života koji se desio od njene identifikacije</w:t>
      </w:r>
      <w:r w:rsidR="00A9176C" w:rsidRPr="001221F3">
        <w:t xml:space="preserve"> do danas a, s druge strane, bi potom</w:t>
      </w:r>
      <w:r w:rsidR="00051A9F" w:rsidRPr="001221F3">
        <w:t xml:space="preserve"> trebalo </w:t>
      </w:r>
      <w:r w:rsidR="00A9176C" w:rsidRPr="001221F3">
        <w:t>umanjiti ovako ustanovljenu vrijednost za kojeficijent pariteta kupovne moći (PPP, Purchasing Power Parity) odnosno za činjenicu da se sa jednim eurom u Crnoj Gori može kupiti znatno više nego u EU gde je i utvrđena pomenuta transfer vrijednost. Imajući u vidu skoro istovjetne</w:t>
      </w:r>
      <w:r w:rsidR="00F404DE" w:rsidRPr="001221F3">
        <w:t xml:space="preserve"> dimenzije ovih</w:t>
      </w:r>
      <w:r w:rsidR="00A9176C" w:rsidRPr="001221F3">
        <w:t xml:space="preserve"> korekcija </w:t>
      </w:r>
      <w:r w:rsidR="00F404DE" w:rsidRPr="001221F3">
        <w:t xml:space="preserve">koje idu u suprotnom pravcu, </w:t>
      </w:r>
      <w:r w:rsidR="00A9176C" w:rsidRPr="001221F3">
        <w:t xml:space="preserve">zaključujemo </w:t>
      </w:r>
      <w:r w:rsidR="00F404DE" w:rsidRPr="001221F3">
        <w:t xml:space="preserve">da je u ovom času 5 eura po toni prihvatljiva cijena. </w:t>
      </w:r>
    </w:p>
    <w:p w:rsidR="00664AD4" w:rsidRPr="001221F3" w:rsidRDefault="00F404DE" w:rsidP="00AC124F">
      <w:pPr>
        <w:spacing w:line="276" w:lineRule="auto"/>
        <w:jc w:val="both"/>
      </w:pPr>
      <w:r w:rsidRPr="001221F3">
        <w:t xml:space="preserve">S druge strane, odavno je ustanovljeno da je kod proizvodnje struje tehnološki parameter poznat kao faktor konverzije na nivou od 0,6 tona po jednom MWh. To u konkretnom slučaju približno znači da se sa proizvodnjom jednog MWh struje iz obnovljivih izvora </w:t>
      </w:r>
      <w:r w:rsidR="000D7BB8" w:rsidRPr="001221F3">
        <w:t xml:space="preserve">koji ne stvaraju aero polucije, tj ne emituju CO2, </w:t>
      </w:r>
      <w:r w:rsidRPr="001221F3">
        <w:t xml:space="preserve">smanjuje emisija 0,6 tona CO2. Imajući sve ovo u vidu moglo bi se zaključiti da bi zahvaljujući dvijema mHE </w:t>
      </w:r>
      <w:r w:rsidR="000D7BB8" w:rsidRPr="001221F3">
        <w:t>bilo moguće ostvariti</w:t>
      </w:r>
      <w:r w:rsidR="00664AD4" w:rsidRPr="001221F3">
        <w:t xml:space="preserve"> smanjenje emisije CO2</w:t>
      </w:r>
      <w:r w:rsidR="00212EED">
        <w:t xml:space="preserve"> dato u prvom redu prikaza</w:t>
      </w:r>
      <w:r w:rsidR="000D7BB8" w:rsidRPr="001221F3">
        <w:t xml:space="preserve"> koja sl</w:t>
      </w:r>
      <w:r w:rsidR="00212EED">
        <w:t>ij</w:t>
      </w:r>
      <w:r w:rsidR="000D7BB8" w:rsidRPr="001221F3">
        <w:t>edi</w:t>
      </w:r>
      <w:r w:rsidR="00664AD4" w:rsidRPr="001221F3">
        <w:t xml:space="preserve">. </w:t>
      </w:r>
      <w:r w:rsidR="000D7BB8" w:rsidRPr="001221F3">
        <w:t xml:space="preserve">Pri tom je u prvoj koloni data procjena za scenarij koji podrazunijeva manju proizvodnju struje a koji imamo u zvaničnim dokumentima koji su nama stojali na raspolaganju (22 100 MWh godišnje proizvodnje). U drugoj koloni je data procjena za veći obim proizvodnje koji smo imali u prvoj godini poslovanja (28 800 MWh godišnje). </w:t>
      </w:r>
    </w:p>
    <w:tbl>
      <w:tblPr>
        <w:tblStyle w:val="TableGrid"/>
        <w:tblW w:w="9356" w:type="dxa"/>
        <w:tblInd w:w="108" w:type="dxa"/>
        <w:tblLook w:val="04A0"/>
      </w:tblPr>
      <w:tblGrid>
        <w:gridCol w:w="4253"/>
        <w:gridCol w:w="2410"/>
        <w:gridCol w:w="2693"/>
      </w:tblGrid>
      <w:tr w:rsidR="00EB1620" w:rsidRPr="00C07370" w:rsidTr="00C07370">
        <w:tc>
          <w:tcPr>
            <w:tcW w:w="4253" w:type="dxa"/>
          </w:tcPr>
          <w:p w:rsidR="00EB1620" w:rsidRPr="00C07370" w:rsidRDefault="00EB1620" w:rsidP="00AC124F">
            <w:pPr>
              <w:spacing w:line="276" w:lineRule="auto"/>
              <w:jc w:val="both"/>
              <w:rPr>
                <w:b/>
              </w:rPr>
            </w:pPr>
          </w:p>
        </w:tc>
        <w:tc>
          <w:tcPr>
            <w:tcW w:w="2410" w:type="dxa"/>
          </w:tcPr>
          <w:p w:rsidR="00EB1620" w:rsidRPr="00C07370" w:rsidRDefault="00EB1620" w:rsidP="00AC124F">
            <w:pPr>
              <w:spacing w:line="276" w:lineRule="auto"/>
              <w:jc w:val="both"/>
              <w:rPr>
                <w:b/>
              </w:rPr>
            </w:pPr>
            <w:r w:rsidRPr="00C07370">
              <w:rPr>
                <w:b/>
              </w:rPr>
              <w:t>Scenarijo - 22,100 MWh</w:t>
            </w:r>
          </w:p>
        </w:tc>
        <w:tc>
          <w:tcPr>
            <w:tcW w:w="2693" w:type="dxa"/>
          </w:tcPr>
          <w:p w:rsidR="00EB1620" w:rsidRPr="00C07370" w:rsidRDefault="00EB1620" w:rsidP="00AC124F">
            <w:pPr>
              <w:spacing w:line="276" w:lineRule="auto"/>
              <w:jc w:val="both"/>
              <w:rPr>
                <w:b/>
              </w:rPr>
            </w:pPr>
            <w:r w:rsidRPr="00C07370">
              <w:rPr>
                <w:b/>
              </w:rPr>
              <w:t xml:space="preserve">Scenarijo – 28,800 MWh </w:t>
            </w:r>
          </w:p>
        </w:tc>
      </w:tr>
      <w:tr w:rsidR="00EB1620" w:rsidRPr="00EB1620" w:rsidTr="00C07370">
        <w:tc>
          <w:tcPr>
            <w:tcW w:w="4253" w:type="dxa"/>
          </w:tcPr>
          <w:p w:rsidR="00EB1620" w:rsidRPr="00C07370" w:rsidRDefault="00EB1620" w:rsidP="00AC124F">
            <w:pPr>
              <w:spacing w:line="276" w:lineRule="auto"/>
              <w:jc w:val="both"/>
              <w:rPr>
                <w:b/>
              </w:rPr>
            </w:pPr>
            <w:r w:rsidRPr="00C07370">
              <w:rPr>
                <w:b/>
              </w:rPr>
              <w:t xml:space="preserve">Ušteda u emisiji CO2 </w:t>
            </w:r>
            <w:r w:rsidR="00E1458B">
              <w:rPr>
                <w:b/>
              </w:rPr>
              <w:t xml:space="preserve">mjerene </w:t>
            </w:r>
            <w:r w:rsidRPr="00C07370">
              <w:rPr>
                <w:b/>
              </w:rPr>
              <w:t xml:space="preserve">u tonama </w:t>
            </w:r>
          </w:p>
        </w:tc>
        <w:tc>
          <w:tcPr>
            <w:tcW w:w="2410" w:type="dxa"/>
          </w:tcPr>
          <w:p w:rsidR="00EB1620" w:rsidRPr="00C07370" w:rsidRDefault="00C07370" w:rsidP="00C07370">
            <w:pPr>
              <w:spacing w:line="276" w:lineRule="auto"/>
              <w:jc w:val="center"/>
              <w:rPr>
                <w:b/>
              </w:rPr>
            </w:pPr>
            <w:r w:rsidRPr="00C07370">
              <w:rPr>
                <w:b/>
              </w:rPr>
              <w:t>13 226</w:t>
            </w:r>
          </w:p>
        </w:tc>
        <w:tc>
          <w:tcPr>
            <w:tcW w:w="2693" w:type="dxa"/>
          </w:tcPr>
          <w:p w:rsidR="00EB1620" w:rsidRPr="00C07370" w:rsidRDefault="000D7BB8" w:rsidP="00C07370">
            <w:pPr>
              <w:spacing w:line="276" w:lineRule="auto"/>
              <w:jc w:val="center"/>
              <w:rPr>
                <w:b/>
              </w:rPr>
            </w:pPr>
            <w:r>
              <w:rPr>
                <w:b/>
              </w:rPr>
              <w:t xml:space="preserve">17 280 </w:t>
            </w:r>
          </w:p>
        </w:tc>
      </w:tr>
      <w:tr w:rsidR="00EB1620" w:rsidRPr="00EB1620" w:rsidTr="00C07370">
        <w:tc>
          <w:tcPr>
            <w:tcW w:w="4253" w:type="dxa"/>
          </w:tcPr>
          <w:p w:rsidR="00EB1620" w:rsidRPr="00C07370" w:rsidRDefault="00EB1620" w:rsidP="00AC124F">
            <w:pPr>
              <w:spacing w:line="276" w:lineRule="auto"/>
              <w:jc w:val="both"/>
              <w:rPr>
                <w:b/>
              </w:rPr>
            </w:pPr>
            <w:r w:rsidRPr="00C07370">
              <w:rPr>
                <w:b/>
              </w:rPr>
              <w:t xml:space="preserve">Godišnja vrijednost smanjenaja CO2 </w:t>
            </w:r>
            <w:r w:rsidR="00C07370" w:rsidRPr="00C07370">
              <w:rPr>
                <w:b/>
              </w:rPr>
              <w:t xml:space="preserve">/ EUR </w:t>
            </w:r>
          </w:p>
        </w:tc>
        <w:tc>
          <w:tcPr>
            <w:tcW w:w="2410" w:type="dxa"/>
          </w:tcPr>
          <w:p w:rsidR="00EB1620" w:rsidRPr="00C07370" w:rsidRDefault="00C07370" w:rsidP="00C07370">
            <w:pPr>
              <w:spacing w:line="276" w:lineRule="auto"/>
              <w:jc w:val="center"/>
              <w:rPr>
                <w:b/>
              </w:rPr>
            </w:pPr>
            <w:r w:rsidRPr="00C07370">
              <w:rPr>
                <w:b/>
              </w:rPr>
              <w:t>66 300</w:t>
            </w:r>
          </w:p>
        </w:tc>
        <w:tc>
          <w:tcPr>
            <w:tcW w:w="2693" w:type="dxa"/>
          </w:tcPr>
          <w:p w:rsidR="00EB1620" w:rsidRPr="00C07370" w:rsidRDefault="000D7BB8" w:rsidP="00C07370">
            <w:pPr>
              <w:spacing w:line="276" w:lineRule="auto"/>
              <w:jc w:val="center"/>
              <w:rPr>
                <w:b/>
              </w:rPr>
            </w:pPr>
            <w:r>
              <w:rPr>
                <w:b/>
              </w:rPr>
              <w:t xml:space="preserve">86 400 </w:t>
            </w:r>
          </w:p>
        </w:tc>
      </w:tr>
      <w:tr w:rsidR="00614C1F" w:rsidRPr="00EB1620" w:rsidTr="00C07370">
        <w:tc>
          <w:tcPr>
            <w:tcW w:w="4253" w:type="dxa"/>
          </w:tcPr>
          <w:p w:rsidR="00614C1F" w:rsidRPr="00C07370" w:rsidRDefault="00614C1F" w:rsidP="00AC124F">
            <w:pPr>
              <w:spacing w:line="276" w:lineRule="auto"/>
              <w:jc w:val="both"/>
              <w:rPr>
                <w:b/>
              </w:rPr>
            </w:pPr>
            <w:r>
              <w:rPr>
                <w:b/>
              </w:rPr>
              <w:t xml:space="preserve">NPV </w:t>
            </w:r>
            <w:r w:rsidR="00FD77A2">
              <w:rPr>
                <w:b/>
              </w:rPr>
              <w:t xml:space="preserve">koristi od smanjenja CO2 </w:t>
            </w:r>
            <w:r>
              <w:rPr>
                <w:b/>
              </w:rPr>
              <w:t xml:space="preserve">@ 9% </w:t>
            </w:r>
          </w:p>
        </w:tc>
        <w:tc>
          <w:tcPr>
            <w:tcW w:w="2410" w:type="dxa"/>
          </w:tcPr>
          <w:p w:rsidR="00614C1F" w:rsidRPr="00C07370" w:rsidRDefault="00FD77A2" w:rsidP="00C07370">
            <w:pPr>
              <w:spacing w:line="276" w:lineRule="auto"/>
              <w:jc w:val="center"/>
              <w:rPr>
                <w:b/>
              </w:rPr>
            </w:pPr>
            <w:r>
              <w:rPr>
                <w:b/>
              </w:rPr>
              <w:t xml:space="preserve">736 667 </w:t>
            </w:r>
          </w:p>
        </w:tc>
        <w:tc>
          <w:tcPr>
            <w:tcW w:w="2693" w:type="dxa"/>
          </w:tcPr>
          <w:p w:rsidR="00614C1F" w:rsidRDefault="00FD77A2" w:rsidP="00C07370">
            <w:pPr>
              <w:spacing w:line="276" w:lineRule="auto"/>
              <w:jc w:val="center"/>
              <w:rPr>
                <w:b/>
              </w:rPr>
            </w:pPr>
            <w:r>
              <w:rPr>
                <w:b/>
              </w:rPr>
              <w:t xml:space="preserve">960 000 </w:t>
            </w:r>
          </w:p>
        </w:tc>
      </w:tr>
      <w:tr w:rsidR="00FD77A2" w:rsidRPr="00EB1620" w:rsidTr="00C07370">
        <w:tc>
          <w:tcPr>
            <w:tcW w:w="4253" w:type="dxa"/>
          </w:tcPr>
          <w:p w:rsidR="00FD77A2" w:rsidRDefault="00FD77A2" w:rsidP="00AC124F">
            <w:pPr>
              <w:spacing w:line="276" w:lineRule="auto"/>
              <w:jc w:val="both"/>
              <w:rPr>
                <w:b/>
              </w:rPr>
            </w:pPr>
            <w:r>
              <w:rPr>
                <w:b/>
              </w:rPr>
              <w:t xml:space="preserve">NPV koristi od smanjenja CO2 @ 8% </w:t>
            </w:r>
          </w:p>
        </w:tc>
        <w:tc>
          <w:tcPr>
            <w:tcW w:w="2410" w:type="dxa"/>
          </w:tcPr>
          <w:p w:rsidR="00FD77A2" w:rsidRPr="00C07370" w:rsidRDefault="00E1458B" w:rsidP="00C07370">
            <w:pPr>
              <w:spacing w:line="276" w:lineRule="auto"/>
              <w:jc w:val="center"/>
              <w:rPr>
                <w:b/>
              </w:rPr>
            </w:pPr>
            <w:r>
              <w:rPr>
                <w:b/>
              </w:rPr>
              <w:t xml:space="preserve">825 750 </w:t>
            </w:r>
          </w:p>
        </w:tc>
        <w:tc>
          <w:tcPr>
            <w:tcW w:w="2693" w:type="dxa"/>
          </w:tcPr>
          <w:p w:rsidR="00FD77A2" w:rsidRDefault="00FD77A2" w:rsidP="00C07370">
            <w:pPr>
              <w:spacing w:line="276" w:lineRule="auto"/>
              <w:jc w:val="center"/>
              <w:rPr>
                <w:b/>
              </w:rPr>
            </w:pPr>
            <w:r>
              <w:rPr>
                <w:b/>
              </w:rPr>
              <w:t xml:space="preserve">1 080 000 </w:t>
            </w:r>
          </w:p>
        </w:tc>
      </w:tr>
      <w:tr w:rsidR="00614C1F" w:rsidRPr="00EB1620" w:rsidTr="00C07370">
        <w:tc>
          <w:tcPr>
            <w:tcW w:w="4253" w:type="dxa"/>
          </w:tcPr>
          <w:p w:rsidR="00614C1F" w:rsidRDefault="00614C1F" w:rsidP="00AC124F">
            <w:pPr>
              <w:spacing w:line="276" w:lineRule="auto"/>
              <w:jc w:val="both"/>
              <w:rPr>
                <w:b/>
              </w:rPr>
            </w:pPr>
            <w:r>
              <w:rPr>
                <w:b/>
              </w:rPr>
              <w:t xml:space="preserve">NPV </w:t>
            </w:r>
            <w:r w:rsidR="00FD77A2">
              <w:rPr>
                <w:b/>
              </w:rPr>
              <w:t xml:space="preserve">koristi od smanjenja CO2 </w:t>
            </w:r>
            <w:r>
              <w:rPr>
                <w:b/>
              </w:rPr>
              <w:t xml:space="preserve">@ 5% </w:t>
            </w:r>
          </w:p>
        </w:tc>
        <w:tc>
          <w:tcPr>
            <w:tcW w:w="2410" w:type="dxa"/>
          </w:tcPr>
          <w:p w:rsidR="00614C1F" w:rsidRPr="00C07370" w:rsidRDefault="00E1458B" w:rsidP="00C07370">
            <w:pPr>
              <w:spacing w:line="276" w:lineRule="auto"/>
              <w:jc w:val="center"/>
              <w:rPr>
                <w:b/>
              </w:rPr>
            </w:pPr>
            <w:r>
              <w:rPr>
                <w:b/>
              </w:rPr>
              <w:t>1 326 000</w:t>
            </w:r>
          </w:p>
        </w:tc>
        <w:tc>
          <w:tcPr>
            <w:tcW w:w="2693" w:type="dxa"/>
          </w:tcPr>
          <w:p w:rsidR="00614C1F" w:rsidRDefault="00FD77A2" w:rsidP="00C07370">
            <w:pPr>
              <w:spacing w:line="276" w:lineRule="auto"/>
              <w:jc w:val="center"/>
              <w:rPr>
                <w:b/>
              </w:rPr>
            </w:pPr>
            <w:r>
              <w:rPr>
                <w:b/>
              </w:rPr>
              <w:t xml:space="preserve">1 728 000 </w:t>
            </w:r>
          </w:p>
        </w:tc>
      </w:tr>
    </w:tbl>
    <w:p w:rsidR="00664AD4" w:rsidRPr="00AD281A" w:rsidRDefault="000D7BB8" w:rsidP="000D7BB8">
      <w:pPr>
        <w:spacing w:before="240" w:line="276" w:lineRule="auto"/>
        <w:jc w:val="both"/>
      </w:pPr>
      <w:r w:rsidRPr="00AD281A">
        <w:t xml:space="preserve">U drugom redu ovog prikaza je data monetarna vrijednost </w:t>
      </w:r>
      <w:r w:rsidR="00AA7BC9" w:rsidRPr="00AD281A">
        <w:t>ovako stvorenih koristi. Vidimo da</w:t>
      </w:r>
      <w:r w:rsidR="00AD281A" w:rsidRPr="00AD281A">
        <w:t xml:space="preserve"> bi</w:t>
      </w:r>
      <w:r w:rsidR="00AA7BC9" w:rsidRPr="00AD281A">
        <w:t>, kada bi ova procjena bila tačna, ta vrijednost iznosi</w:t>
      </w:r>
      <w:r w:rsidR="00150BDB" w:rsidRPr="00AD281A">
        <w:t>la</w:t>
      </w:r>
      <w:r w:rsidR="00AA7BC9" w:rsidRPr="00AD281A">
        <w:t xml:space="preserve"> 66,300 eura godišnje u prvom scenariju, odnosno čitavih </w:t>
      </w:r>
      <w:r w:rsidR="00AA7BC9" w:rsidRPr="00AD281A">
        <w:lastRenderedPageBreak/>
        <w:t xml:space="preserve">86,400 eura godišnje u drugom scenariju. </w:t>
      </w:r>
      <w:r w:rsidR="00614C1F" w:rsidRPr="00AD281A">
        <w:t>Ove se vrijednosti mogu definisati kao nemonetarne vrijednosti</w:t>
      </w:r>
      <w:r w:rsidR="00AD281A" w:rsidRPr="00AD281A">
        <w:t>koje projek</w:t>
      </w:r>
      <w:r w:rsidR="00E1458B" w:rsidRPr="00AD281A">
        <w:t>t generira usled smanjenja emisije</w:t>
      </w:r>
      <w:r w:rsidR="00AD281A" w:rsidRPr="00AD281A">
        <w:t xml:space="preserve"> CO2. Drugač</w:t>
      </w:r>
      <w:r w:rsidR="00E1458B" w:rsidRPr="00AD281A">
        <w:t>ije se one mogu definisati</w:t>
      </w:r>
      <w:r w:rsidR="00AD281A" w:rsidRPr="00AD281A">
        <w:t xml:space="preserve">i </w:t>
      </w:r>
      <w:r w:rsidR="00614C1F" w:rsidRPr="00AD281A">
        <w:t xml:space="preserve">kao novčani iznosi kojima bi se mogao nadoknaditi proizvođač zbog eksternih koristi koje čini zajednici. </w:t>
      </w:r>
    </w:p>
    <w:p w:rsidR="004E23AE" w:rsidRPr="00AD281A" w:rsidRDefault="00E1458B" w:rsidP="000D7BB8">
      <w:pPr>
        <w:spacing w:before="240" w:line="276" w:lineRule="auto"/>
        <w:jc w:val="both"/>
      </w:pPr>
      <w:r w:rsidRPr="00AD281A">
        <w:t>Konačno, u poslednja tri</w:t>
      </w:r>
      <w:r w:rsidR="00614C1F" w:rsidRPr="00AD281A">
        <w:t xml:space="preserve"> reda su date NPV ovako utvrđenih tokova koristi za </w:t>
      </w:r>
      <w:r w:rsidR="00322E61" w:rsidRPr="00AD281A">
        <w:t>različit</w:t>
      </w:r>
      <w:r w:rsidRPr="00AD281A">
        <w:t xml:space="preserve">e </w:t>
      </w:r>
      <w:r w:rsidR="00614C1F" w:rsidRPr="00AD281A">
        <w:t xml:space="preserve">diskontne stope </w:t>
      </w:r>
      <w:r w:rsidRPr="00AD281A">
        <w:t xml:space="preserve">koje smo i ranije koristili i definisali. </w:t>
      </w:r>
      <w:r w:rsidR="00FF2775" w:rsidRPr="00AD281A">
        <w:t xml:space="preserve">Ove vrijednosti treba dodati ranije dobijenim NPV kako bi imali kompletnu sliku o valjanosti projekata. Prije toga bi, naravno, trebalo utvrditi </w:t>
      </w:r>
      <w:r w:rsidR="00322E61" w:rsidRPr="00AD281A">
        <w:t xml:space="preserve">i odgovarajuće vrijednosti, ranije utvrđenih, negativnih uticaja projekata na životnu sredinu. Tek na osnovu njih se može utvrditi vrijednost neto ekoloških efekata koje treba dodati ostalim efektima. </w:t>
      </w:r>
    </w:p>
    <w:p w:rsidR="00614C1F" w:rsidRPr="00AD281A" w:rsidRDefault="004E23AE" w:rsidP="000D7BB8">
      <w:pPr>
        <w:spacing w:before="240" w:line="276" w:lineRule="auto"/>
        <w:jc w:val="both"/>
      </w:pPr>
      <w:r w:rsidRPr="00AD281A">
        <w:t>No, i bez nekih dodatnih analiza</w:t>
      </w:r>
      <w:r w:rsidR="00322E61" w:rsidRPr="00AD281A">
        <w:t xml:space="preserve"> se može </w:t>
      </w:r>
      <w:r w:rsidRPr="00AD281A">
        <w:t xml:space="preserve">donijeti niz važnih zaključaka o ukupnoj važnosti ekoloških efekta. </w:t>
      </w:r>
      <w:r w:rsidR="00C665A6" w:rsidRPr="00AD281A">
        <w:t>Gledajući rezultate analize i podatke date u tabelama odeljka 3.2. možemo primijetiti</w:t>
      </w:r>
      <w:r w:rsidRPr="00AD281A">
        <w:t xml:space="preserve"> prvo da </w:t>
      </w:r>
      <w:r w:rsidR="00AD281A">
        <w:t>j</w:t>
      </w:r>
      <w:r w:rsidR="00C665A6" w:rsidRPr="00AD281A">
        <w:t>e NPV</w:t>
      </w:r>
      <w:r w:rsidR="00726F03" w:rsidRPr="00AD281A">
        <w:t xml:space="preserve"> vrijednost subvencija koje kompanija dobija</w:t>
      </w:r>
      <w:r w:rsidR="00286DBC" w:rsidRPr="00AD281A">
        <w:t xml:space="preserve"> jednaka </w:t>
      </w:r>
      <w:r w:rsidR="00DF0011">
        <w:t>razlici NPV</w:t>
      </w:r>
      <w:r w:rsidR="00286DBC" w:rsidRPr="00AD281A">
        <w:t xml:space="preserve"> ekonomskog toka sa subvencijama i </w:t>
      </w:r>
      <w:r w:rsidR="00DF0011">
        <w:t xml:space="preserve">NPV </w:t>
      </w:r>
      <w:r w:rsidR="00286DBC" w:rsidRPr="00AD281A">
        <w:t>toka bez subvencija. Prema tome</w:t>
      </w:r>
      <w:r w:rsidR="00DF0011">
        <w:t>, kao što vidimo iz tabela u odeljku 3.2.,</w:t>
      </w:r>
      <w:r w:rsidR="00286DBC" w:rsidRPr="00AD281A">
        <w:t xml:space="preserve"> NPV subvencija</w:t>
      </w:r>
      <w:r w:rsidR="00C665A6" w:rsidRPr="00AD281A">
        <w:t>u toku funkcionisanja proje</w:t>
      </w:r>
      <w:r w:rsidR="00286DBC" w:rsidRPr="00AD281A">
        <w:t xml:space="preserve">kta kreće se kada je diskontna stopa 9% u rasponu od 3,846,646 eura, za planski scenarij, do 4,667,430, za scenarij iz bilansa uspjeha. Kada je diskontna stopa samo 5% vidimo da se NPV subvencija kreće od 5,061,876 eura do 6,244,153 eura. </w:t>
      </w:r>
      <w:r w:rsidR="00EE7A47" w:rsidRPr="00AD281A">
        <w:t xml:space="preserve">Ove vrijednosti su, kao što vidimo, više nego četvorostruko veće od NPV vrijednosti ekoloških koristi koje mHE navodno daju. </w:t>
      </w:r>
    </w:p>
    <w:p w:rsidR="000D7BB8" w:rsidRPr="00DF0011" w:rsidRDefault="00EE7A47" w:rsidP="000D7BB8">
      <w:pPr>
        <w:spacing w:before="240" w:line="276" w:lineRule="auto"/>
        <w:jc w:val="both"/>
      </w:pPr>
      <w:r w:rsidRPr="00DF0011">
        <w:t xml:space="preserve">Isti zaključak dobijamo i kada uporedimo godišnju vrijednost pozitivnih ekoloških efekata sa prosječnom vrijednošću subvencija koje dvije mHE dobijaju od zajednice. Pri tom ovdje nije važno dali te subvencije plaćaju direktno potrošači struje, kako je do sada bio slučaj, ili poreski obveznici, kako će biti ubuduće slučaj. </w:t>
      </w:r>
      <w:r w:rsidR="00621CF2" w:rsidRPr="00DF0011">
        <w:t xml:space="preserve">Na osnovu podataka u tabelama datim u dodatku poglavlja 3, možemo utvrditi da se prosječna godišnja vrijednost subvencija kreće u rasponu od oko 346,000 eura, za planski scenarij, do oko 421,000 eura, za scenarij iz bilansa uspjeha. </w:t>
      </w:r>
      <w:r w:rsidR="006C7BC7" w:rsidRPr="00DF0011">
        <w:t>I iz ove komparacije vidimo da je ono što dvije mHE dobijaju daleko više od onoga što preko smanjenja emisije CO2 daju društvu. Riječ je o značajnoj razlici od oko 280,000 eura (=346,000 - 66,300),</w:t>
      </w:r>
      <w:r w:rsidR="00DF0011">
        <w:t xml:space="preserve"> u prvom scenariju,</w:t>
      </w:r>
      <w:r w:rsidR="006C7BC7" w:rsidRPr="00DF0011">
        <w:t xml:space="preserve"> odnosno 335,000 eura (421,000 - 86,400)</w:t>
      </w:r>
      <w:r w:rsidR="00DF0011">
        <w:t xml:space="preserve"> u drugom scenariju</w:t>
      </w:r>
      <w:r w:rsidR="006C7BC7" w:rsidRPr="00DF0011">
        <w:t xml:space="preserve">. </w:t>
      </w:r>
    </w:p>
    <w:p w:rsidR="00EE7A47" w:rsidRPr="00DF0011" w:rsidRDefault="00EB585C" w:rsidP="000D7BB8">
      <w:pPr>
        <w:spacing w:before="240" w:line="276" w:lineRule="auto"/>
        <w:jc w:val="both"/>
      </w:pPr>
      <w:r w:rsidRPr="00DF0011">
        <w:t xml:space="preserve">Čak i </w:t>
      </w:r>
      <w:r w:rsidR="00913DF3" w:rsidRPr="00DF0011">
        <w:t>kada bi prethodno utvrđenim</w:t>
      </w:r>
      <w:r w:rsidRPr="00DF0011">
        <w:t xml:space="preserve"> naturalnim “davanjima” dviju mHE u vidu godišnje vrijednosti ekoloških efekata dodali prosječnu godišnju vrijednost koncesija, a koje se kreću od oko 165,000 eura (= 105,000 za državni budžet + 60,000 za lokalni budžet) do oko 220,000 eura (=140,000+80,000), </w:t>
      </w:r>
      <w:r w:rsidR="00913DF3" w:rsidRPr="00DF0011">
        <w:t xml:space="preserve">tako utvrđena suma bi bila znatno manja od iznosa subvencija koje mHE dobijaju. Što je još važnije, koncesije se u ovoj računici nebi smjele dodavati prosto zato što su one naknada za prirodnu rentu </w:t>
      </w:r>
      <w:r w:rsidR="00FA48F7">
        <w:t xml:space="preserve">koju kompanija plaća društvu. </w:t>
      </w:r>
      <w:r w:rsidR="00913DF3" w:rsidRPr="00DF0011">
        <w:t xml:space="preserve">Očito je, dakle, da čak i kada nebi bilo negativnih uticaja na životnu sredinu, subvencije se u nas nebi mogle opravdati smanjenjem emisije CO2. </w:t>
      </w:r>
      <w:r w:rsidR="00FA48F7">
        <w:t xml:space="preserve">Argument za uvođenje subvencija, dakle, nije opravdan. </w:t>
      </w:r>
    </w:p>
    <w:p w:rsidR="00913DF3" w:rsidRPr="00992E25" w:rsidRDefault="00134FA1" w:rsidP="00343E6C">
      <w:pPr>
        <w:spacing w:before="240" w:line="276" w:lineRule="auto"/>
        <w:jc w:val="both"/>
      </w:pPr>
      <w:r w:rsidRPr="00992E25">
        <w:t>Slika postaje još jasnija kada svemu ovome dodamo štete i gubitke koje nastaju u poljoprivredi i turizmu usled</w:t>
      </w:r>
      <w:r w:rsidR="00AE170B" w:rsidRPr="00992E25">
        <w:t xml:space="preserve"> preusmjeravanja korišćenja ograničenih resursa za svrhe proizvodnje električne energije. Podsjetimo da ti gubici u turizmu iznose oko 170,000 eura do 280,000 eura godišnje na području mjesne zajednice Prnjavor (vrijednost se dobijamo konvertovanjem odgovarajućih NPV u godišnji tok prinosa). U poljoprivred mjesne zajednice Prnjavor prosječni godišnji gubici bi iznosili oko 110,000 eura. Sve u </w:t>
      </w:r>
      <w:r w:rsidR="00AE170B" w:rsidRPr="00992E25">
        <w:lastRenderedPageBreak/>
        <w:t xml:space="preserve">svemu mjesna zajednica bi u prosjeku godišnje bila na gubitku od oko 300,000 eura. </w:t>
      </w:r>
      <w:r w:rsidRPr="00992E25">
        <w:t>Podsjećamo</w:t>
      </w:r>
      <w:r w:rsidR="00343E6C" w:rsidRPr="00992E25">
        <w:t xml:space="preserve"> da su to u oba slučaja najmanji mogući gubici jer smo, u namjeri da izbjegnemo bilo kakve greške, u procjeni pošli od vrlo konzervativnih pretpostavki. </w:t>
      </w:r>
    </w:p>
    <w:p w:rsidR="0079589B" w:rsidRPr="00992E25" w:rsidRDefault="0079589B" w:rsidP="00212EED">
      <w:pPr>
        <w:pStyle w:val="ListParagraph"/>
        <w:numPr>
          <w:ilvl w:val="0"/>
          <w:numId w:val="40"/>
        </w:numPr>
        <w:spacing w:line="276" w:lineRule="auto"/>
        <w:jc w:val="both"/>
        <w:rPr>
          <w:b/>
        </w:rPr>
      </w:pPr>
      <w:r w:rsidRPr="00992E25">
        <w:rPr>
          <w:b/>
        </w:rPr>
        <w:t xml:space="preserve">Ekološke štete usled izgradnje dviju mHE </w:t>
      </w:r>
    </w:p>
    <w:p w:rsidR="0079589B" w:rsidRPr="00992E25" w:rsidRDefault="00343E6C" w:rsidP="00A73098">
      <w:pPr>
        <w:spacing w:line="276" w:lineRule="auto"/>
        <w:jc w:val="both"/>
      </w:pPr>
      <w:r w:rsidRPr="00992E25">
        <w:t xml:space="preserve">Imajući prethodno razmatranje u vidu te imajući u vidu analize date u prethodnim poglavljima, možemoveć sada, bez obračuna ekoloških gubitaka, zaključiti da je projekat u cjelini gledano neisplativ iz perspective društva u cjelini. </w:t>
      </w:r>
    </w:p>
    <w:p w:rsidR="00523249" w:rsidRPr="00992E25" w:rsidRDefault="00523249" w:rsidP="00A73098">
      <w:pPr>
        <w:spacing w:line="276" w:lineRule="auto"/>
        <w:jc w:val="both"/>
      </w:pPr>
      <w:r w:rsidRPr="00992E25">
        <w:t xml:space="preserve">S druge strane, očito je da su ekološke štete veće od ekoloških koristi i da je zato neto vrednost ekoloških efekata negativna pa da je i usled ovog razloga projekat neisplativ. Nećemo mjeriti ekološke štete projekta jer bi tako nešto zahtijevalo puno vremena i resursa. Iz samog nabrajanja tih šteta, koje smo ranije prezentirali, a koje se odnose kako na one štete koje su identifikovane već u toku projektovanja tako i na one na koje se nije računalo već su registrovane nakon dvije godine rada projekta, jasno je da se radi o ogromnoj vrijednosti koja daleko prevazilazi ekološke koristi od projekta. </w:t>
      </w:r>
    </w:p>
    <w:p w:rsidR="00802C8F" w:rsidRPr="00992E25" w:rsidRDefault="00523249" w:rsidP="00A73098">
      <w:pPr>
        <w:spacing w:line="276" w:lineRule="auto"/>
        <w:jc w:val="both"/>
      </w:pPr>
      <w:r w:rsidRPr="00992E25">
        <w:t xml:space="preserve">Tu prije svega dođe vrijednost mnogobrojnih građevinskih radova koje je potrebno uraditi da bi se, u mjeri u kojoj je moguće, sanirale štete koje je </w:t>
      </w:r>
      <w:r w:rsidR="00205BF2" w:rsidRPr="00992E25">
        <w:t xml:space="preserve">do sada </w:t>
      </w:r>
      <w:r w:rsidRPr="00992E25">
        <w:t>proizveo projekat</w:t>
      </w:r>
      <w:r w:rsidR="00205BF2" w:rsidRPr="00992E25">
        <w:t xml:space="preserve"> i da bi se sprečile nove štete</w:t>
      </w:r>
      <w:r w:rsidRPr="00992E25">
        <w:t xml:space="preserve">. </w:t>
      </w:r>
      <w:r w:rsidR="00205BF2" w:rsidRPr="00992E25">
        <w:t>Zamislimo, samo primjera radi, koliko bi iznosili građevinski troškovi da se iskopaju odgovarajuće trase i cijevi ponovo postave na način kako treba a ne ispod puteva na trasi. Samo ova vrijednost bi bila veća od sadašnje vrijednosti ekoloških koristi. Dodajmo tome sve ostale radove koje treba uraditi</w:t>
      </w:r>
      <w:r w:rsidR="0099716D">
        <w:t xml:space="preserve"> i slika postaje još jasnija</w:t>
      </w:r>
      <w:r w:rsidR="00205BF2" w:rsidRPr="00992E25">
        <w:t xml:space="preserve">. </w:t>
      </w:r>
    </w:p>
    <w:p w:rsidR="00545583" w:rsidRPr="0099716D" w:rsidRDefault="00802C8F" w:rsidP="00A73098">
      <w:pPr>
        <w:spacing w:line="276" w:lineRule="auto"/>
        <w:jc w:val="both"/>
      </w:pPr>
      <w:r w:rsidRPr="0099716D">
        <w:t xml:space="preserve">Potom dodajmo aktivnosti koje u budućnosti permanentno treba obavljati da bi se ekološki sistem održao na poželjnom nivou. Kao primjer navodimo radove koje svake godine treba odraditi kako bi se mrešćenje pastrmke obavljalo neomentano. Sadašnja vrijednost ovih aktivnosti je takođe vrlo značajna. </w:t>
      </w:r>
    </w:p>
    <w:p w:rsidR="00476492" w:rsidRPr="0099716D" w:rsidRDefault="00205BF2" w:rsidP="00A73098">
      <w:pPr>
        <w:spacing w:line="276" w:lineRule="auto"/>
        <w:jc w:val="both"/>
      </w:pPr>
      <w:r w:rsidRPr="0099716D">
        <w:t>Jednom riječju</w:t>
      </w:r>
      <w:r w:rsidR="00A73098" w:rsidRPr="0099716D">
        <w:t xml:space="preserve">, apsolutno je izvjesno da je ekonomske vrijednost ekoloških neto efektata negativna. Samim tim ona bi u tabelama datim na kraju glave četiri bila odbitna a ne aditivna stavka. Već donijeti zaključci o negativnoj vrijednosti NPV-a društvenog toka bi bili još snažnije potvrđeni. </w:t>
      </w:r>
    </w:p>
    <w:p w:rsidR="00D81C03" w:rsidRDefault="00D81C03" w:rsidP="004D1F30">
      <w:pPr>
        <w:spacing w:line="276" w:lineRule="auto"/>
      </w:pPr>
    </w:p>
    <w:p w:rsidR="00D81C03" w:rsidRPr="004D1F30" w:rsidRDefault="00D81C03" w:rsidP="004D1F30">
      <w:pPr>
        <w:spacing w:line="276" w:lineRule="auto"/>
      </w:pPr>
    </w:p>
    <w:p w:rsidR="00AB6618" w:rsidRPr="004D1F30" w:rsidRDefault="00AB6618" w:rsidP="004D1F30">
      <w:pPr>
        <w:spacing w:line="276" w:lineRule="auto"/>
      </w:pPr>
      <w:r w:rsidRPr="004D1F30">
        <w:br w:type="page"/>
      </w:r>
    </w:p>
    <w:p w:rsidR="00AB6618" w:rsidRPr="004D1F30" w:rsidRDefault="00AB6618" w:rsidP="004D1F30">
      <w:pPr>
        <w:spacing w:line="276" w:lineRule="auto"/>
      </w:pPr>
    </w:p>
    <w:p w:rsidR="00AB6618" w:rsidRDefault="00AB6618" w:rsidP="004D1F30">
      <w:pPr>
        <w:spacing w:line="276" w:lineRule="auto"/>
      </w:pPr>
    </w:p>
    <w:p w:rsidR="00AF4935" w:rsidRPr="004D1F30" w:rsidRDefault="00AF4935" w:rsidP="004D1F30">
      <w:pPr>
        <w:spacing w:line="276" w:lineRule="auto"/>
      </w:pPr>
    </w:p>
    <w:p w:rsidR="0021042C" w:rsidRPr="004D1F30" w:rsidRDefault="00B91E23" w:rsidP="004D1F30">
      <w:pPr>
        <w:spacing w:line="276" w:lineRule="auto"/>
        <w:rPr>
          <w:b/>
          <w:sz w:val="28"/>
          <w:szCs w:val="28"/>
        </w:rPr>
      </w:pPr>
      <w:r>
        <w:rPr>
          <w:b/>
          <w:sz w:val="28"/>
          <w:szCs w:val="28"/>
        </w:rPr>
        <w:t>6.</w:t>
      </w:r>
      <w:r w:rsidR="007F7CF7">
        <w:rPr>
          <w:b/>
          <w:sz w:val="28"/>
          <w:szCs w:val="28"/>
        </w:rPr>
        <w:t xml:space="preserve"> ZAKLJUČCI </w:t>
      </w:r>
    </w:p>
    <w:p w:rsidR="0021042C" w:rsidRDefault="009D2FB9" w:rsidP="007F7CF7">
      <w:pPr>
        <w:spacing w:line="276" w:lineRule="auto"/>
        <w:jc w:val="both"/>
      </w:pPr>
      <w:r>
        <w:t xml:space="preserve">Nekoliko </w:t>
      </w:r>
      <w:r w:rsidR="007F7CF7">
        <w:t xml:space="preserve">važnih zaključaka </w:t>
      </w:r>
      <w:r>
        <w:t xml:space="preserve">se </w:t>
      </w:r>
      <w:r w:rsidR="007F7CF7">
        <w:t>upadljivo nameće nakon ove analize. Prije sve</w:t>
      </w:r>
      <w:r w:rsidR="004A2E0F">
        <w:t>g</w:t>
      </w:r>
      <w:r w:rsidR="007F7CF7">
        <w:t xml:space="preserve">a, privatna isplativost projekata mHE koje smo analizirali, tj isplativost iz ugla investitora i zajmodavca je izrazito visoka. Iz perspective direktnog investitora </w:t>
      </w:r>
      <w:r>
        <w:t>stopa prinosa (</w:t>
      </w:r>
      <w:r w:rsidR="007F7CF7">
        <w:t>IRR</w:t>
      </w:r>
      <w:r>
        <w:t>, interna stopa prinosa)</w:t>
      </w:r>
      <w:r w:rsidR="007F7CF7">
        <w:t xml:space="preserve"> projekta ide i</w:t>
      </w:r>
      <w:r w:rsidR="00E938E1">
        <w:t xml:space="preserve"> do spektakularnih 68</w:t>
      </w:r>
      <w:r w:rsidR="007F7CF7">
        <w:t xml:space="preserve">%, dok iz perspective oba investitora zajedno ona dostiže </w:t>
      </w:r>
      <w:r w:rsidR="00E938E1">
        <w:t>takođe vrlo zadovoljavajući nivo</w:t>
      </w:r>
      <w:r w:rsidR="007F7CF7">
        <w:t>od</w:t>
      </w:r>
      <w:r w:rsidR="00E938E1">
        <w:t xml:space="preserve">oko 13%. </w:t>
      </w:r>
      <w:r w:rsidR="00FE28E8">
        <w:t>Obe stope, iako različite, su iznad minimalne prihvatljive stope za ovu vrstu biznisa, od 8% do 9%.</w:t>
      </w:r>
      <w:r w:rsidR="004E607B">
        <w:t>Velika razlika između ove dvije mjere IRR proizilazi iz činjenice da vlasnik kompanije koristi visok laverage</w:t>
      </w:r>
      <w:r w:rsidR="005129B0">
        <w:t>, odnosno visoko učešće dugovnih izvora,</w:t>
      </w:r>
      <w:r w:rsidR="004E607B">
        <w:t xml:space="preserve"> kao način da poveća stopu prinosa na ovako spektakularan nivo. </w:t>
      </w:r>
      <w:r>
        <w:t xml:space="preserve">Naime, pošto je stopa prinosa znatno veća od kamatne stope kompanija zahvata značajan prinos i po osnovu vlastitih ulaganja a i po osnovu zajmovnih sredstava. A pošto je, zbog raznih privilegija koje kompaniji daje država, izvjesnost ovih prinosa neupitna kompaniji se najviše isplati da što veći dio investicija finansira iz zajmovnih izvora. </w:t>
      </w:r>
      <w:r w:rsidR="00A30E3E">
        <w:t>Ovo postaje još jasnije kada se dodaju dva druga važna zaključka</w:t>
      </w:r>
      <w:r>
        <w:t xml:space="preserve"> vezana upravo za nivo prinosa na imovinu i na već pomenute privilegije</w:t>
      </w:r>
      <w:r w:rsidR="00A30E3E">
        <w:t xml:space="preserve">. </w:t>
      </w:r>
    </w:p>
    <w:p w:rsidR="00E938E1" w:rsidRDefault="00E938E1" w:rsidP="007F7CF7">
      <w:pPr>
        <w:spacing w:line="276" w:lineRule="auto"/>
        <w:jc w:val="both"/>
      </w:pPr>
      <w:r>
        <w:t>P</w:t>
      </w:r>
      <w:r w:rsidR="00A30E3E">
        <w:t>rije svega</w:t>
      </w:r>
      <w:r w:rsidR="007E0D51">
        <w:t xml:space="preserve">, prethodna kalkulacija je bazirana na pretpostavci da će </w:t>
      </w:r>
      <w:r w:rsidR="00A30E3E">
        <w:t xml:space="preserve">obe </w:t>
      </w:r>
      <w:r w:rsidR="007E0D51">
        <w:t>mHE raditi sa kapacitetima sa kojima su radile 2018</w:t>
      </w:r>
      <w:r w:rsidR="00FE28E8">
        <w:t>.</w:t>
      </w:r>
      <w:r w:rsidR="007E0D51">
        <w:t xml:space="preserve">godine što je za jednu trećinu više od onoga što srećemo u planskim dokumentima. Kada se naprave projekcija koje odgovaraju planskim dokumentima, tada </w:t>
      </w:r>
      <w:r w:rsidR="009D2FB9">
        <w:t xml:space="preserve">stopa prinosa </w:t>
      </w:r>
      <w:r w:rsidR="007E0D51">
        <w:t>IRR direktnog investitora iznosi zadovoljavajućih 17,23% što je ipak znatno manje od prethodnog rezultata. S druge strane</w:t>
      </w:r>
      <w:r w:rsidR="00522C55">
        <w:t>,</w:t>
      </w:r>
      <w:r w:rsidR="007E0D51">
        <w:t xml:space="preserve"> isplativost iz ugla oba investitora mjerena sa IRR iznosi </w:t>
      </w:r>
      <w:r w:rsidR="00C13003">
        <w:t xml:space="preserve">iznosi samo 6%, što </w:t>
      </w:r>
      <w:r w:rsidR="00A0683B">
        <w:t xml:space="preserve">je znatno niže od zahtijevane stope prinosa a što </w:t>
      </w:r>
      <w:r w:rsidR="00C13003">
        <w:t xml:space="preserve">pokazuje da je investicija u tim, inače obećanim uslovima, neisplativa i da samo zahvaljujući visokom laverageu vlasnik mHE ima visoku IRR od, kao što smo već rekli, oko </w:t>
      </w:r>
      <w:r w:rsidR="004E607B">
        <w:t xml:space="preserve">17%. </w:t>
      </w:r>
      <w:r w:rsidR="00A30E3E">
        <w:t xml:space="preserve">Dakle, kada bi se poštovali inicijalni planovi projekat bi de fakto </w:t>
      </w:r>
      <w:r w:rsidR="00522C55">
        <w:t xml:space="preserve">bio neisplativ već na nivou razmatranja private isplativosti projekta. </w:t>
      </w:r>
      <w:r w:rsidR="00A0683B">
        <w:t xml:space="preserve">U tim uslovima i društvena isplativost projekta bi bila na neprihvatljivom nivou. Takođe, očito je da će ova situacija voditi stalnom nastojanju kompanije da operiše na višem nivou kapaciteta što će voditi snažnom pritisku na korišćenje vodozahvata a time stalnom jačanju konflikta između različitih funkcija tih resursa i djelatnosti zasnovanim na njima. </w:t>
      </w:r>
    </w:p>
    <w:p w:rsidR="001C45BA" w:rsidRDefault="00A30E3E" w:rsidP="004E607B">
      <w:pPr>
        <w:spacing w:line="276" w:lineRule="auto"/>
        <w:jc w:val="both"/>
      </w:pPr>
      <w:r>
        <w:t>Sledeća stvar</w:t>
      </w:r>
      <w:r w:rsidR="004E607B">
        <w:t xml:space="preserve"> u vezi sa privatnom isplativošću mHE se odnosi na subvencionisane cijene struje iz malih elektrana. </w:t>
      </w:r>
      <w:r w:rsidR="00892DD4">
        <w:t>Kada se projekcije očiste od subvencija,</w:t>
      </w:r>
      <w:r w:rsidR="00A0683B">
        <w:t xml:space="preserve"> tj kada se simuliraju bilansi na način da se u njima polazi od tržišnih cijena,</w:t>
      </w:r>
      <w:r w:rsidR="00892DD4">
        <w:t xml:space="preserve"> tada </w:t>
      </w:r>
      <w:r w:rsidR="00592DE2">
        <w:t>privatna isplativost projekta p</w:t>
      </w:r>
      <w:r w:rsidR="00892DD4">
        <w:t xml:space="preserve">ada još snažnije. </w:t>
      </w:r>
      <w:r w:rsidR="00592DE2">
        <w:t>Štaviše, gledano iz privatne perspective, NPV</w:t>
      </w:r>
      <w:r w:rsidR="0021326A">
        <w:t xml:space="preserve"> (neto sadašnja vrijednost)</w:t>
      </w:r>
      <w:r w:rsidR="00592DE2">
        <w:t xml:space="preserve"> ekonomskog toka očišćenog od subvencija ima negativnu vrijednost za sve stepene korišćenja kapaciteta i za sve varijante diskontnih tokova od kojih polazimo u analizi. Ovo je ključni dokaz ne samo o privatnoj, već i o društvenoj neisplativosti projekata. </w:t>
      </w:r>
      <w:r w:rsidR="00522C55">
        <w:t xml:space="preserve">To ne treba da čudi kada se ima u vidu ogroman nivo subvencija. </w:t>
      </w:r>
      <w:r w:rsidR="00E81447">
        <w:t>P</w:t>
      </w:r>
      <w:r w:rsidR="00E81447" w:rsidRPr="00DF0011">
        <w:t xml:space="preserve">rosječna godišnja vrijednost subvencija </w:t>
      </w:r>
      <w:r w:rsidR="00E81447">
        <w:t xml:space="preserve">se </w:t>
      </w:r>
      <w:r w:rsidR="00E81447" w:rsidRPr="00DF0011">
        <w:t>kreće u rasponu od oko 346,000 eura, za planski scenarij, do oko 421,000 eura, za scenarij iz bilansa uspjeha</w:t>
      </w:r>
      <w:r w:rsidR="0021326A">
        <w:t xml:space="preserve"> iz 2018 godine</w:t>
      </w:r>
      <w:r w:rsidR="00E81447" w:rsidRPr="00DF0011">
        <w:t>.</w:t>
      </w:r>
      <w:r w:rsidR="00E81447">
        <w:t xml:space="preserve"> Mjereno u NPV (neto sadašnjoj vrijednosti) videli smo da se NPV subvencija</w:t>
      </w:r>
      <w:r w:rsidR="005670EF">
        <w:t xml:space="preserve"> krećeu rasponu od oko 4 miliona eura do 6,2 miliona</w:t>
      </w:r>
      <w:r w:rsidR="005670EF" w:rsidRPr="00AD281A">
        <w:t xml:space="preserve"> eura.</w:t>
      </w:r>
    </w:p>
    <w:p w:rsidR="004E607B" w:rsidRDefault="00592DE2" w:rsidP="004E607B">
      <w:pPr>
        <w:spacing w:line="276" w:lineRule="auto"/>
        <w:jc w:val="both"/>
      </w:pPr>
      <w:r>
        <w:lastRenderedPageBreak/>
        <w:t xml:space="preserve">Zaista, projekat koji ima negativnu vrijednost ekonomskog toka a nema istovremeno neke nemonetarne pozitivne eksterne </w:t>
      </w:r>
      <w:r w:rsidR="001C45BA">
        <w:t>koristi</w:t>
      </w:r>
      <w:r>
        <w:t xml:space="preserve"> kojima bi to kompenzirao mora biti društveno loš projekat. </w:t>
      </w:r>
      <w:r w:rsidR="001C45BA">
        <w:t xml:space="preserve">U našoj analizi smo </w:t>
      </w:r>
      <w:r w:rsidR="00477111">
        <w:t xml:space="preserve">istina </w:t>
      </w:r>
      <w:r w:rsidR="001C45BA">
        <w:t>vidjeli da postoje pozitivni uticaji na blagostanje nekih stakeholder</w:t>
      </w:r>
      <w:r w:rsidR="00E27E6F">
        <w:t xml:space="preserve">: </w:t>
      </w:r>
      <w:r w:rsidR="001C45BA">
        <w:t>državni budžet, javni prihodi lokalne samouprave,</w:t>
      </w:r>
      <w:r w:rsidR="00E27E6F">
        <w:t xml:space="preserve"> novo-zaposleni.</w:t>
      </w:r>
      <w:r w:rsidR="001C45BA">
        <w:t xml:space="preserve"> Međutim ti su pozitivni efekti manji od negativnog uticaja subvencija na smanjenje blagostanja potrošača. T</w:t>
      </w:r>
      <w:r w:rsidR="005670EF">
        <w:t xml:space="preserve">o je razlog zbog kojeg su </w:t>
      </w:r>
      <w:r w:rsidR="0021326A">
        <w:t xml:space="preserve">stope prinosa </w:t>
      </w:r>
      <w:r w:rsidR="001C45BA">
        <w:t>IRR dobijene na društveni tok kojem su dodati ti prirasti manje</w:t>
      </w:r>
      <w:r w:rsidR="0021326A">
        <w:t>, kreću se od oko 9% do oko 13%,</w:t>
      </w:r>
      <w:r w:rsidR="001C45BA">
        <w:t xml:space="preserve"> od onih koje dobijamo kada posmatramo samo ekonomski tok projekta. To je neobično</w:t>
      </w:r>
      <w:r w:rsidR="00E27E6F">
        <w:t xml:space="preserve">, jer bi </w:t>
      </w:r>
      <w:r w:rsidR="00505F83">
        <w:t xml:space="preserve">IRR ovdje </w:t>
      </w:r>
      <w:r w:rsidR="005670EF">
        <w:t xml:space="preserve">trebale biti veće. Naravno, </w:t>
      </w:r>
      <w:r w:rsidR="00505F83">
        <w:t>to se jedino</w:t>
      </w:r>
      <w:r w:rsidR="001C45BA">
        <w:t xml:space="preserve"> može obja</w:t>
      </w:r>
      <w:r w:rsidR="00E27E6F">
        <w:t>s</w:t>
      </w:r>
      <w:r w:rsidR="005670EF">
        <w:t>niti</w:t>
      </w:r>
      <w:r w:rsidR="001C45BA">
        <w:t xml:space="preserve"> neefikasnošću projekta</w:t>
      </w:r>
      <w:r w:rsidR="005670EF">
        <w:t xml:space="preserve"> iz perspective društva</w:t>
      </w:r>
      <w:r w:rsidR="001C45BA">
        <w:t xml:space="preserve">. </w:t>
      </w:r>
      <w:r w:rsidR="0021326A">
        <w:t xml:space="preserve">Tehnički gledano razlog ovome je činjenica da smo gubitke potrošača </w:t>
      </w:r>
      <w:r w:rsidR="00477111">
        <w:t xml:space="preserve">nastale zbog subvencija morali računati </w:t>
      </w:r>
      <w:r w:rsidR="0021326A">
        <w:t xml:space="preserve">polazeći </w:t>
      </w:r>
      <w:r w:rsidR="00477111">
        <w:t>od</w:t>
      </w:r>
      <w:r w:rsidR="0021326A">
        <w:t xml:space="preserve">njihove nominalne vrijednosti dok smo dobitke ostalih stake-holdera morali računati tako što smo isključili uticaj subvencija. Ovo prosto zato što su ti dodatni dobici rezultat preusmjeravanja sredstava, tj rezultat </w:t>
      </w:r>
      <w:r w:rsidR="00477111">
        <w:t xml:space="preserve">redistribucije a ne rezultat realnih tokova u privredi i prirasta prinosa usled prirasta aktivnosti. Na neki način ispada da subvencije funkcionišu kao para-fiskalni instrument. </w:t>
      </w:r>
    </w:p>
    <w:p w:rsidR="00505F83" w:rsidRPr="004D1F30" w:rsidRDefault="00505F83" w:rsidP="004E607B">
      <w:pPr>
        <w:spacing w:line="276" w:lineRule="auto"/>
        <w:jc w:val="both"/>
      </w:pPr>
      <w:r>
        <w:t xml:space="preserve">Slika postaje još poraznija kada se pogleda uticaj projekta na druge djelatnosti. Ni ovdje ne možemo naći neke pozitivne eksterne efekte koji bi kompenzirali negativnu vrijednost tokova iz kojih je isključen uticaj </w:t>
      </w:r>
      <w:r w:rsidR="00102ABB">
        <w:t xml:space="preserve">subvencija </w:t>
      </w:r>
      <w:r>
        <w:t>na</w:t>
      </w:r>
      <w:r w:rsidR="00102ABB">
        <w:t>privatnu rentabilnost kompanije. Ovdje nasuprot tome, imamo snažne negativne</w:t>
      </w:r>
      <w:r w:rsidR="00477111">
        <w:t xml:space="preserve"> eksterne</w:t>
      </w:r>
      <w:r w:rsidR="00102ABB">
        <w:t xml:space="preserve"> efekte na djelatnosti poljoprivrede i turizma. </w:t>
      </w:r>
      <w:r w:rsidR="00477111">
        <w:t xml:space="preserve">Ovo zato što postoji snažan konflikt između raznih funkcija vodotoka i vodozahvata pa time i između djelatnosti poljoprivrede </w:t>
      </w:r>
      <w:r w:rsidR="00140C98">
        <w:t>i turizma koje se zasnivaju</w:t>
      </w:r>
      <w:r w:rsidR="00B82EFF">
        <w:t>na ovim resursima baš kao</w:t>
      </w:r>
      <w:r w:rsidR="00140C98">
        <w:t xml:space="preserve"> i </w:t>
      </w:r>
      <w:r w:rsidR="00B82EFF">
        <w:t>proizvodnja električne energije</w:t>
      </w:r>
      <w:r w:rsidR="00140C98">
        <w:t>.</w:t>
      </w:r>
      <w:r w:rsidR="00102ABB">
        <w:t>Naša</w:t>
      </w:r>
      <w:r w:rsidR="00102ABB" w:rsidRPr="00102ABB">
        <w:rPr>
          <w:i/>
        </w:rPr>
        <w:t xml:space="preserve"> counterfactual analiza</w:t>
      </w:r>
      <w:r w:rsidR="002D16EB">
        <w:rPr>
          <w:i/>
        </w:rPr>
        <w:t xml:space="preserve">, </w:t>
      </w:r>
      <w:r w:rsidR="002D16EB">
        <w:t>tj analize u kojoj se upoređuju kretanja nakon preduzimanja projekta sa</w:t>
      </w:r>
      <w:r w:rsidR="00140C98">
        <w:t xml:space="preserve"> onim koja bi imali bez projekta</w:t>
      </w:r>
      <w:r w:rsidR="002D16EB">
        <w:t>,</w:t>
      </w:r>
      <w:r w:rsidR="00B437A3">
        <w:t xml:space="preserve"> je pokazala da su </w:t>
      </w:r>
      <w:r w:rsidR="00102ABB">
        <w:t xml:space="preserve">očekivani gubici </w:t>
      </w:r>
      <w:r w:rsidR="00B570B2">
        <w:t xml:space="preserve">u poljoprivredi </w:t>
      </w:r>
      <w:r w:rsidR="00140C98">
        <w:t xml:space="preserve">mjereni preko NPV </w:t>
      </w:r>
      <w:r w:rsidR="00B437A3">
        <w:t xml:space="preserve">na nivou od </w:t>
      </w:r>
      <w:r w:rsidR="00140C98">
        <w:t xml:space="preserve">oko </w:t>
      </w:r>
      <w:r w:rsidR="00B437A3">
        <w:t>1,140,000 eura. U</w:t>
      </w:r>
      <w:r w:rsidR="00140C98">
        <w:t xml:space="preserve"> turizmu tako definisani gubici </w:t>
      </w:r>
      <w:r w:rsidR="00B437A3">
        <w:t xml:space="preserve">su </w:t>
      </w:r>
      <w:r w:rsidR="00140C98">
        <w:t>na nivou od najmanje 1,750,000 eura</w:t>
      </w:r>
      <w:r w:rsidR="00B437A3">
        <w:t xml:space="preserve"> pa do 2,917,000 eura. Mjereni u prosječnom godišnjem iznosu ovi gubici iznose </w:t>
      </w:r>
      <w:r w:rsidR="00B570B2">
        <w:t>pr</w:t>
      </w:r>
      <w:r w:rsidR="00140C98">
        <w:t xml:space="preserve">eko 100,000 eura godišnje, </w:t>
      </w:r>
      <w:r w:rsidR="00B437A3">
        <w:t xml:space="preserve">za poljoprivredu MZ Prnjavor, </w:t>
      </w:r>
      <w:r w:rsidR="00140C98">
        <w:t xml:space="preserve">dok </w:t>
      </w:r>
      <w:r w:rsidR="00B570B2">
        <w:t xml:space="preserve">su ti gubici u turizmu </w:t>
      </w:r>
      <w:r w:rsidR="00B82EFF">
        <w:t>preko 200,000 eura godišnje. Kako god ih mjerili, gubici</w:t>
      </w:r>
      <w:r w:rsidR="00B570B2">
        <w:t xml:space="preserve"> su </w:t>
      </w:r>
      <w:r w:rsidR="00102ABB">
        <w:t>ovdje toliki da su u stanju da potpuno anuliraju sve prethodno unijete pozitivne vr</w:t>
      </w:r>
      <w:r w:rsidR="00B570B2">
        <w:t>ijednosti društvenog toka, tj one su</w:t>
      </w:r>
      <w:r w:rsidR="00102ABB">
        <w:t xml:space="preserve"> u stanju da učine </w:t>
      </w:r>
      <w:r w:rsidR="00B570B2">
        <w:t xml:space="preserve">gotovo </w:t>
      </w:r>
      <w:r w:rsidR="00102ABB">
        <w:t xml:space="preserve">kompletan društveni tok negativnim. </w:t>
      </w:r>
      <w:r w:rsidR="00B437A3">
        <w:t xml:space="preserve">Naše mjerenje zaista pokazuje da je za </w:t>
      </w:r>
      <w:r w:rsidR="00B82EFF">
        <w:t>scenarij iz planskih dokumenataovako računata NPV društvenog toka negativ</w:t>
      </w:r>
      <w:r w:rsidR="00B437A3">
        <w:t>n</w:t>
      </w:r>
      <w:r w:rsidR="00B82EFF">
        <w:t>a</w:t>
      </w:r>
      <w:r w:rsidR="00B437A3">
        <w:t xml:space="preserve">. </w:t>
      </w:r>
      <w:r w:rsidR="00102ABB">
        <w:t xml:space="preserve">Ovo je takođe neobičan i važan rezultat. </w:t>
      </w:r>
      <w:r w:rsidR="002D16EB">
        <w:t xml:space="preserve">On je sam po sebi dovoljan da </w:t>
      </w:r>
      <w:r w:rsidR="00B437A3">
        <w:t xml:space="preserve">zaključimo da je, gledano iz perspective društva, </w:t>
      </w:r>
      <w:r w:rsidR="002D16EB">
        <w:t>kompleta</w:t>
      </w:r>
      <w:r w:rsidR="00B82EFF">
        <w:t>n projekat jako loš</w:t>
      </w:r>
      <w:r w:rsidR="002D16EB">
        <w:t xml:space="preserve">. </w:t>
      </w:r>
    </w:p>
    <w:p w:rsidR="00102ABB" w:rsidRDefault="00A71AA9" w:rsidP="00102ABB">
      <w:pPr>
        <w:spacing w:line="276" w:lineRule="auto"/>
        <w:jc w:val="both"/>
      </w:pPr>
      <w:r>
        <w:t>Konačno, iako nije</w:t>
      </w:r>
      <w:r w:rsidR="002255E9">
        <w:t>smo dali detaljnu i cjelovitu</w:t>
      </w:r>
      <w:r w:rsidR="00102ABB">
        <w:t xml:space="preserve"> ekonomska evaluacija </w:t>
      </w:r>
      <w:r>
        <w:t>ekoloških</w:t>
      </w:r>
      <w:r w:rsidR="00B570B2">
        <w:t xml:space="preserve"> efekata projekta</w:t>
      </w:r>
      <w:r w:rsidR="009F6A21">
        <w:t xml:space="preserve"> i na osnovu</w:t>
      </w:r>
      <w:r w:rsidR="005D0F8D">
        <w:t>ovdje datih</w:t>
      </w:r>
      <w:r w:rsidR="00102ABB">
        <w:t xml:space="preserve"> analiza je moguće sa gotovo apsolutnom izvjesnošću tvrditi da su ekološke štete inicirane projektom znatno veće od, inače dubioznih ili čak nepostojećih, koristi od dviju mHE ili od </w:t>
      </w:r>
      <w:r w:rsidR="002255E9">
        <w:t>b</w:t>
      </w:r>
      <w:r w:rsidR="00102ABB">
        <w:t>ilo koje mHE u Crnoj Gori. Drugim riječima, apsolutno je izvjesno da je ekonomske vrijednost ekoloških neto efektata negativna. Samim tim ona bi u</w:t>
      </w:r>
      <w:r w:rsidR="00BE273E">
        <w:t xml:space="preserve"> našim</w:t>
      </w:r>
      <w:r w:rsidR="00102ABB">
        <w:t xml:space="preserve"> tabelama </w:t>
      </w:r>
      <w:r w:rsidR="00BE273E">
        <w:t>i projekcijama trebala biti</w:t>
      </w:r>
      <w:r w:rsidR="00102ABB">
        <w:t xml:space="preserve"> odbitna a ne aditivna stavka. Već </w:t>
      </w:r>
      <w:r w:rsidR="00BE273E">
        <w:t>ranije dati</w:t>
      </w:r>
      <w:r w:rsidR="00102ABB">
        <w:t xml:space="preserve"> zaključci o negativnoj vrijednosti NPV-a društvenog toka bi bili još snažnije potvrđeni. </w:t>
      </w:r>
    </w:p>
    <w:p w:rsidR="00EE7A47" w:rsidRDefault="009F6A21" w:rsidP="00102ABB">
      <w:pPr>
        <w:spacing w:line="276" w:lineRule="auto"/>
        <w:jc w:val="both"/>
      </w:pPr>
      <w:r>
        <w:t xml:space="preserve">Što je još indikativnije, </w:t>
      </w:r>
      <w:r w:rsidR="00AF4935">
        <w:t xml:space="preserve">utvrdili smo da je NPV ekoloških koristi </w:t>
      </w:r>
      <w:r w:rsidR="00A905CE">
        <w:t xml:space="preserve">nastalih usled smanjenja emisije CO2 </w:t>
      </w:r>
      <w:r w:rsidR="00AF4935">
        <w:t>na nivou od oko 825,000 eura do oko 1,100,000 eura. To je ekvivalentno prosječnoj godišnjoj</w:t>
      </w:r>
      <w:r>
        <w:t xml:space="preserve"> vrijednost</w:t>
      </w:r>
      <w:r w:rsidR="00AF4935">
        <w:t>i</w:t>
      </w:r>
      <w:r>
        <w:t xml:space="preserve"> koristi od smanjenja emisije CO2 </w:t>
      </w:r>
      <w:r w:rsidR="00AF4935">
        <w:t xml:space="preserve">koja se kreće </w:t>
      </w:r>
      <w:r w:rsidR="00F3596F">
        <w:t>u rasponu od</w:t>
      </w:r>
      <w:r w:rsidR="00C03A24" w:rsidRPr="00AD281A">
        <w:t xml:space="preserve"> 66,300 eura godišnje </w:t>
      </w:r>
      <w:r w:rsidR="002D16EB">
        <w:t>(</w:t>
      </w:r>
      <w:r w:rsidR="00C03A24" w:rsidRPr="00AD281A">
        <w:t xml:space="preserve">u </w:t>
      </w:r>
      <w:r w:rsidR="002D16EB">
        <w:t>prvom scenariju)</w:t>
      </w:r>
      <w:r w:rsidR="00F3596F">
        <w:t xml:space="preserve"> do</w:t>
      </w:r>
      <w:r w:rsidR="00C03A24" w:rsidRPr="00AD281A">
        <w:t xml:space="preserve"> 86,400 eura godišnje </w:t>
      </w:r>
      <w:r w:rsidR="002D16EB">
        <w:t>(</w:t>
      </w:r>
      <w:r w:rsidR="00C03A24" w:rsidRPr="00AD281A">
        <w:t>u drugom scenariju</w:t>
      </w:r>
      <w:r w:rsidR="002D16EB">
        <w:t>)</w:t>
      </w:r>
      <w:r w:rsidR="00C03A24" w:rsidRPr="00AD281A">
        <w:t xml:space="preserve">. </w:t>
      </w:r>
      <w:r w:rsidR="00F3596F">
        <w:t>Kao što smo rekli, o</w:t>
      </w:r>
      <w:r w:rsidR="00C03A24" w:rsidRPr="00AD281A">
        <w:t>ve se vrijednosti mogu defini</w:t>
      </w:r>
      <w:r w:rsidR="00F3596F">
        <w:t xml:space="preserve">sati kao </w:t>
      </w:r>
      <w:r w:rsidR="00F3596F">
        <w:lastRenderedPageBreak/>
        <w:t>nemonetarne koristi</w:t>
      </w:r>
      <w:r w:rsidR="00C03A24" w:rsidRPr="00AD281A">
        <w:t xml:space="preserve"> koje projekt generira usled smanjenja emisije CO2. Drugačije se one mogu definisati i kao novčani iznosi kojima bi se mogao</w:t>
      </w:r>
      <w:r w:rsidR="00F3596F">
        <w:t xml:space="preserve"> i trebao</w:t>
      </w:r>
      <w:r w:rsidR="00C03A24" w:rsidRPr="00AD281A">
        <w:t xml:space="preserve"> nadoknaditi proizvođač zbog eksternih koristi koje čini zajednici.</w:t>
      </w:r>
      <w:r w:rsidR="007F5260">
        <w:t xml:space="preserve">Te koristi čine osnovu kojom se opravdavaju subvencije za proizvodnju struje u mHE. </w:t>
      </w:r>
      <w:r w:rsidR="00F3596F">
        <w:t>Kao što vidimo</w:t>
      </w:r>
      <w:r w:rsidR="007F5260">
        <w:t>, međutim,</w:t>
      </w:r>
      <w:r w:rsidR="00F3596F">
        <w:t xml:space="preserve"> ove koris</w:t>
      </w:r>
      <w:r w:rsidR="00A04A8D">
        <w:t>ti su više nego četiri puta manje</w:t>
      </w:r>
      <w:r w:rsidR="00F3596F">
        <w:t>od subvencija koje bi upravo trebale da predstavljaju nadoknadu za te nemonetarne koristi</w:t>
      </w:r>
      <w:r w:rsidR="00873DF0">
        <w:t xml:space="preserve">. Vidjeli smo da su subvencije u rasponu </w:t>
      </w:r>
      <w:r w:rsidR="006B29C9">
        <w:t>od</w:t>
      </w:r>
      <w:r w:rsidR="006B29C9" w:rsidRPr="00DF0011">
        <w:t>34</w:t>
      </w:r>
      <w:r w:rsidR="006B29C9">
        <w:t>6,000 eura</w:t>
      </w:r>
      <w:r w:rsidR="006B29C9" w:rsidRPr="00DF0011">
        <w:t xml:space="preserve"> do oko 421,000 eura</w:t>
      </w:r>
      <w:r w:rsidR="00873DF0">
        <w:t xml:space="preserve"> godišnje</w:t>
      </w:r>
      <w:r w:rsidR="00F3596F">
        <w:t>. Imajući u vidu ovu drastičnu razliku možemo reći da se postojećim ekološkim korisnostima (čak i kada nebi bilo ekoloških troškova i šteta) ne može opravdati</w:t>
      </w:r>
      <w:r w:rsidR="006B29C9">
        <w:t xml:space="preserve"> izuzetno</w:t>
      </w:r>
      <w:r w:rsidR="00F3596F">
        <w:t xml:space="preserve"> visok nivo subvencija. </w:t>
      </w:r>
    </w:p>
    <w:p w:rsidR="00AF4935" w:rsidRDefault="00AF4935" w:rsidP="00102ABB">
      <w:pPr>
        <w:spacing w:line="276" w:lineRule="auto"/>
        <w:jc w:val="both"/>
      </w:pPr>
    </w:p>
    <w:p w:rsidR="00AB6618" w:rsidRPr="004D1F30" w:rsidRDefault="00AB6618" w:rsidP="004D1F30">
      <w:pPr>
        <w:spacing w:line="276" w:lineRule="auto"/>
      </w:pPr>
      <w:r w:rsidRPr="004D1F30">
        <w:br w:type="page"/>
      </w:r>
    </w:p>
    <w:p w:rsidR="005A764D" w:rsidRDefault="005A764D" w:rsidP="00354B79">
      <w:pPr>
        <w:spacing w:line="276" w:lineRule="auto"/>
        <w:jc w:val="center"/>
        <w:rPr>
          <w:b/>
        </w:rPr>
      </w:pPr>
    </w:p>
    <w:p w:rsidR="005A764D" w:rsidRDefault="005A764D" w:rsidP="00354B79">
      <w:pPr>
        <w:spacing w:line="276" w:lineRule="auto"/>
        <w:jc w:val="center"/>
        <w:rPr>
          <w:b/>
        </w:rPr>
      </w:pPr>
    </w:p>
    <w:p w:rsidR="00BA11E0" w:rsidRPr="005A764D" w:rsidRDefault="005A764D" w:rsidP="00354B79">
      <w:pPr>
        <w:spacing w:line="276" w:lineRule="auto"/>
        <w:jc w:val="center"/>
        <w:rPr>
          <w:b/>
          <w:sz w:val="28"/>
          <w:szCs w:val="28"/>
        </w:rPr>
      </w:pPr>
      <w:r w:rsidRPr="005A764D">
        <w:rPr>
          <w:b/>
          <w:sz w:val="28"/>
          <w:szCs w:val="28"/>
        </w:rPr>
        <w:t xml:space="preserve">CITIRANA LITERATURA </w:t>
      </w:r>
    </w:p>
    <w:p w:rsidR="003E47F3" w:rsidRPr="00AF4935" w:rsidRDefault="003E47F3" w:rsidP="00AF4935">
      <w:pPr>
        <w:autoSpaceDE w:val="0"/>
        <w:autoSpaceDN w:val="0"/>
        <w:adjustRightInd w:val="0"/>
        <w:spacing w:line="240" w:lineRule="auto"/>
        <w:rPr>
          <w:sz w:val="20"/>
          <w:szCs w:val="20"/>
        </w:rPr>
      </w:pPr>
      <w:r w:rsidRPr="00AF4935">
        <w:rPr>
          <w:sz w:val="20"/>
          <w:szCs w:val="20"/>
        </w:rPr>
        <w:t xml:space="preserve">Bellu L. G. i Pansini R. V. (2009). </w:t>
      </w:r>
      <w:r w:rsidR="0099756A" w:rsidRPr="00AF4935">
        <w:rPr>
          <w:i/>
          <w:sz w:val="20"/>
          <w:szCs w:val="20"/>
        </w:rPr>
        <w:t>Quantitative Socio-Economic Policy Impact Analysis - A Methodological Introduction</w:t>
      </w:r>
      <w:r w:rsidR="00EC6E1C" w:rsidRPr="00AF4935">
        <w:rPr>
          <w:sz w:val="20"/>
          <w:szCs w:val="20"/>
        </w:rPr>
        <w:t>; FAO, p. 61</w:t>
      </w:r>
      <w:r w:rsidR="0099756A" w:rsidRPr="00AF4935">
        <w:rPr>
          <w:sz w:val="20"/>
          <w:szCs w:val="20"/>
        </w:rPr>
        <w:t xml:space="preserve">. </w:t>
      </w:r>
    </w:p>
    <w:p w:rsidR="0037087B" w:rsidRPr="00AF4935" w:rsidRDefault="0037087B" w:rsidP="00AF4935">
      <w:pPr>
        <w:autoSpaceDE w:val="0"/>
        <w:autoSpaceDN w:val="0"/>
        <w:adjustRightInd w:val="0"/>
        <w:spacing w:line="240" w:lineRule="auto"/>
        <w:rPr>
          <w:sz w:val="20"/>
          <w:szCs w:val="20"/>
        </w:rPr>
      </w:pPr>
      <w:r w:rsidRPr="00AF4935">
        <w:rPr>
          <w:sz w:val="20"/>
          <w:szCs w:val="20"/>
        </w:rPr>
        <w:t xml:space="preserve">Bere J., Jones C., Jones S., (2014). </w:t>
      </w:r>
      <w:r w:rsidRPr="00AF4935">
        <w:rPr>
          <w:i/>
          <w:sz w:val="20"/>
          <w:szCs w:val="20"/>
        </w:rPr>
        <w:t>The Economic and Social Impact of Small and Comynity Hydro in Wales</w:t>
      </w:r>
      <w:r w:rsidRPr="00AF4935">
        <w:rPr>
          <w:sz w:val="20"/>
          <w:szCs w:val="20"/>
        </w:rPr>
        <w:t xml:space="preserve">; Report for Hydropower Stakeholder Group, p.39. </w:t>
      </w:r>
    </w:p>
    <w:p w:rsidR="008E535A" w:rsidRPr="00AF4935" w:rsidRDefault="008E535A" w:rsidP="00AF4935">
      <w:pPr>
        <w:autoSpaceDE w:val="0"/>
        <w:autoSpaceDN w:val="0"/>
        <w:adjustRightInd w:val="0"/>
        <w:spacing w:line="240" w:lineRule="auto"/>
        <w:rPr>
          <w:sz w:val="20"/>
          <w:szCs w:val="20"/>
        </w:rPr>
      </w:pPr>
      <w:r w:rsidRPr="00AF4935">
        <w:rPr>
          <w:sz w:val="20"/>
          <w:szCs w:val="20"/>
        </w:rPr>
        <w:t xml:space="preserve">Bitar Z., Khamis I., Alsaka Z., </w:t>
      </w:r>
      <w:r w:rsidR="00C57891" w:rsidRPr="00AF4935">
        <w:rPr>
          <w:sz w:val="20"/>
          <w:szCs w:val="20"/>
        </w:rPr>
        <w:t xml:space="preserve">Al Jabi S. (2015). Pre Feasibility Study for Construction of Mini Hydro Power Plant; </w:t>
      </w:r>
      <w:r w:rsidR="00C57891" w:rsidRPr="00AF4935">
        <w:rPr>
          <w:i/>
          <w:sz w:val="20"/>
          <w:szCs w:val="20"/>
        </w:rPr>
        <w:t>Energy Pro Cedia</w:t>
      </w:r>
      <w:r w:rsidR="00C57891" w:rsidRPr="00AF4935">
        <w:rPr>
          <w:sz w:val="20"/>
          <w:szCs w:val="20"/>
        </w:rPr>
        <w:t xml:space="preserve">, No 74, pp. 404-413. </w:t>
      </w:r>
    </w:p>
    <w:p w:rsidR="00D3533A" w:rsidRPr="00AF4935" w:rsidRDefault="00D3533A" w:rsidP="00AF4935">
      <w:pPr>
        <w:autoSpaceDE w:val="0"/>
        <w:autoSpaceDN w:val="0"/>
        <w:adjustRightInd w:val="0"/>
        <w:spacing w:line="240" w:lineRule="auto"/>
        <w:rPr>
          <w:sz w:val="20"/>
          <w:szCs w:val="20"/>
        </w:rPr>
      </w:pPr>
      <w:r w:rsidRPr="00AF4935">
        <w:rPr>
          <w:sz w:val="20"/>
          <w:szCs w:val="20"/>
        </w:rPr>
        <w:t xml:space="preserve">Bjornskov C., Bogetic Z., Hillman A., Popovic M. (2014). Trust and Identity in a Small, Post-Socialist, Post-Crisis Society; </w:t>
      </w:r>
      <w:r w:rsidRPr="00AF4935">
        <w:rPr>
          <w:i/>
          <w:sz w:val="20"/>
          <w:szCs w:val="20"/>
        </w:rPr>
        <w:t>Policy Research Paper</w:t>
      </w:r>
      <w:r w:rsidRPr="00AF4935">
        <w:rPr>
          <w:sz w:val="20"/>
          <w:szCs w:val="20"/>
        </w:rPr>
        <w:t xml:space="preserve">, No 6828, World Bank, p. 56. </w:t>
      </w:r>
    </w:p>
    <w:p w:rsidR="000C1EFC" w:rsidRPr="00AF4935" w:rsidRDefault="000C1EFC" w:rsidP="00AF4935">
      <w:pPr>
        <w:autoSpaceDE w:val="0"/>
        <w:autoSpaceDN w:val="0"/>
        <w:adjustRightInd w:val="0"/>
        <w:spacing w:line="240" w:lineRule="auto"/>
        <w:rPr>
          <w:sz w:val="20"/>
          <w:szCs w:val="20"/>
        </w:rPr>
      </w:pPr>
      <w:r w:rsidRPr="00AF4935">
        <w:rPr>
          <w:sz w:val="20"/>
          <w:szCs w:val="20"/>
        </w:rPr>
        <w:t xml:space="preserve">Brander, L.M. and van Beukering, P. (2016). </w:t>
      </w:r>
      <w:r w:rsidRPr="00AF4935">
        <w:rPr>
          <w:i/>
          <w:iCs/>
          <w:sz w:val="20"/>
          <w:szCs w:val="20"/>
        </w:rPr>
        <w:t>Economic assessment methods and applications</w:t>
      </w:r>
      <w:r w:rsidRPr="00AF4935">
        <w:rPr>
          <w:sz w:val="20"/>
          <w:szCs w:val="20"/>
        </w:rPr>
        <w:t xml:space="preserve">. Deliverable D4.2 EU Horizon 2020 ESMERALDA Project, Grant agreement No. 642007. </w:t>
      </w:r>
    </w:p>
    <w:p w:rsidR="00BC43C1" w:rsidRPr="00AF4935" w:rsidRDefault="00365674" w:rsidP="00AF4935">
      <w:pPr>
        <w:autoSpaceDE w:val="0"/>
        <w:autoSpaceDN w:val="0"/>
        <w:adjustRightInd w:val="0"/>
        <w:spacing w:line="240" w:lineRule="auto"/>
        <w:rPr>
          <w:rFonts w:cs="DIN-Regular"/>
          <w:sz w:val="20"/>
          <w:szCs w:val="20"/>
        </w:rPr>
      </w:pPr>
      <w:r w:rsidRPr="00AF4935">
        <w:rPr>
          <w:rFonts w:cs="DIN-Regular"/>
          <w:sz w:val="20"/>
          <w:szCs w:val="20"/>
        </w:rPr>
        <w:t>Brander L (2013)</w:t>
      </w:r>
      <w:r w:rsidR="000E1139" w:rsidRPr="00AF4935">
        <w:rPr>
          <w:rFonts w:cs="DIN-Regular"/>
          <w:sz w:val="20"/>
          <w:szCs w:val="20"/>
        </w:rPr>
        <w:t>.</w:t>
      </w:r>
      <w:r w:rsidRPr="00AF4935">
        <w:rPr>
          <w:rFonts w:cs="DIN-Regular"/>
          <w:sz w:val="20"/>
          <w:szCs w:val="20"/>
        </w:rPr>
        <w:t xml:space="preserve"> Guidance Manual on Value Transfer Methods for Ecosystem Services, United Nations Environment Programme. </w:t>
      </w:r>
    </w:p>
    <w:p w:rsidR="00CC2C81" w:rsidRPr="00AF4935" w:rsidRDefault="00CC2C81" w:rsidP="00AF4935">
      <w:pPr>
        <w:autoSpaceDE w:val="0"/>
        <w:autoSpaceDN w:val="0"/>
        <w:adjustRightInd w:val="0"/>
        <w:spacing w:line="240" w:lineRule="auto"/>
        <w:rPr>
          <w:rFonts w:cs="SourceSansPro-Regular"/>
          <w:i/>
          <w:color w:val="333333"/>
          <w:sz w:val="20"/>
          <w:szCs w:val="20"/>
        </w:rPr>
      </w:pPr>
      <w:r w:rsidRPr="00AF4935">
        <w:rPr>
          <w:rFonts w:cs="NimbusRomNo9L-Regu"/>
          <w:sz w:val="20"/>
          <w:szCs w:val="20"/>
        </w:rPr>
        <w:t xml:space="preserve">Carravetta A., Fecarotta O., Sinagra M., Tucciarelli T. (2014). </w:t>
      </w:r>
      <w:r w:rsidRPr="00AF4935">
        <w:rPr>
          <w:rFonts w:cs="NimbusRomNo9L-Medi"/>
          <w:sz w:val="20"/>
          <w:szCs w:val="20"/>
        </w:rPr>
        <w:t>A Cost Benefit Analysis for Hydropower Production in Water Distribution Networks by Pump as Turbine (PAT);</w:t>
      </w:r>
      <w:r w:rsidRPr="00AF4935">
        <w:rPr>
          <w:rFonts w:cs="SourceSansPro-Regular"/>
          <w:i/>
          <w:color w:val="333333"/>
          <w:sz w:val="20"/>
          <w:szCs w:val="20"/>
        </w:rPr>
        <w:t>Journal of Water Resources Planning and Management</w:t>
      </w:r>
      <w:r w:rsidR="00425FF7" w:rsidRPr="00AF4935">
        <w:rPr>
          <w:rFonts w:cs="SourceSansPro-Regular"/>
          <w:i/>
          <w:color w:val="333333"/>
          <w:sz w:val="20"/>
          <w:szCs w:val="20"/>
        </w:rPr>
        <w:t xml:space="preserve">. </w:t>
      </w:r>
    </w:p>
    <w:p w:rsidR="00690CBB" w:rsidRPr="00AF4935" w:rsidRDefault="00690CBB" w:rsidP="00AF4935">
      <w:pPr>
        <w:autoSpaceDE w:val="0"/>
        <w:autoSpaceDN w:val="0"/>
        <w:adjustRightInd w:val="0"/>
        <w:spacing w:line="240" w:lineRule="auto"/>
        <w:rPr>
          <w:rFonts w:cs="Garamond"/>
          <w:sz w:val="20"/>
          <w:szCs w:val="20"/>
        </w:rPr>
      </w:pPr>
      <w:r w:rsidRPr="00AF4935">
        <w:rPr>
          <w:rFonts w:cs="SourceSansPro-Regular"/>
          <w:sz w:val="20"/>
          <w:szCs w:val="20"/>
        </w:rPr>
        <w:t xml:space="preserve">Coleman J. S. (1988). </w:t>
      </w:r>
      <w:r w:rsidRPr="00AF4935">
        <w:rPr>
          <w:rFonts w:cs="Garamond"/>
          <w:sz w:val="20"/>
          <w:szCs w:val="20"/>
        </w:rPr>
        <w:t xml:space="preserve">Social Capital and Creation of Human Capital; </w:t>
      </w:r>
      <w:r w:rsidRPr="00AF4935">
        <w:rPr>
          <w:rFonts w:cs="Garamond"/>
          <w:i/>
          <w:sz w:val="20"/>
          <w:szCs w:val="20"/>
        </w:rPr>
        <w:t>American Journal of Sociology</w:t>
      </w:r>
      <w:r w:rsidRPr="00AF4935">
        <w:rPr>
          <w:rFonts w:cs="Garamond"/>
          <w:sz w:val="20"/>
          <w:szCs w:val="20"/>
        </w:rPr>
        <w:t xml:space="preserve">, Vol. 94, Supplement, pp. 95-120. </w:t>
      </w:r>
    </w:p>
    <w:p w:rsidR="00EC03D0" w:rsidRPr="00AF4935" w:rsidRDefault="00EC03D0" w:rsidP="00AF4935">
      <w:pPr>
        <w:autoSpaceDE w:val="0"/>
        <w:autoSpaceDN w:val="0"/>
        <w:adjustRightInd w:val="0"/>
        <w:spacing w:line="240" w:lineRule="auto"/>
        <w:rPr>
          <w:rFonts w:cs="Garamond"/>
          <w:sz w:val="20"/>
          <w:szCs w:val="20"/>
        </w:rPr>
      </w:pPr>
      <w:r w:rsidRPr="00AF4935">
        <w:rPr>
          <w:rFonts w:cs="Garamond"/>
          <w:sz w:val="20"/>
          <w:szCs w:val="20"/>
        </w:rPr>
        <w:t>Copeland T. E. Weston J.</w:t>
      </w:r>
      <w:r w:rsidR="00FC59E1" w:rsidRPr="00AF4935">
        <w:rPr>
          <w:rFonts w:cs="Garamond"/>
          <w:sz w:val="20"/>
          <w:szCs w:val="20"/>
        </w:rPr>
        <w:t>, &amp; Shastri K. (2013</w:t>
      </w:r>
      <w:r w:rsidRPr="00AF4935">
        <w:rPr>
          <w:rFonts w:cs="Garamond"/>
          <w:sz w:val="20"/>
          <w:szCs w:val="20"/>
        </w:rPr>
        <w:t xml:space="preserve">). </w:t>
      </w:r>
      <w:r w:rsidRPr="00AF4935">
        <w:rPr>
          <w:rFonts w:cs="Garamond"/>
          <w:i/>
          <w:sz w:val="20"/>
          <w:szCs w:val="20"/>
        </w:rPr>
        <w:t xml:space="preserve">Financial Theory and Corporate Policy; </w:t>
      </w:r>
      <w:r w:rsidR="00FC59E1" w:rsidRPr="00AF4935">
        <w:rPr>
          <w:rFonts w:cs="Garamond"/>
          <w:sz w:val="20"/>
          <w:szCs w:val="20"/>
        </w:rPr>
        <w:t>Pearson, 4</w:t>
      </w:r>
      <w:r w:rsidR="00FC59E1" w:rsidRPr="00AF4935">
        <w:rPr>
          <w:rFonts w:cs="Garamond"/>
          <w:sz w:val="20"/>
          <w:szCs w:val="20"/>
          <w:vertAlign w:val="superscript"/>
        </w:rPr>
        <w:t>th</w:t>
      </w:r>
      <w:r w:rsidR="00FC59E1" w:rsidRPr="00AF4935">
        <w:rPr>
          <w:rFonts w:cs="Garamond"/>
          <w:sz w:val="20"/>
          <w:szCs w:val="20"/>
        </w:rPr>
        <w:t xml:space="preserve"> edition, p. 960. </w:t>
      </w:r>
    </w:p>
    <w:p w:rsidR="00BA11E0" w:rsidRPr="00AF4935" w:rsidRDefault="00BA11E0" w:rsidP="00AF4935">
      <w:pPr>
        <w:autoSpaceDE w:val="0"/>
        <w:autoSpaceDN w:val="0"/>
        <w:adjustRightInd w:val="0"/>
        <w:spacing w:line="240" w:lineRule="auto"/>
        <w:rPr>
          <w:rFonts w:cs="Times New Roman"/>
          <w:bCs/>
          <w:sz w:val="20"/>
          <w:szCs w:val="20"/>
        </w:rPr>
      </w:pPr>
      <w:r w:rsidRPr="00AF4935">
        <w:rPr>
          <w:rFonts w:cs="Times New Roman"/>
          <w:sz w:val="20"/>
          <w:szCs w:val="20"/>
        </w:rPr>
        <w:t>Costanza R., d'Arge, R., de Groot R., Farber S., Grasso M., Hannon B., Limburg K.</w:t>
      </w:r>
      <w:r w:rsidR="00354B79" w:rsidRPr="00AF4935">
        <w:rPr>
          <w:rFonts w:cs="Times New Roman"/>
          <w:sz w:val="20"/>
          <w:szCs w:val="20"/>
        </w:rPr>
        <w:t xml:space="preserve">, </w:t>
      </w:r>
      <w:r w:rsidRPr="00AF4935">
        <w:rPr>
          <w:rFonts w:cs="Times New Roman"/>
          <w:sz w:val="20"/>
          <w:szCs w:val="20"/>
        </w:rPr>
        <w:t>Naeem</w:t>
      </w:r>
      <w:r w:rsidR="00354B79" w:rsidRPr="00AF4935">
        <w:rPr>
          <w:rFonts w:cs="Times New Roman"/>
          <w:sz w:val="20"/>
          <w:szCs w:val="20"/>
        </w:rPr>
        <w:t xml:space="preserve"> S.,</w:t>
      </w:r>
      <w:r w:rsidRPr="00AF4935">
        <w:rPr>
          <w:rFonts w:cs="Times New Roman"/>
          <w:sz w:val="20"/>
          <w:szCs w:val="20"/>
        </w:rPr>
        <w:t xml:space="preserve"> O'Neill</w:t>
      </w:r>
      <w:r w:rsidR="00354B79" w:rsidRPr="00AF4935">
        <w:rPr>
          <w:rFonts w:cs="Times New Roman"/>
          <w:sz w:val="20"/>
          <w:szCs w:val="20"/>
        </w:rPr>
        <w:t xml:space="preserve"> R., </w:t>
      </w:r>
      <w:r w:rsidRPr="00AF4935">
        <w:rPr>
          <w:rFonts w:cs="Times New Roman"/>
          <w:sz w:val="20"/>
          <w:szCs w:val="20"/>
        </w:rPr>
        <w:t>Paruelo</w:t>
      </w:r>
      <w:r w:rsidR="00354B79" w:rsidRPr="00AF4935">
        <w:rPr>
          <w:rFonts w:cs="Times New Roman"/>
          <w:sz w:val="20"/>
          <w:szCs w:val="20"/>
        </w:rPr>
        <w:t xml:space="preserve"> J., </w:t>
      </w:r>
      <w:r w:rsidRPr="00AF4935">
        <w:rPr>
          <w:rFonts w:cs="Times New Roman"/>
          <w:sz w:val="20"/>
          <w:szCs w:val="20"/>
        </w:rPr>
        <w:t>Raskin</w:t>
      </w:r>
      <w:r w:rsidR="00354B79" w:rsidRPr="00AF4935">
        <w:rPr>
          <w:rFonts w:cs="Times New Roman"/>
          <w:sz w:val="20"/>
          <w:szCs w:val="20"/>
        </w:rPr>
        <w:t xml:space="preserve"> R., </w:t>
      </w:r>
      <w:r w:rsidRPr="00AF4935">
        <w:rPr>
          <w:rFonts w:cs="Times New Roman"/>
          <w:sz w:val="20"/>
          <w:szCs w:val="20"/>
        </w:rPr>
        <w:t>Sutton</w:t>
      </w:r>
      <w:r w:rsidR="00354B79" w:rsidRPr="00AF4935">
        <w:rPr>
          <w:rFonts w:cs="Times New Roman"/>
          <w:sz w:val="20"/>
          <w:szCs w:val="20"/>
        </w:rPr>
        <w:t xml:space="preserve"> P., &amp;</w:t>
      </w:r>
      <w:r w:rsidRPr="00AF4935">
        <w:rPr>
          <w:rFonts w:cs="Times New Roman"/>
          <w:sz w:val="20"/>
          <w:szCs w:val="20"/>
        </w:rPr>
        <w:t xml:space="preserve">van den Bel </w:t>
      </w:r>
      <w:r w:rsidR="00354B79" w:rsidRPr="00AF4935">
        <w:rPr>
          <w:rFonts w:cs="Times New Roman"/>
          <w:sz w:val="20"/>
          <w:szCs w:val="20"/>
        </w:rPr>
        <w:t xml:space="preserve">M. </w:t>
      </w:r>
      <w:r w:rsidRPr="00AF4935">
        <w:rPr>
          <w:rFonts w:cs="Times New Roman"/>
          <w:sz w:val="20"/>
          <w:szCs w:val="20"/>
        </w:rPr>
        <w:t xml:space="preserve">(1997). </w:t>
      </w:r>
      <w:r w:rsidR="00354B79" w:rsidRPr="00AF4935">
        <w:rPr>
          <w:rFonts w:cs="Times New Roman"/>
          <w:sz w:val="20"/>
          <w:szCs w:val="20"/>
        </w:rPr>
        <w:t>“</w:t>
      </w:r>
      <w:r w:rsidRPr="00AF4935">
        <w:rPr>
          <w:rFonts w:cs="Times New Roman"/>
          <w:bCs/>
          <w:sz w:val="20"/>
          <w:szCs w:val="20"/>
        </w:rPr>
        <w:t>The Value of the World's Ecosystem Services and Natural Capital</w:t>
      </w:r>
      <w:r w:rsidR="00354B79" w:rsidRPr="00AF4935">
        <w:rPr>
          <w:rFonts w:cs="Times New Roman"/>
          <w:bCs/>
          <w:sz w:val="20"/>
          <w:szCs w:val="20"/>
        </w:rPr>
        <w:t xml:space="preserve">”; </w:t>
      </w:r>
      <w:r w:rsidR="00354B79" w:rsidRPr="00AF4935">
        <w:rPr>
          <w:rFonts w:cs="Times New Roman"/>
          <w:bCs/>
          <w:i/>
          <w:sz w:val="20"/>
          <w:szCs w:val="20"/>
        </w:rPr>
        <w:t>The Nature</w:t>
      </w:r>
      <w:r w:rsidR="00354B79" w:rsidRPr="00AF4935">
        <w:rPr>
          <w:rFonts w:cs="Times New Roman"/>
          <w:bCs/>
          <w:sz w:val="20"/>
          <w:szCs w:val="20"/>
        </w:rPr>
        <w:t xml:space="preserve">, Vol 387, </w:t>
      </w:r>
      <w:r w:rsidR="00E64283" w:rsidRPr="00AF4935">
        <w:rPr>
          <w:rFonts w:cs="Times New Roman"/>
          <w:bCs/>
          <w:sz w:val="20"/>
          <w:szCs w:val="20"/>
        </w:rPr>
        <w:t>pp. 253-260</w:t>
      </w:r>
      <w:r w:rsidR="00354B79" w:rsidRPr="00AF4935">
        <w:rPr>
          <w:rFonts w:cs="Times New Roman"/>
          <w:bCs/>
          <w:sz w:val="20"/>
          <w:szCs w:val="20"/>
        </w:rPr>
        <w:t xml:space="preserve">. </w:t>
      </w:r>
    </w:p>
    <w:p w:rsidR="003B03C6" w:rsidRPr="00AF4935" w:rsidRDefault="003B03C6" w:rsidP="00AF4935">
      <w:pPr>
        <w:autoSpaceDE w:val="0"/>
        <w:autoSpaceDN w:val="0"/>
        <w:adjustRightInd w:val="0"/>
        <w:spacing w:line="240" w:lineRule="auto"/>
        <w:rPr>
          <w:rFonts w:cs="Times New Roman"/>
          <w:bCs/>
          <w:sz w:val="20"/>
          <w:szCs w:val="20"/>
        </w:rPr>
      </w:pPr>
      <w:r w:rsidRPr="00AF4935">
        <w:rPr>
          <w:rFonts w:cs="Times New Roman"/>
          <w:bCs/>
          <w:sz w:val="20"/>
          <w:szCs w:val="20"/>
        </w:rPr>
        <w:t>Deloit</w:t>
      </w:r>
      <w:r w:rsidR="00ED3AD8" w:rsidRPr="00AF4935">
        <w:rPr>
          <w:rFonts w:cs="Times New Roman"/>
          <w:bCs/>
          <w:sz w:val="20"/>
          <w:szCs w:val="20"/>
        </w:rPr>
        <w:t>t</w:t>
      </w:r>
      <w:r w:rsidRPr="00AF4935">
        <w:rPr>
          <w:rFonts w:cs="Times New Roman"/>
          <w:bCs/>
          <w:sz w:val="20"/>
          <w:szCs w:val="20"/>
        </w:rPr>
        <w:t xml:space="preserve">e (2018). </w:t>
      </w:r>
      <w:r w:rsidR="00ED3AD8" w:rsidRPr="00AF4935">
        <w:rPr>
          <w:rFonts w:cs="Times New Roman"/>
          <w:bCs/>
          <w:i/>
          <w:sz w:val="20"/>
          <w:szCs w:val="20"/>
        </w:rPr>
        <w:t xml:space="preserve">Elaborat o fer vrijednosti akcija emitenta Rudnik uglja a. d. Pljevlja na dan 28. 03. 2018; </w:t>
      </w:r>
      <w:r w:rsidR="00ED3AD8" w:rsidRPr="00AF4935">
        <w:rPr>
          <w:rFonts w:cs="Times New Roman"/>
          <w:bCs/>
          <w:sz w:val="20"/>
          <w:szCs w:val="20"/>
        </w:rPr>
        <w:t xml:space="preserve">Elektroprivreda Crne Gore, p. 65. </w:t>
      </w:r>
    </w:p>
    <w:p w:rsidR="00035976" w:rsidRPr="00AF4935" w:rsidRDefault="00035976" w:rsidP="00AF4935">
      <w:pPr>
        <w:autoSpaceDE w:val="0"/>
        <w:autoSpaceDN w:val="0"/>
        <w:adjustRightInd w:val="0"/>
        <w:spacing w:line="240" w:lineRule="auto"/>
        <w:rPr>
          <w:rFonts w:cs="Trebuchet MS"/>
          <w:sz w:val="20"/>
          <w:szCs w:val="20"/>
        </w:rPr>
      </w:pPr>
      <w:r w:rsidRPr="00AF4935">
        <w:rPr>
          <w:rFonts w:cs="Trebuchet MS"/>
          <w:sz w:val="20"/>
          <w:szCs w:val="20"/>
        </w:rPr>
        <w:t xml:space="preserve">DEAT (2004). </w:t>
      </w:r>
      <w:r w:rsidRPr="00AF4935">
        <w:rPr>
          <w:rFonts w:cs="Trebuchet MS"/>
          <w:i/>
          <w:sz w:val="20"/>
          <w:szCs w:val="20"/>
        </w:rPr>
        <w:t>Cost Benefit Analysis</w:t>
      </w:r>
      <w:r w:rsidRPr="00AF4935">
        <w:rPr>
          <w:rFonts w:cs="Trebuchet MS"/>
          <w:sz w:val="20"/>
          <w:szCs w:val="20"/>
        </w:rPr>
        <w:t xml:space="preserve">, Integrated Environmental Management, Information Series 8, Department of Environmental Affairs and Tourism (DEAT), Pretoria. </w:t>
      </w:r>
    </w:p>
    <w:p w:rsidR="00035976" w:rsidRPr="00AF4935" w:rsidRDefault="00035976" w:rsidP="00AF4935">
      <w:pPr>
        <w:autoSpaceDE w:val="0"/>
        <w:autoSpaceDN w:val="0"/>
        <w:adjustRightInd w:val="0"/>
        <w:spacing w:line="240" w:lineRule="auto"/>
        <w:rPr>
          <w:sz w:val="20"/>
          <w:szCs w:val="20"/>
        </w:rPr>
      </w:pPr>
      <w:r w:rsidRPr="00AF4935">
        <w:rPr>
          <w:sz w:val="20"/>
          <w:szCs w:val="20"/>
        </w:rPr>
        <w:t xml:space="preserve">Duflo E, and Pande R. (2005). </w:t>
      </w:r>
      <w:r w:rsidR="00095664" w:rsidRPr="00AF4935">
        <w:rPr>
          <w:i/>
          <w:sz w:val="20"/>
          <w:szCs w:val="20"/>
        </w:rPr>
        <w:t>Da</w:t>
      </w:r>
      <w:r w:rsidRPr="00AF4935">
        <w:rPr>
          <w:i/>
          <w:sz w:val="20"/>
          <w:szCs w:val="20"/>
        </w:rPr>
        <w:t>m</w:t>
      </w:r>
      <w:r w:rsidR="00095664" w:rsidRPr="00AF4935">
        <w:rPr>
          <w:i/>
          <w:sz w:val="20"/>
          <w:szCs w:val="20"/>
        </w:rPr>
        <w:t>s</w:t>
      </w:r>
      <w:r w:rsidRPr="00AF4935">
        <w:rPr>
          <w:sz w:val="20"/>
          <w:szCs w:val="20"/>
        </w:rPr>
        <w:t xml:space="preserve">; NBER Working Paper Series, WP 11711, p. 56. </w:t>
      </w:r>
    </w:p>
    <w:p w:rsidR="001E775A" w:rsidRPr="00AF4935" w:rsidRDefault="001E775A" w:rsidP="00AF4935">
      <w:pPr>
        <w:autoSpaceDE w:val="0"/>
        <w:autoSpaceDN w:val="0"/>
        <w:adjustRightInd w:val="0"/>
        <w:spacing w:line="240" w:lineRule="auto"/>
        <w:rPr>
          <w:sz w:val="20"/>
          <w:szCs w:val="20"/>
        </w:rPr>
      </w:pPr>
      <w:r w:rsidRPr="00AF4935">
        <w:rPr>
          <w:sz w:val="20"/>
          <w:szCs w:val="20"/>
        </w:rPr>
        <w:t xml:space="preserve">Džaferović Jasmina (2012). </w:t>
      </w:r>
      <w:r w:rsidRPr="00AF4935">
        <w:rPr>
          <w:i/>
          <w:sz w:val="20"/>
          <w:szCs w:val="20"/>
        </w:rPr>
        <w:t>A Feasibility Study for Small Hydro Power Plant in B&amp;H</w:t>
      </w:r>
      <w:r w:rsidRPr="00AF4935">
        <w:rPr>
          <w:sz w:val="20"/>
          <w:szCs w:val="20"/>
        </w:rPr>
        <w:t xml:space="preserve"> (Master Thesis); School of Economics and Busines, University of Sarajevo and Faculty of Economics, University of Ljubljana, p. 98. </w:t>
      </w:r>
    </w:p>
    <w:p w:rsidR="00C56FE2" w:rsidRPr="00AF4935" w:rsidRDefault="00C56FE2" w:rsidP="00AF4935">
      <w:pPr>
        <w:autoSpaceDE w:val="0"/>
        <w:autoSpaceDN w:val="0"/>
        <w:adjustRightInd w:val="0"/>
        <w:spacing w:line="240" w:lineRule="auto"/>
        <w:rPr>
          <w:sz w:val="20"/>
          <w:szCs w:val="20"/>
        </w:rPr>
      </w:pPr>
      <w:r w:rsidRPr="00AF4935">
        <w:rPr>
          <w:sz w:val="20"/>
          <w:szCs w:val="20"/>
        </w:rPr>
        <w:t xml:space="preserve">EFTEC – Economics for the Environmental Consultancy (2010). </w:t>
      </w:r>
      <w:r w:rsidRPr="00AF4935">
        <w:rPr>
          <w:i/>
          <w:sz w:val="20"/>
          <w:szCs w:val="20"/>
        </w:rPr>
        <w:t xml:space="preserve">Valuing Environmental Impacts: Guidelines for the Use of Value Transfer – </w:t>
      </w:r>
      <w:r w:rsidRPr="00AF4935">
        <w:rPr>
          <w:i/>
          <w:iCs/>
          <w:sz w:val="20"/>
          <w:szCs w:val="20"/>
        </w:rPr>
        <w:t xml:space="preserve">Technical Report: </w:t>
      </w:r>
      <w:r w:rsidRPr="00AF4935">
        <w:rPr>
          <w:sz w:val="20"/>
          <w:szCs w:val="20"/>
        </w:rPr>
        <w:t xml:space="preserve">Department for Environment, Food and Rural Affairs, London, UK, p. 98. </w:t>
      </w:r>
    </w:p>
    <w:p w:rsidR="00427B48" w:rsidRPr="00AF4935" w:rsidRDefault="00427B48" w:rsidP="00AF4935">
      <w:pPr>
        <w:autoSpaceDE w:val="0"/>
        <w:autoSpaceDN w:val="0"/>
        <w:adjustRightInd w:val="0"/>
        <w:spacing w:line="240" w:lineRule="auto"/>
        <w:rPr>
          <w:sz w:val="20"/>
          <w:szCs w:val="20"/>
        </w:rPr>
      </w:pPr>
      <w:r w:rsidRPr="00AF4935">
        <w:rPr>
          <w:sz w:val="20"/>
          <w:szCs w:val="20"/>
        </w:rPr>
        <w:t>EFTEC - Economics for the Environment Consultancy (2010</w:t>
      </w:r>
      <w:r w:rsidR="001404D8" w:rsidRPr="00AF4935">
        <w:rPr>
          <w:sz w:val="20"/>
          <w:szCs w:val="20"/>
        </w:rPr>
        <w:t>a</w:t>
      </w:r>
      <w:r w:rsidRPr="00AF4935">
        <w:rPr>
          <w:sz w:val="20"/>
          <w:szCs w:val="20"/>
        </w:rPr>
        <w:t xml:space="preserve">). </w:t>
      </w:r>
      <w:r w:rsidRPr="00AF4935">
        <w:rPr>
          <w:i/>
          <w:sz w:val="20"/>
          <w:szCs w:val="20"/>
        </w:rPr>
        <w:t xml:space="preserve">Valuing Environmental Impacts: Guidelines for the Use of Value Transfer – </w:t>
      </w:r>
      <w:r w:rsidRPr="00AF4935">
        <w:rPr>
          <w:i/>
          <w:iCs/>
          <w:sz w:val="20"/>
          <w:szCs w:val="20"/>
        </w:rPr>
        <w:t xml:space="preserve">Non Technical Summary; </w:t>
      </w:r>
      <w:r w:rsidRPr="00AF4935">
        <w:rPr>
          <w:sz w:val="20"/>
          <w:szCs w:val="20"/>
        </w:rPr>
        <w:t>Department for Environment, Food and Rural Affairs</w:t>
      </w:r>
      <w:r w:rsidR="00C56FE2" w:rsidRPr="00AF4935">
        <w:rPr>
          <w:sz w:val="20"/>
          <w:szCs w:val="20"/>
        </w:rPr>
        <w:t>, London, UK, p. 7</w:t>
      </w:r>
      <w:r w:rsidRPr="00AF4935">
        <w:rPr>
          <w:sz w:val="20"/>
          <w:szCs w:val="20"/>
        </w:rPr>
        <w:t xml:space="preserve">. </w:t>
      </w:r>
    </w:p>
    <w:p w:rsidR="008A3071" w:rsidRPr="00AF4935" w:rsidRDefault="008A3071" w:rsidP="00AF4935">
      <w:pPr>
        <w:pStyle w:val="Default"/>
        <w:spacing w:after="160"/>
        <w:rPr>
          <w:rFonts w:asciiTheme="minorHAnsi" w:hAnsiTheme="minorHAnsi"/>
          <w:bCs/>
          <w:sz w:val="20"/>
          <w:szCs w:val="20"/>
        </w:rPr>
      </w:pPr>
      <w:r w:rsidRPr="00AF4935">
        <w:rPr>
          <w:rFonts w:asciiTheme="minorHAnsi" w:hAnsiTheme="minorHAnsi"/>
          <w:bCs/>
          <w:sz w:val="20"/>
          <w:szCs w:val="20"/>
        </w:rPr>
        <w:t xml:space="preserve">European Environmental Agency (2016). </w:t>
      </w:r>
      <w:r w:rsidRPr="00AF4935">
        <w:rPr>
          <w:rFonts w:asciiTheme="minorHAnsi" w:hAnsiTheme="minorHAnsi"/>
          <w:bCs/>
          <w:i/>
          <w:sz w:val="20"/>
          <w:szCs w:val="20"/>
        </w:rPr>
        <w:t>Report on phase 1 of the knowledge innovation project on an integrated system of natural capital and ecosystem services accounting in the EU</w:t>
      </w:r>
      <w:r w:rsidRPr="00AF4935">
        <w:rPr>
          <w:rFonts w:asciiTheme="minorHAnsi" w:hAnsiTheme="minorHAnsi"/>
          <w:bCs/>
          <w:sz w:val="20"/>
          <w:szCs w:val="20"/>
        </w:rPr>
        <w:t xml:space="preserve"> (KIP-INCA Phase 1 report), European Commission, pp. 106. </w:t>
      </w:r>
    </w:p>
    <w:p w:rsidR="000C5ABE" w:rsidRPr="00AF4935" w:rsidRDefault="000C5ABE" w:rsidP="00AF4935">
      <w:pPr>
        <w:pStyle w:val="Default"/>
        <w:spacing w:after="160"/>
        <w:rPr>
          <w:rFonts w:asciiTheme="minorHAnsi" w:hAnsiTheme="minorHAnsi"/>
          <w:bCs/>
          <w:color w:val="auto"/>
          <w:sz w:val="20"/>
          <w:szCs w:val="20"/>
        </w:rPr>
      </w:pPr>
      <w:r w:rsidRPr="00AF4935">
        <w:rPr>
          <w:rFonts w:asciiTheme="minorHAnsi" w:hAnsiTheme="minorHAnsi" w:cs="Garamond"/>
          <w:color w:val="auto"/>
          <w:sz w:val="20"/>
          <w:szCs w:val="20"/>
        </w:rPr>
        <w:lastRenderedPageBreak/>
        <w:t xml:space="preserve">Fukuyama, F. (1999). </w:t>
      </w:r>
      <w:r w:rsidRPr="00AF4935">
        <w:rPr>
          <w:rFonts w:asciiTheme="minorHAnsi" w:hAnsiTheme="minorHAnsi" w:cs="Garamond"/>
          <w:i/>
          <w:color w:val="auto"/>
          <w:sz w:val="20"/>
          <w:szCs w:val="20"/>
        </w:rPr>
        <w:t>Social Capital and Civic Society</w:t>
      </w:r>
      <w:r w:rsidRPr="00AF4935">
        <w:rPr>
          <w:rFonts w:asciiTheme="minorHAnsi" w:hAnsiTheme="minorHAnsi" w:cs="Garamond"/>
          <w:color w:val="auto"/>
          <w:sz w:val="20"/>
          <w:szCs w:val="20"/>
        </w:rPr>
        <w:t xml:space="preserve">; The Institute of Public Policy, George Mason University, p. 12. </w:t>
      </w:r>
    </w:p>
    <w:p w:rsidR="00035976" w:rsidRPr="00AF4935" w:rsidRDefault="00035976" w:rsidP="00AF4935">
      <w:pPr>
        <w:autoSpaceDE w:val="0"/>
        <w:autoSpaceDN w:val="0"/>
        <w:adjustRightInd w:val="0"/>
        <w:spacing w:line="240" w:lineRule="auto"/>
        <w:rPr>
          <w:rFonts w:cs="DIN-Regular"/>
          <w:sz w:val="20"/>
          <w:szCs w:val="20"/>
        </w:rPr>
      </w:pPr>
      <w:r w:rsidRPr="00AF4935">
        <w:rPr>
          <w:rFonts w:cs="GillSans"/>
          <w:sz w:val="20"/>
          <w:szCs w:val="20"/>
        </w:rPr>
        <w:t xml:space="preserve">Grutters J. P. C., Kessels A. G., Carmen, Dirksen, C. D., van Helvoort-Postulart D., Anteunis, Manuela L. J., Joore, A. (2008). </w:t>
      </w:r>
      <w:r w:rsidRPr="00AF4935">
        <w:rPr>
          <w:rFonts w:cs="GillSans-Bold"/>
          <w:bCs/>
          <w:sz w:val="20"/>
          <w:szCs w:val="20"/>
        </w:rPr>
        <w:t xml:space="preserve">Willingness to Accept versus Willingness to Pay in a Discrete Choice Experiment; </w:t>
      </w:r>
      <w:r w:rsidRPr="00AF4935">
        <w:rPr>
          <w:rFonts w:cs="GillSans-Bold"/>
          <w:bCs/>
          <w:i/>
          <w:sz w:val="20"/>
          <w:szCs w:val="20"/>
        </w:rPr>
        <w:t>Value in Health</w:t>
      </w:r>
      <w:r w:rsidRPr="00AF4935">
        <w:rPr>
          <w:rFonts w:cs="GillSans-Bold"/>
          <w:bCs/>
          <w:sz w:val="20"/>
          <w:szCs w:val="20"/>
        </w:rPr>
        <w:t xml:space="preserve">; Vol 11, No 7; pp. 1110-1119. </w:t>
      </w:r>
    </w:p>
    <w:p w:rsidR="00000573" w:rsidRPr="00AF4935" w:rsidRDefault="00000573" w:rsidP="00AF4935">
      <w:pPr>
        <w:pStyle w:val="Default"/>
        <w:spacing w:after="160"/>
        <w:rPr>
          <w:rFonts w:asciiTheme="minorHAnsi" w:hAnsiTheme="minorHAnsi" w:cs="Dutch801BT-Roman"/>
          <w:sz w:val="20"/>
          <w:szCs w:val="20"/>
        </w:rPr>
      </w:pPr>
      <w:r w:rsidRPr="00AF4935">
        <w:rPr>
          <w:rFonts w:asciiTheme="minorHAnsi" w:hAnsiTheme="minorHAnsi" w:cs="Dutch801BT-Roman"/>
          <w:sz w:val="20"/>
          <w:szCs w:val="20"/>
        </w:rPr>
        <w:t>Hardin, G. (1968). The Tragedy of the Commons;</w:t>
      </w:r>
      <w:r w:rsidRPr="00AF4935">
        <w:rPr>
          <w:rFonts w:asciiTheme="minorHAnsi" w:hAnsiTheme="minorHAnsi" w:cs="Dutch801BT-Roman"/>
          <w:i/>
          <w:sz w:val="20"/>
          <w:szCs w:val="20"/>
        </w:rPr>
        <w:t xml:space="preserve"> Science</w:t>
      </w:r>
      <w:r w:rsidRPr="00AF4935">
        <w:rPr>
          <w:rFonts w:asciiTheme="minorHAnsi" w:hAnsiTheme="minorHAnsi" w:cs="Dutch801BT-Roman"/>
          <w:sz w:val="20"/>
          <w:szCs w:val="20"/>
        </w:rPr>
        <w:t>, 162 (</w:t>
      </w:r>
      <w:r w:rsidR="00BB0BD9" w:rsidRPr="00AF4935">
        <w:rPr>
          <w:rFonts w:asciiTheme="minorHAnsi" w:hAnsiTheme="minorHAnsi" w:cs="Dutch801BT-Roman"/>
          <w:sz w:val="20"/>
          <w:szCs w:val="20"/>
        </w:rPr>
        <w:t>3859</w:t>
      </w:r>
      <w:r w:rsidRPr="00AF4935">
        <w:rPr>
          <w:rFonts w:asciiTheme="minorHAnsi" w:hAnsiTheme="minorHAnsi" w:cs="Dutch801BT-Roman"/>
          <w:sz w:val="20"/>
          <w:szCs w:val="20"/>
        </w:rPr>
        <w:t xml:space="preserve">), pp. 1243-1248. </w:t>
      </w:r>
    </w:p>
    <w:p w:rsidR="00EF5439" w:rsidRPr="00AF4935" w:rsidRDefault="00EF5439" w:rsidP="00AF4935">
      <w:pPr>
        <w:autoSpaceDE w:val="0"/>
        <w:autoSpaceDN w:val="0"/>
        <w:adjustRightInd w:val="0"/>
        <w:spacing w:line="240" w:lineRule="auto"/>
        <w:rPr>
          <w:rFonts w:cs="DIN-Regular"/>
          <w:sz w:val="20"/>
          <w:szCs w:val="20"/>
        </w:rPr>
      </w:pPr>
      <w:r w:rsidRPr="00AF4935">
        <w:rPr>
          <w:rFonts w:cs="DIN-Regular"/>
          <w:sz w:val="20"/>
          <w:szCs w:val="20"/>
        </w:rPr>
        <w:t xml:space="preserve">Hiller D., Ross S., Westerfield R., Jaffe J., Jordan J. (2010). </w:t>
      </w:r>
      <w:r w:rsidRPr="00AF4935">
        <w:rPr>
          <w:rFonts w:cs="DIN-Regular"/>
          <w:i/>
          <w:sz w:val="20"/>
          <w:szCs w:val="20"/>
        </w:rPr>
        <w:t>Corporate Finance – European Edition</w:t>
      </w:r>
      <w:r w:rsidRPr="00AF4935">
        <w:rPr>
          <w:rFonts w:cs="DIN-Regular"/>
          <w:sz w:val="20"/>
          <w:szCs w:val="20"/>
        </w:rPr>
        <w:t xml:space="preserve">; McGraw Hill. </w:t>
      </w:r>
    </w:p>
    <w:p w:rsidR="00F34127" w:rsidRPr="00AF4935" w:rsidRDefault="00F34127" w:rsidP="00AF4935">
      <w:pPr>
        <w:pStyle w:val="Default"/>
        <w:spacing w:after="160"/>
        <w:rPr>
          <w:rFonts w:asciiTheme="minorHAnsi" w:hAnsiTheme="minorHAnsi" w:cs="Dutch801BT-Roman"/>
          <w:sz w:val="20"/>
          <w:szCs w:val="20"/>
        </w:rPr>
      </w:pPr>
      <w:r w:rsidRPr="00AF4935">
        <w:rPr>
          <w:rFonts w:asciiTheme="minorHAnsi" w:hAnsiTheme="minorHAnsi" w:cs="Dutch801BT-Roman"/>
          <w:sz w:val="20"/>
          <w:szCs w:val="20"/>
        </w:rPr>
        <w:t xml:space="preserve">Horowitz J. K. and McConnell K. E. (2002). </w:t>
      </w:r>
      <w:r w:rsidRPr="00AF4935">
        <w:rPr>
          <w:rFonts w:asciiTheme="minorHAnsi" w:hAnsiTheme="minorHAnsi" w:cs="Swiss721BT-Roman"/>
          <w:sz w:val="20"/>
          <w:szCs w:val="20"/>
        </w:rPr>
        <w:t xml:space="preserve">A Review of WTA / WTP Studies; </w:t>
      </w:r>
      <w:r w:rsidRPr="00AF4935">
        <w:rPr>
          <w:rFonts w:asciiTheme="minorHAnsi" w:hAnsiTheme="minorHAnsi" w:cs="Dutch801BT-Roman"/>
          <w:i/>
          <w:sz w:val="20"/>
          <w:szCs w:val="20"/>
        </w:rPr>
        <w:t>Journal of Environmental Economics and Management</w:t>
      </w:r>
      <w:r w:rsidRPr="00AF4935">
        <w:rPr>
          <w:rFonts w:asciiTheme="minorHAnsi" w:hAnsiTheme="minorHAnsi" w:cs="Dutch801BT-Bold"/>
          <w:bCs/>
          <w:sz w:val="20"/>
          <w:szCs w:val="20"/>
        </w:rPr>
        <w:t>44</w:t>
      </w:r>
      <w:r w:rsidRPr="00AF4935">
        <w:rPr>
          <w:rFonts w:asciiTheme="minorHAnsi" w:hAnsiTheme="minorHAnsi" w:cs="Dutch801BT-Roman"/>
          <w:sz w:val="20"/>
          <w:szCs w:val="20"/>
        </w:rPr>
        <w:t>, pp.  426</w:t>
      </w:r>
      <w:r w:rsidRPr="00AF4935">
        <w:rPr>
          <w:rFonts w:asciiTheme="minorHAnsi" w:hAnsiTheme="minorHAnsi" w:cs="MathematicalPi-One"/>
          <w:sz w:val="20"/>
          <w:szCs w:val="20"/>
        </w:rPr>
        <w:t>-</w:t>
      </w:r>
      <w:r w:rsidRPr="00AF4935">
        <w:rPr>
          <w:rFonts w:asciiTheme="minorHAnsi" w:hAnsiTheme="minorHAnsi" w:cs="Dutch801BT-Roman"/>
          <w:sz w:val="20"/>
          <w:szCs w:val="20"/>
        </w:rPr>
        <w:t xml:space="preserve">447. </w:t>
      </w:r>
    </w:p>
    <w:p w:rsidR="00C302B8" w:rsidRPr="00AF4935" w:rsidRDefault="00C302B8" w:rsidP="00AF4935">
      <w:pPr>
        <w:pStyle w:val="Default"/>
        <w:rPr>
          <w:i/>
          <w:color w:val="auto"/>
          <w:sz w:val="20"/>
          <w:szCs w:val="20"/>
        </w:rPr>
      </w:pPr>
      <w:r w:rsidRPr="00AF4935">
        <w:rPr>
          <w:rFonts w:asciiTheme="minorHAnsi" w:hAnsiTheme="minorHAnsi"/>
          <w:color w:val="auto"/>
          <w:sz w:val="20"/>
          <w:szCs w:val="20"/>
        </w:rPr>
        <w:t xml:space="preserve">Jaipradidtham, C. (2017). Investment cost analysis for electricity generation with renewable energy and measurement of water pressure from weir to water conservation of small hydropower project; </w:t>
      </w:r>
    </w:p>
    <w:p w:rsidR="00C302B8" w:rsidRPr="00AF4935" w:rsidRDefault="00C302B8" w:rsidP="00AF4935">
      <w:pPr>
        <w:pStyle w:val="Default"/>
        <w:spacing w:after="160"/>
        <w:rPr>
          <w:rFonts w:asciiTheme="minorHAnsi" w:hAnsiTheme="minorHAnsi"/>
          <w:color w:val="auto"/>
          <w:sz w:val="20"/>
          <w:szCs w:val="20"/>
        </w:rPr>
      </w:pPr>
      <w:r w:rsidRPr="00AF4935">
        <w:rPr>
          <w:i/>
          <w:color w:val="auto"/>
          <w:sz w:val="20"/>
          <w:szCs w:val="20"/>
        </w:rPr>
        <w:t xml:space="preserve">International Journal of Smart Grid and Clean Energy; </w:t>
      </w:r>
      <w:r w:rsidR="00B33FF4" w:rsidRPr="00AF4935">
        <w:rPr>
          <w:color w:val="auto"/>
          <w:sz w:val="20"/>
          <w:szCs w:val="20"/>
        </w:rPr>
        <w:t xml:space="preserve">Vol 6, No 1, pp. </w:t>
      </w:r>
    </w:p>
    <w:p w:rsidR="001724DB" w:rsidRPr="00AF4935" w:rsidRDefault="001724DB" w:rsidP="00AF4935">
      <w:pPr>
        <w:autoSpaceDE w:val="0"/>
        <w:autoSpaceDN w:val="0"/>
        <w:adjustRightInd w:val="0"/>
        <w:spacing w:line="240" w:lineRule="auto"/>
        <w:rPr>
          <w:iCs/>
          <w:sz w:val="20"/>
          <w:szCs w:val="20"/>
        </w:rPr>
      </w:pPr>
      <w:r w:rsidRPr="00AF4935">
        <w:rPr>
          <w:iCs/>
          <w:sz w:val="20"/>
          <w:szCs w:val="20"/>
        </w:rPr>
        <w:t xml:space="preserve">Krstić Đurica (1979). </w:t>
      </w:r>
      <w:r w:rsidRPr="00AF4935">
        <w:rPr>
          <w:i/>
          <w:iCs/>
          <w:sz w:val="20"/>
          <w:szCs w:val="20"/>
        </w:rPr>
        <w:t>Pravni običaji kod Kuča</w:t>
      </w:r>
      <w:r w:rsidRPr="00AF4935">
        <w:rPr>
          <w:iCs/>
          <w:sz w:val="20"/>
          <w:szCs w:val="20"/>
        </w:rPr>
        <w:t>; Ba</w:t>
      </w:r>
      <w:r w:rsidR="00CE1F74" w:rsidRPr="00AF4935">
        <w:rPr>
          <w:iCs/>
          <w:sz w:val="20"/>
          <w:szCs w:val="20"/>
        </w:rPr>
        <w:t>lkano</w:t>
      </w:r>
      <w:r w:rsidRPr="00AF4935">
        <w:rPr>
          <w:iCs/>
          <w:sz w:val="20"/>
          <w:szCs w:val="20"/>
        </w:rPr>
        <w:t>loški institut, Srpska akademija nauka i umetnosti</w:t>
      </w:r>
      <w:r w:rsidR="00B85591" w:rsidRPr="00AF4935">
        <w:rPr>
          <w:iCs/>
          <w:sz w:val="20"/>
          <w:szCs w:val="20"/>
        </w:rPr>
        <w:t xml:space="preserve">, Beograd, 1979, p. </w:t>
      </w:r>
    </w:p>
    <w:p w:rsidR="00832C48" w:rsidRPr="00AF4935" w:rsidRDefault="00832C48" w:rsidP="00AF4935">
      <w:pPr>
        <w:autoSpaceDE w:val="0"/>
        <w:autoSpaceDN w:val="0"/>
        <w:adjustRightInd w:val="0"/>
        <w:spacing w:line="240" w:lineRule="auto"/>
        <w:rPr>
          <w:i/>
          <w:iCs/>
          <w:sz w:val="20"/>
          <w:szCs w:val="20"/>
        </w:rPr>
      </w:pPr>
      <w:r w:rsidRPr="00AF4935">
        <w:rPr>
          <w:iCs/>
          <w:sz w:val="20"/>
          <w:szCs w:val="20"/>
        </w:rPr>
        <w:t>Ling, M. A., King, S., Mapendembe, A., and Brown, C. (2018).</w:t>
      </w:r>
      <w:r w:rsidRPr="00AF4935">
        <w:rPr>
          <w:i/>
          <w:iCs/>
          <w:sz w:val="20"/>
          <w:szCs w:val="20"/>
        </w:rPr>
        <w:t xml:space="preserve"> A review of ecosystem service va</w:t>
      </w:r>
      <w:r w:rsidR="00410F91" w:rsidRPr="00AF4935">
        <w:rPr>
          <w:i/>
          <w:iCs/>
          <w:sz w:val="20"/>
          <w:szCs w:val="20"/>
        </w:rPr>
        <w:t xml:space="preserve">luation progress and approaches </w:t>
      </w:r>
      <w:r w:rsidRPr="00AF4935">
        <w:rPr>
          <w:i/>
          <w:iCs/>
          <w:sz w:val="20"/>
          <w:szCs w:val="20"/>
        </w:rPr>
        <w:t xml:space="preserve">by the Member States of the European Union. UNEP-WCMC, Cambridge, UK. </w:t>
      </w:r>
    </w:p>
    <w:p w:rsidR="00410F91" w:rsidRPr="00AF4935" w:rsidRDefault="00410F91" w:rsidP="00AF4935">
      <w:pPr>
        <w:autoSpaceDE w:val="0"/>
        <w:autoSpaceDN w:val="0"/>
        <w:adjustRightInd w:val="0"/>
        <w:spacing w:line="240" w:lineRule="auto"/>
        <w:rPr>
          <w:rFonts w:cs="MTSYB"/>
          <w:bCs/>
          <w:color w:val="131313"/>
          <w:sz w:val="20"/>
          <w:szCs w:val="20"/>
        </w:rPr>
      </w:pPr>
      <w:r w:rsidRPr="00AF4935">
        <w:rPr>
          <w:rFonts w:cs="TimesTen-Bold"/>
          <w:bCs/>
          <w:color w:val="131313"/>
          <w:sz w:val="20"/>
          <w:szCs w:val="20"/>
        </w:rPr>
        <w:t xml:space="preserve">MacDonald D. H.,Morrison M. D., andBarnes M. B. (2010). Willingness to Pay and Willingness to Accept Compensation for Changes in Urban Water Customer Service Standards; </w:t>
      </w:r>
      <w:r w:rsidRPr="00AF4935">
        <w:rPr>
          <w:rFonts w:cs="TimesTen-Roman"/>
          <w:i/>
          <w:color w:val="131313"/>
          <w:sz w:val="20"/>
          <w:szCs w:val="20"/>
        </w:rPr>
        <w:t>Water Resour</w:t>
      </w:r>
      <w:r w:rsidR="00233CF6" w:rsidRPr="00AF4935">
        <w:rPr>
          <w:rFonts w:cs="TimesTen-Roman"/>
          <w:i/>
          <w:color w:val="131313"/>
          <w:sz w:val="20"/>
          <w:szCs w:val="20"/>
        </w:rPr>
        <w:t>ce</w:t>
      </w:r>
      <w:r w:rsidRPr="00AF4935">
        <w:rPr>
          <w:rFonts w:cs="TimesTen-Roman"/>
          <w:i/>
          <w:color w:val="131313"/>
          <w:sz w:val="20"/>
          <w:szCs w:val="20"/>
        </w:rPr>
        <w:t xml:space="preserve"> Manage</w:t>
      </w:r>
      <w:r w:rsidR="00B85591" w:rsidRPr="00AF4935">
        <w:rPr>
          <w:rFonts w:cs="TimesTen-Roman"/>
          <w:i/>
          <w:color w:val="131313"/>
          <w:sz w:val="20"/>
          <w:szCs w:val="20"/>
        </w:rPr>
        <w:t>ment</w:t>
      </w:r>
      <w:r w:rsidRPr="00AF4935">
        <w:rPr>
          <w:rFonts w:cs="TimesTen-Roman"/>
          <w:color w:val="131313"/>
          <w:sz w:val="20"/>
          <w:szCs w:val="20"/>
        </w:rPr>
        <w:t xml:space="preserve">, 24; pp. 3145–3158. </w:t>
      </w:r>
    </w:p>
    <w:p w:rsidR="00A77606" w:rsidRPr="00AF4935" w:rsidRDefault="00A77606" w:rsidP="00AF4935">
      <w:pPr>
        <w:autoSpaceDE w:val="0"/>
        <w:autoSpaceDN w:val="0"/>
        <w:adjustRightInd w:val="0"/>
        <w:spacing w:line="240" w:lineRule="auto"/>
        <w:rPr>
          <w:rFonts w:cs="DIN-Regular"/>
          <w:i/>
          <w:sz w:val="20"/>
          <w:szCs w:val="20"/>
        </w:rPr>
      </w:pPr>
      <w:r w:rsidRPr="00AF4935">
        <w:rPr>
          <w:rFonts w:cs="DIN-Regular"/>
          <w:sz w:val="20"/>
          <w:szCs w:val="20"/>
        </w:rPr>
        <w:t xml:space="preserve">McVittie A., Hussain S. S. (2013) </w:t>
      </w:r>
      <w:r w:rsidRPr="00AF4935">
        <w:rPr>
          <w:rFonts w:cs="DIN-Regular"/>
          <w:i/>
          <w:sz w:val="20"/>
          <w:szCs w:val="20"/>
        </w:rPr>
        <w:t>The Economics of Ecosystems and Biodiversity - Valuation DatabaseManual</w:t>
      </w:r>
      <w:r w:rsidR="00C17914" w:rsidRPr="00AF4935">
        <w:rPr>
          <w:rFonts w:cs="DIN-Regular"/>
          <w:i/>
          <w:sz w:val="20"/>
          <w:szCs w:val="20"/>
        </w:rPr>
        <w:t xml:space="preserve">. </w:t>
      </w:r>
    </w:p>
    <w:p w:rsidR="00B85591" w:rsidRPr="00AF4935" w:rsidRDefault="00B85591" w:rsidP="00AF4935">
      <w:pPr>
        <w:autoSpaceDE w:val="0"/>
        <w:autoSpaceDN w:val="0"/>
        <w:adjustRightInd w:val="0"/>
        <w:spacing w:line="240" w:lineRule="auto"/>
        <w:rPr>
          <w:rFonts w:cs="DIN-Regular"/>
          <w:sz w:val="20"/>
          <w:szCs w:val="20"/>
        </w:rPr>
      </w:pPr>
      <w:r w:rsidRPr="00AF4935">
        <w:rPr>
          <w:rFonts w:cs="DIN-Regular"/>
          <w:sz w:val="20"/>
          <w:szCs w:val="20"/>
        </w:rPr>
        <w:t xml:space="preserve">Marković D. Savo (2016). </w:t>
      </w:r>
      <w:r w:rsidRPr="00AF4935">
        <w:rPr>
          <w:rFonts w:cs="DIN-Regular"/>
          <w:i/>
          <w:sz w:val="20"/>
          <w:szCs w:val="20"/>
        </w:rPr>
        <w:t xml:space="preserve">Pravni običaji kod Moračana i Rovčana, </w:t>
      </w:r>
      <w:r w:rsidRPr="00AF4935">
        <w:rPr>
          <w:rFonts w:cs="DIN-Regular"/>
          <w:sz w:val="20"/>
          <w:szCs w:val="20"/>
        </w:rPr>
        <w:t xml:space="preserve">Književna zadruga Srpskog nacionalnog saveta, Podgorica, 2016, p. 451. </w:t>
      </w:r>
    </w:p>
    <w:p w:rsidR="00636584" w:rsidRPr="00AF4935" w:rsidRDefault="00636584" w:rsidP="00AF4935">
      <w:pPr>
        <w:autoSpaceDE w:val="0"/>
        <w:autoSpaceDN w:val="0"/>
        <w:adjustRightInd w:val="0"/>
        <w:spacing w:line="240" w:lineRule="auto"/>
        <w:rPr>
          <w:rFonts w:cs="DIN-Regular"/>
          <w:sz w:val="20"/>
          <w:szCs w:val="20"/>
        </w:rPr>
      </w:pPr>
      <w:r w:rsidRPr="00AF4935">
        <w:rPr>
          <w:rFonts w:cs="Times New Roman"/>
          <w:sz w:val="20"/>
          <w:szCs w:val="20"/>
        </w:rPr>
        <w:t>Mendes C., Nylund J., Annala S., Honkapuro S., Kilkki O., Segerstam</w:t>
      </w:r>
      <w:r w:rsidR="00515467" w:rsidRPr="00AF4935">
        <w:rPr>
          <w:rFonts w:cs="Times New Roman"/>
          <w:sz w:val="20"/>
          <w:szCs w:val="20"/>
        </w:rPr>
        <w:t xml:space="preserve"> J.</w:t>
      </w:r>
      <w:r w:rsidRPr="00AF4935">
        <w:rPr>
          <w:rFonts w:cs="Times New Roman"/>
          <w:sz w:val="20"/>
          <w:szCs w:val="20"/>
        </w:rPr>
        <w:t xml:space="preserve"> (2018). </w:t>
      </w:r>
      <w:r w:rsidR="00515467" w:rsidRPr="00AF4935">
        <w:rPr>
          <w:rFonts w:cs="TimesNewRomanPS-BoldMT"/>
          <w:bCs/>
          <w:sz w:val="20"/>
          <w:szCs w:val="20"/>
        </w:rPr>
        <w:t xml:space="preserve">Local Energy Markets: Opportunities, Benefits, and Barriers; </w:t>
      </w:r>
      <w:r w:rsidR="00515467" w:rsidRPr="00AF4935">
        <w:rPr>
          <w:rFonts w:cs="ArialNarrow"/>
          <w:i/>
          <w:sz w:val="20"/>
          <w:szCs w:val="20"/>
        </w:rPr>
        <w:t>CIRED Workshop - Ljubljana</w:t>
      </w:r>
      <w:r w:rsidR="00515467" w:rsidRPr="00AF4935">
        <w:rPr>
          <w:rFonts w:cs="ArialNarrow"/>
          <w:sz w:val="20"/>
          <w:szCs w:val="20"/>
        </w:rPr>
        <w:t xml:space="preserve">, 7-8 June 2018, Paper No. 0272. </w:t>
      </w:r>
    </w:p>
    <w:p w:rsidR="00FC7D27" w:rsidRPr="00AF4935" w:rsidRDefault="00FC7D27" w:rsidP="00AF4935">
      <w:pPr>
        <w:autoSpaceDE w:val="0"/>
        <w:autoSpaceDN w:val="0"/>
        <w:adjustRightInd w:val="0"/>
        <w:spacing w:line="240" w:lineRule="auto"/>
        <w:rPr>
          <w:rFonts w:cs="DIN-Regular"/>
          <w:sz w:val="20"/>
          <w:szCs w:val="20"/>
        </w:rPr>
      </w:pPr>
      <w:r w:rsidRPr="00AF4935">
        <w:rPr>
          <w:rFonts w:cs="DIN-Regular"/>
          <w:sz w:val="20"/>
          <w:szCs w:val="20"/>
        </w:rPr>
        <w:t xml:space="preserve">Miljevic, Damir (2019). </w:t>
      </w:r>
      <w:r w:rsidRPr="00AF4935">
        <w:rPr>
          <w:rFonts w:cs="DIN-Regular"/>
          <w:i/>
          <w:sz w:val="20"/>
          <w:szCs w:val="20"/>
        </w:rPr>
        <w:t xml:space="preserve">Analiza ekonomske opravdanosti koncesionih naknada i podsticaja za male hidro-elektrane na teritoriji republike Crne Gore (Nacrt); </w:t>
      </w:r>
      <w:r w:rsidRPr="00AF4935">
        <w:rPr>
          <w:rFonts w:cs="DIN-Regular"/>
          <w:sz w:val="20"/>
          <w:szCs w:val="20"/>
        </w:rPr>
        <w:t xml:space="preserve">WWF Adria, Zagreb. </w:t>
      </w:r>
    </w:p>
    <w:p w:rsidR="00434C10" w:rsidRPr="00AF4935" w:rsidRDefault="00434C10" w:rsidP="00AF4935">
      <w:pPr>
        <w:autoSpaceDE w:val="0"/>
        <w:autoSpaceDN w:val="0"/>
        <w:adjustRightInd w:val="0"/>
        <w:spacing w:line="240" w:lineRule="auto"/>
        <w:rPr>
          <w:rFonts w:cs="DIN-Regular"/>
          <w:sz w:val="20"/>
          <w:szCs w:val="20"/>
        </w:rPr>
      </w:pPr>
      <w:r w:rsidRPr="00AF4935">
        <w:rPr>
          <w:rFonts w:cs="DIN-Regular"/>
          <w:sz w:val="20"/>
          <w:szCs w:val="20"/>
        </w:rPr>
        <w:t xml:space="preserve">Miljevic, Damir (2018). </w:t>
      </w:r>
      <w:r w:rsidRPr="00AF4935">
        <w:rPr>
          <w:rFonts w:cs="DIN-Regular"/>
          <w:i/>
          <w:sz w:val="20"/>
          <w:szCs w:val="20"/>
        </w:rPr>
        <w:t xml:space="preserve">Analiza ekonomske opravdanosti koncesionih naknada i podsticaja za male hidro-elektrane na teritoriji Bosne i Hercegovine; </w:t>
      </w:r>
      <w:r w:rsidRPr="00AF4935">
        <w:rPr>
          <w:rFonts w:cs="DIN-Regular"/>
          <w:sz w:val="20"/>
          <w:szCs w:val="20"/>
        </w:rPr>
        <w:t xml:space="preserve">Centar za životnu sredinu, Banja Luka. </w:t>
      </w:r>
    </w:p>
    <w:p w:rsidR="001F1F1D" w:rsidRPr="00AF4935" w:rsidRDefault="001F1F1D" w:rsidP="00AF4935">
      <w:pPr>
        <w:autoSpaceDE w:val="0"/>
        <w:autoSpaceDN w:val="0"/>
        <w:adjustRightInd w:val="0"/>
        <w:spacing w:line="240" w:lineRule="auto"/>
        <w:rPr>
          <w:rFonts w:cs="DIN-Regular"/>
          <w:sz w:val="20"/>
          <w:szCs w:val="20"/>
        </w:rPr>
      </w:pPr>
      <w:r w:rsidRPr="00AF4935">
        <w:rPr>
          <w:rFonts w:cs="DIN-Regular"/>
          <w:sz w:val="20"/>
          <w:szCs w:val="20"/>
        </w:rPr>
        <w:t xml:space="preserve">OECD (1968). </w:t>
      </w:r>
      <w:r w:rsidRPr="00AF4935">
        <w:rPr>
          <w:rFonts w:cs="Calibri"/>
          <w:i/>
          <w:sz w:val="20"/>
          <w:szCs w:val="20"/>
        </w:rPr>
        <w:t>Analiza mogućnosti razvoja zimskog turizma u Jugoslaviji</w:t>
      </w:r>
      <w:r w:rsidRPr="00AF4935">
        <w:rPr>
          <w:rFonts w:cs="Calibri"/>
          <w:sz w:val="20"/>
          <w:szCs w:val="20"/>
        </w:rPr>
        <w:t xml:space="preserve">; Ženeva, 1968. </w:t>
      </w:r>
    </w:p>
    <w:p w:rsidR="00D51073" w:rsidRPr="00AF4935" w:rsidRDefault="00D51073" w:rsidP="00AF4935">
      <w:pPr>
        <w:autoSpaceDE w:val="0"/>
        <w:autoSpaceDN w:val="0"/>
        <w:adjustRightInd w:val="0"/>
        <w:spacing w:line="240" w:lineRule="auto"/>
        <w:rPr>
          <w:sz w:val="20"/>
          <w:szCs w:val="20"/>
        </w:rPr>
      </w:pPr>
      <w:r w:rsidRPr="00AF4935">
        <w:rPr>
          <w:sz w:val="20"/>
          <w:szCs w:val="20"/>
        </w:rPr>
        <w:t xml:space="preserve">Opština Plav (2013). </w:t>
      </w:r>
      <w:r w:rsidRPr="00AF4935">
        <w:rPr>
          <w:i/>
          <w:sz w:val="20"/>
          <w:szCs w:val="20"/>
        </w:rPr>
        <w:t>Strateški plan razvoja opštine Plav 2013-2017</w:t>
      </w:r>
      <w:r w:rsidRPr="00AF4935">
        <w:rPr>
          <w:sz w:val="20"/>
          <w:szCs w:val="20"/>
        </w:rPr>
        <w:t xml:space="preserve">; Plav 2013, p. 103. </w:t>
      </w:r>
    </w:p>
    <w:p w:rsidR="00690CBB" w:rsidRPr="00AF4935" w:rsidRDefault="00690CBB" w:rsidP="00AF4935">
      <w:pPr>
        <w:autoSpaceDE w:val="0"/>
        <w:autoSpaceDN w:val="0"/>
        <w:adjustRightInd w:val="0"/>
        <w:spacing w:line="240" w:lineRule="auto"/>
        <w:rPr>
          <w:rFonts w:cs="Garamond"/>
          <w:sz w:val="20"/>
          <w:szCs w:val="20"/>
        </w:rPr>
      </w:pPr>
      <w:r w:rsidRPr="00AF4935">
        <w:rPr>
          <w:rFonts w:cs="Garamond"/>
          <w:sz w:val="20"/>
          <w:szCs w:val="20"/>
        </w:rPr>
        <w:t xml:space="preserve">Putnam, R.D. (1993). The Prosperous Community; </w:t>
      </w:r>
      <w:r w:rsidRPr="00AF4935">
        <w:rPr>
          <w:rFonts w:cs="Garamond"/>
          <w:i/>
          <w:sz w:val="20"/>
          <w:szCs w:val="20"/>
        </w:rPr>
        <w:t>The American Prospects</w:t>
      </w:r>
      <w:r w:rsidRPr="00AF4935">
        <w:rPr>
          <w:rFonts w:cs="Garamond"/>
          <w:sz w:val="20"/>
          <w:szCs w:val="20"/>
        </w:rPr>
        <w:t>, Volume 4, Issue 13, p. 9.</w:t>
      </w:r>
    </w:p>
    <w:p w:rsidR="00690CBB" w:rsidRPr="00AF4935" w:rsidRDefault="00690CBB" w:rsidP="00AF4935">
      <w:pPr>
        <w:autoSpaceDE w:val="0"/>
        <w:autoSpaceDN w:val="0"/>
        <w:adjustRightInd w:val="0"/>
        <w:spacing w:line="240" w:lineRule="auto"/>
        <w:rPr>
          <w:rFonts w:cs="Garamond"/>
          <w:sz w:val="20"/>
          <w:szCs w:val="20"/>
        </w:rPr>
      </w:pPr>
      <w:r w:rsidRPr="00AF4935">
        <w:rPr>
          <w:rFonts w:cs="Garamond"/>
          <w:sz w:val="20"/>
          <w:szCs w:val="20"/>
        </w:rPr>
        <w:t xml:space="preserve">Putnam, R.D. (1995). Bowling Alone: America’s Declining Social Capital; </w:t>
      </w:r>
      <w:r w:rsidRPr="00AF4935">
        <w:rPr>
          <w:rFonts w:cs="Garamond"/>
          <w:i/>
          <w:sz w:val="20"/>
          <w:szCs w:val="20"/>
        </w:rPr>
        <w:t>Journal of Democracy</w:t>
      </w:r>
      <w:r w:rsidRPr="00AF4935">
        <w:rPr>
          <w:rFonts w:cs="Garamond"/>
          <w:sz w:val="20"/>
          <w:szCs w:val="20"/>
        </w:rPr>
        <w:t>, National Endowment for Democracy, January, p. 12.</w:t>
      </w:r>
    </w:p>
    <w:p w:rsidR="00690CBB" w:rsidRPr="00AF4935" w:rsidRDefault="00690CBB" w:rsidP="00AF4935">
      <w:pPr>
        <w:autoSpaceDE w:val="0"/>
        <w:autoSpaceDN w:val="0"/>
        <w:adjustRightInd w:val="0"/>
        <w:spacing w:line="240" w:lineRule="auto"/>
        <w:rPr>
          <w:sz w:val="20"/>
          <w:szCs w:val="20"/>
        </w:rPr>
      </w:pPr>
      <w:r w:rsidRPr="00AF4935">
        <w:rPr>
          <w:rFonts w:cs="Garamond"/>
          <w:sz w:val="20"/>
          <w:szCs w:val="20"/>
        </w:rPr>
        <w:t xml:space="preserve">Putnam, R.D. (1996). The Strange Disappearance of Civic America; </w:t>
      </w:r>
      <w:r w:rsidRPr="00AF4935">
        <w:rPr>
          <w:rFonts w:cs="Garamond"/>
          <w:i/>
          <w:sz w:val="20"/>
          <w:szCs w:val="20"/>
        </w:rPr>
        <w:t>The American Prospects</w:t>
      </w:r>
      <w:r w:rsidRPr="00AF4935">
        <w:rPr>
          <w:rFonts w:cs="Garamond"/>
          <w:sz w:val="20"/>
          <w:szCs w:val="20"/>
        </w:rPr>
        <w:t xml:space="preserve">, Volume 7, Issue 24, p. 18. </w:t>
      </w:r>
    </w:p>
    <w:p w:rsidR="001323D0" w:rsidRPr="00AF4935" w:rsidRDefault="00B1009D" w:rsidP="00AF4935">
      <w:pPr>
        <w:autoSpaceDE w:val="0"/>
        <w:autoSpaceDN w:val="0"/>
        <w:adjustRightInd w:val="0"/>
        <w:spacing w:line="240" w:lineRule="auto"/>
        <w:rPr>
          <w:rFonts w:cs="DIN-Regular"/>
          <w:sz w:val="20"/>
          <w:szCs w:val="20"/>
        </w:rPr>
      </w:pPr>
      <w:r w:rsidRPr="00AF4935">
        <w:rPr>
          <w:rFonts w:cs="DIN-Regular"/>
          <w:sz w:val="20"/>
          <w:szCs w:val="20"/>
        </w:rPr>
        <w:t>Rifkin, Jere</w:t>
      </w:r>
      <w:r w:rsidR="001323D0" w:rsidRPr="00AF4935">
        <w:rPr>
          <w:rFonts w:cs="DIN-Regular"/>
          <w:sz w:val="20"/>
          <w:szCs w:val="20"/>
        </w:rPr>
        <w:t xml:space="preserve">my (2014). </w:t>
      </w:r>
      <w:r w:rsidR="001323D0" w:rsidRPr="00AF4935">
        <w:rPr>
          <w:rFonts w:cs="DIN-Regular"/>
          <w:i/>
          <w:sz w:val="20"/>
          <w:szCs w:val="20"/>
        </w:rPr>
        <w:t>The Zero Marginal Cost Society</w:t>
      </w:r>
      <w:r w:rsidRPr="00AF4935">
        <w:rPr>
          <w:rFonts w:cs="DIN-Regular"/>
          <w:i/>
          <w:sz w:val="20"/>
          <w:szCs w:val="20"/>
        </w:rPr>
        <w:t>: The Internet of Things, the Collaborative Commons, and the Eclipse of Capitalism</w:t>
      </w:r>
      <w:r w:rsidR="001323D0" w:rsidRPr="00AF4935">
        <w:rPr>
          <w:rFonts w:cs="DIN-Regular"/>
          <w:sz w:val="20"/>
          <w:szCs w:val="20"/>
        </w:rPr>
        <w:t>;</w:t>
      </w:r>
      <w:r w:rsidRPr="00AF4935">
        <w:rPr>
          <w:rFonts w:cs="DIN-Regular"/>
          <w:sz w:val="20"/>
          <w:szCs w:val="20"/>
        </w:rPr>
        <w:t xml:space="preserve"> Pelgrave Macmillan, p. 368. </w:t>
      </w:r>
    </w:p>
    <w:p w:rsidR="00685CF5" w:rsidRPr="00AF4935" w:rsidRDefault="00685CF5" w:rsidP="00AF4935">
      <w:pPr>
        <w:autoSpaceDE w:val="0"/>
        <w:autoSpaceDN w:val="0"/>
        <w:adjustRightInd w:val="0"/>
        <w:spacing w:line="240" w:lineRule="auto"/>
        <w:rPr>
          <w:rFonts w:cs="DIN-Regular"/>
          <w:sz w:val="20"/>
          <w:szCs w:val="20"/>
        </w:rPr>
      </w:pPr>
      <w:r w:rsidRPr="00AF4935">
        <w:rPr>
          <w:rFonts w:cs="DIN-Regular"/>
          <w:sz w:val="20"/>
          <w:szCs w:val="20"/>
        </w:rPr>
        <w:t xml:space="preserve">Santolin A., Gavazzini G., Pavesi G., Ardizzon G., Rossetti A. (2011). Techno-Economcal Methods for the Capacity Sizing of a Smal Hydro Electricity Plant; </w:t>
      </w:r>
      <w:r w:rsidRPr="00AF4935">
        <w:rPr>
          <w:rFonts w:cs="DIN-Regular"/>
          <w:i/>
          <w:sz w:val="20"/>
          <w:szCs w:val="20"/>
        </w:rPr>
        <w:t xml:space="preserve">Energy Conversion and Management; </w:t>
      </w:r>
      <w:r w:rsidR="0078187B" w:rsidRPr="00AF4935">
        <w:rPr>
          <w:rFonts w:cs="DIN-Regular"/>
          <w:sz w:val="20"/>
          <w:szCs w:val="20"/>
        </w:rPr>
        <w:t>No 52, pp.</w:t>
      </w:r>
      <w:r w:rsidRPr="00AF4935">
        <w:rPr>
          <w:rFonts w:cs="DIN-Regular"/>
          <w:sz w:val="20"/>
          <w:szCs w:val="20"/>
        </w:rPr>
        <w:t>2</w:t>
      </w:r>
      <w:r w:rsidR="0078187B" w:rsidRPr="00AF4935">
        <w:rPr>
          <w:rFonts w:cs="DIN-Regular"/>
          <w:sz w:val="20"/>
          <w:szCs w:val="20"/>
        </w:rPr>
        <w:t>5</w:t>
      </w:r>
      <w:r w:rsidRPr="00AF4935">
        <w:rPr>
          <w:rFonts w:cs="DIN-Regular"/>
          <w:sz w:val="20"/>
          <w:szCs w:val="20"/>
        </w:rPr>
        <w:t>33-</w:t>
      </w:r>
      <w:r w:rsidR="0078187B" w:rsidRPr="00AF4935">
        <w:rPr>
          <w:rFonts w:cs="DIN-Regular"/>
          <w:sz w:val="20"/>
          <w:szCs w:val="20"/>
        </w:rPr>
        <w:t xml:space="preserve">2541. </w:t>
      </w:r>
    </w:p>
    <w:p w:rsidR="00961E31" w:rsidRPr="00AF4935" w:rsidRDefault="00961E31" w:rsidP="00AF4935">
      <w:pPr>
        <w:autoSpaceDE w:val="0"/>
        <w:autoSpaceDN w:val="0"/>
        <w:adjustRightInd w:val="0"/>
        <w:spacing w:line="240" w:lineRule="auto"/>
        <w:rPr>
          <w:rFonts w:eastAsia="TimesNewRoman,Bold" w:cs="Times New Roman"/>
          <w:sz w:val="20"/>
          <w:szCs w:val="20"/>
        </w:rPr>
      </w:pPr>
      <w:r w:rsidRPr="00AF4935">
        <w:rPr>
          <w:rFonts w:cs="DIN-Regular"/>
          <w:sz w:val="20"/>
          <w:szCs w:val="20"/>
        </w:rPr>
        <w:t xml:space="preserve">SISTEM (2012). </w:t>
      </w:r>
      <w:r w:rsidRPr="00AF4935">
        <w:rPr>
          <w:rFonts w:eastAsia="TimesNewRoman,Bold" w:cs="TimesNewRoman,Bold"/>
          <w:bCs/>
          <w:i/>
          <w:sz w:val="20"/>
          <w:szCs w:val="20"/>
        </w:rPr>
        <w:t>Elaborat o procjeni uticaja na životnu sredinu mHE Jara</w:t>
      </w:r>
      <w:r w:rsidRPr="00AF4935">
        <w:rPr>
          <w:rFonts w:eastAsia="TimesNewRoman,Bold" w:cs="Times New Roman"/>
          <w:sz w:val="20"/>
          <w:szCs w:val="20"/>
        </w:rPr>
        <w:t xml:space="preserve">; Podgorica, p. 163. </w:t>
      </w:r>
    </w:p>
    <w:p w:rsidR="00961E31" w:rsidRPr="00AF4935" w:rsidRDefault="00961E31" w:rsidP="00AF4935">
      <w:pPr>
        <w:autoSpaceDE w:val="0"/>
        <w:autoSpaceDN w:val="0"/>
        <w:adjustRightInd w:val="0"/>
        <w:spacing w:line="240" w:lineRule="auto"/>
        <w:rPr>
          <w:rFonts w:eastAsia="TimesNewRoman,Bold" w:cs="Times New Roman"/>
          <w:sz w:val="20"/>
          <w:szCs w:val="20"/>
        </w:rPr>
      </w:pPr>
      <w:r w:rsidRPr="00AF4935">
        <w:rPr>
          <w:rFonts w:cs="DIN-Regular"/>
          <w:sz w:val="20"/>
          <w:szCs w:val="20"/>
        </w:rPr>
        <w:lastRenderedPageBreak/>
        <w:t xml:space="preserve">SISTEM (2013). </w:t>
      </w:r>
      <w:r w:rsidRPr="00AF4935">
        <w:rPr>
          <w:rFonts w:eastAsia="TimesNewRoman,Bold" w:cs="TimesNewRoman,Bold"/>
          <w:bCs/>
          <w:i/>
          <w:sz w:val="20"/>
          <w:szCs w:val="20"/>
        </w:rPr>
        <w:t>Elaborat o procjeni uticaja na životnu sredinu mHE Babino Polje</w:t>
      </w:r>
      <w:r w:rsidRPr="00AF4935">
        <w:rPr>
          <w:rFonts w:eastAsia="TimesNewRoman,Bold" w:cs="Times New Roman"/>
          <w:sz w:val="20"/>
          <w:szCs w:val="20"/>
        </w:rPr>
        <w:t xml:space="preserve">; Podgorica, p. 182. </w:t>
      </w:r>
    </w:p>
    <w:p w:rsidR="00E1309F" w:rsidRPr="00AF4935" w:rsidRDefault="00E1309F" w:rsidP="00AF4935">
      <w:pPr>
        <w:autoSpaceDE w:val="0"/>
        <w:autoSpaceDN w:val="0"/>
        <w:adjustRightInd w:val="0"/>
        <w:spacing w:line="240" w:lineRule="auto"/>
        <w:rPr>
          <w:i/>
          <w:sz w:val="20"/>
          <w:szCs w:val="20"/>
        </w:rPr>
      </w:pPr>
      <w:r w:rsidRPr="00AF4935">
        <w:rPr>
          <w:sz w:val="20"/>
          <w:szCs w:val="20"/>
        </w:rPr>
        <w:t xml:space="preserve">Sumaila U. R., Pitcher T. J., Haggan N., and Jones R. (2000). Evaluating the Benefits from Restored Ecosystems: A Back to the Future Approach; </w:t>
      </w:r>
      <w:r w:rsidRPr="00AF4935">
        <w:rPr>
          <w:i/>
          <w:sz w:val="20"/>
          <w:szCs w:val="20"/>
        </w:rPr>
        <w:t xml:space="preserve">IIFET 2000 Proceedings. </w:t>
      </w:r>
    </w:p>
    <w:p w:rsidR="004F29A1" w:rsidRPr="00AF4935" w:rsidRDefault="004F29A1" w:rsidP="00AF4935">
      <w:pPr>
        <w:autoSpaceDE w:val="0"/>
        <w:autoSpaceDN w:val="0"/>
        <w:adjustRightInd w:val="0"/>
        <w:spacing w:line="240" w:lineRule="auto"/>
        <w:rPr>
          <w:rFonts w:cs="Georgia,Italic"/>
          <w:i/>
          <w:iCs/>
          <w:sz w:val="20"/>
          <w:szCs w:val="20"/>
        </w:rPr>
      </w:pPr>
      <w:r w:rsidRPr="00AF4935">
        <w:rPr>
          <w:sz w:val="20"/>
          <w:szCs w:val="20"/>
        </w:rPr>
        <w:t xml:space="preserve">Sumaila U. R. (1996). </w:t>
      </w:r>
      <w:r w:rsidRPr="00AF4935">
        <w:rPr>
          <w:rFonts w:cs="Georgia,Bold"/>
          <w:bCs/>
          <w:sz w:val="20"/>
          <w:szCs w:val="20"/>
        </w:rPr>
        <w:t xml:space="preserve">Generational Cost Benefit Analysis for Evaluating Marine Ecosystem Restoration; </w:t>
      </w:r>
      <w:r w:rsidRPr="00AF4935">
        <w:rPr>
          <w:rFonts w:cs="Georgia,Italic"/>
          <w:i/>
          <w:iCs/>
          <w:sz w:val="20"/>
          <w:szCs w:val="20"/>
        </w:rPr>
        <w:t xml:space="preserve">Sea Around Us: North Atlantic. </w:t>
      </w:r>
    </w:p>
    <w:p w:rsidR="00B33FF4" w:rsidRPr="00AF4935" w:rsidRDefault="00B33FF4" w:rsidP="00AF4935">
      <w:pPr>
        <w:autoSpaceDE w:val="0"/>
        <w:autoSpaceDN w:val="0"/>
        <w:adjustRightInd w:val="0"/>
        <w:spacing w:line="240" w:lineRule="auto"/>
        <w:rPr>
          <w:rFonts w:cs="AGaramondPro-Regular"/>
          <w:sz w:val="20"/>
          <w:szCs w:val="20"/>
        </w:rPr>
      </w:pPr>
      <w:r w:rsidRPr="00AF4935">
        <w:rPr>
          <w:rFonts w:cs="Georgia,Italic"/>
          <w:iCs/>
          <w:sz w:val="20"/>
          <w:szCs w:val="20"/>
        </w:rPr>
        <w:t>Stiglitz, J. (</w:t>
      </w:r>
      <w:r w:rsidR="00F31605" w:rsidRPr="00AF4935">
        <w:rPr>
          <w:rFonts w:cs="Georgia,Italic"/>
          <w:iCs/>
          <w:sz w:val="20"/>
          <w:szCs w:val="20"/>
        </w:rPr>
        <w:t>2000</w:t>
      </w:r>
      <w:r w:rsidRPr="00AF4935">
        <w:rPr>
          <w:rFonts w:cs="Georgia,Italic"/>
          <w:iCs/>
          <w:sz w:val="20"/>
          <w:szCs w:val="20"/>
        </w:rPr>
        <w:t xml:space="preserve">). </w:t>
      </w:r>
      <w:r w:rsidRPr="00AF4935">
        <w:rPr>
          <w:rFonts w:cs="Georgia,Italic"/>
          <w:i/>
          <w:iCs/>
          <w:sz w:val="20"/>
          <w:szCs w:val="20"/>
        </w:rPr>
        <w:t xml:space="preserve">Economics of </w:t>
      </w:r>
      <w:r w:rsidR="00F31605" w:rsidRPr="00AF4935">
        <w:rPr>
          <w:rFonts w:cs="Georgia,Italic"/>
          <w:i/>
          <w:iCs/>
          <w:sz w:val="20"/>
          <w:szCs w:val="20"/>
        </w:rPr>
        <w:t>the Public Sector,3</w:t>
      </w:r>
      <w:r w:rsidR="00F31605" w:rsidRPr="00AF4935">
        <w:rPr>
          <w:rFonts w:cs="Georgia,Italic"/>
          <w:i/>
          <w:iCs/>
          <w:sz w:val="20"/>
          <w:szCs w:val="20"/>
          <w:vertAlign w:val="superscript"/>
        </w:rPr>
        <w:t>rd</w:t>
      </w:r>
      <w:r w:rsidR="00F31605" w:rsidRPr="00AF4935">
        <w:rPr>
          <w:rFonts w:cs="Georgia,Italic"/>
          <w:i/>
          <w:iCs/>
          <w:sz w:val="20"/>
          <w:szCs w:val="20"/>
        </w:rPr>
        <w:t xml:space="preserve"> edition</w:t>
      </w:r>
      <w:r w:rsidR="00F31605" w:rsidRPr="00AF4935">
        <w:rPr>
          <w:rFonts w:cs="Georgia,Italic"/>
          <w:iCs/>
          <w:sz w:val="20"/>
          <w:szCs w:val="20"/>
        </w:rPr>
        <w:t xml:space="preserve">; </w:t>
      </w:r>
      <w:r w:rsidR="00F31605" w:rsidRPr="00AF4935">
        <w:rPr>
          <w:rFonts w:cs="Arial"/>
          <w:sz w:val="20"/>
          <w:szCs w:val="20"/>
          <w:shd w:val="clear" w:color="auto" w:fill="FFFFFF"/>
        </w:rPr>
        <w:t xml:space="preserve">W. W. Norton &amp; Company; Third edition, p. 848. </w:t>
      </w:r>
    </w:p>
    <w:p w:rsidR="00422BF1" w:rsidRPr="00AF4935" w:rsidRDefault="00422BF1" w:rsidP="00AF4935">
      <w:pPr>
        <w:autoSpaceDE w:val="0"/>
        <w:autoSpaceDN w:val="0"/>
        <w:adjustRightInd w:val="0"/>
        <w:spacing w:line="240" w:lineRule="auto"/>
        <w:rPr>
          <w:rFonts w:cs="MyriadPro-SemiboldSemiCn"/>
          <w:sz w:val="20"/>
          <w:szCs w:val="20"/>
        </w:rPr>
      </w:pPr>
      <w:r w:rsidRPr="00AF4935">
        <w:rPr>
          <w:rFonts w:cs="AGaramondPro-Regular"/>
          <w:sz w:val="20"/>
          <w:szCs w:val="20"/>
        </w:rPr>
        <w:t xml:space="preserve">UN (2012). </w:t>
      </w:r>
      <w:r w:rsidRPr="00AF4935">
        <w:rPr>
          <w:rFonts w:cs="MyriadPro-SemiboldSemiCn"/>
          <w:i/>
          <w:sz w:val="20"/>
          <w:szCs w:val="20"/>
        </w:rPr>
        <w:t xml:space="preserve">System of Environmental-Economic Accounting for Water, </w:t>
      </w:r>
      <w:r w:rsidRPr="00AF4935">
        <w:rPr>
          <w:rFonts w:cs="MyriadPro-SemiboldSemiCn"/>
          <w:sz w:val="20"/>
          <w:szCs w:val="20"/>
        </w:rPr>
        <w:t xml:space="preserve">Department of Economic and Social Affairs, Statistics Division. </w:t>
      </w:r>
    </w:p>
    <w:p w:rsidR="00832C48" w:rsidRPr="00AF4935" w:rsidRDefault="00832C48" w:rsidP="00AF4935">
      <w:pPr>
        <w:autoSpaceDE w:val="0"/>
        <w:autoSpaceDN w:val="0"/>
        <w:adjustRightInd w:val="0"/>
        <w:spacing w:line="240" w:lineRule="auto"/>
        <w:rPr>
          <w:rFonts w:cs="MyriadPro-SemiboldSemiCn"/>
          <w:sz w:val="20"/>
          <w:szCs w:val="20"/>
        </w:rPr>
      </w:pPr>
      <w:r w:rsidRPr="00AF4935">
        <w:rPr>
          <w:rFonts w:cs="AGaramondPro-Regular"/>
          <w:sz w:val="20"/>
          <w:szCs w:val="20"/>
        </w:rPr>
        <w:t>UN (2019).</w:t>
      </w:r>
      <w:r w:rsidRPr="00AF4935">
        <w:rPr>
          <w:rFonts w:cs="MyriadPro-SemiboldSemiCn"/>
          <w:i/>
          <w:sz w:val="20"/>
          <w:szCs w:val="20"/>
        </w:rPr>
        <w:t xml:space="preserve">System of Environmental-Economic Accounting for Energy, </w:t>
      </w:r>
      <w:r w:rsidRPr="00AF4935">
        <w:rPr>
          <w:rFonts w:cs="MyriadPro-SemiboldSemiCn"/>
          <w:sz w:val="20"/>
          <w:szCs w:val="20"/>
        </w:rPr>
        <w:t xml:space="preserve">Department of Economic and Social Affairs, Statistics Division. </w:t>
      </w:r>
    </w:p>
    <w:p w:rsidR="00CD5D8E" w:rsidRPr="00AF4935" w:rsidRDefault="00CD5D8E" w:rsidP="00AF4935">
      <w:pPr>
        <w:autoSpaceDE w:val="0"/>
        <w:autoSpaceDN w:val="0"/>
        <w:adjustRightInd w:val="0"/>
        <w:spacing w:line="240" w:lineRule="auto"/>
        <w:rPr>
          <w:rFonts w:cs="AGaramondPro-Regular"/>
          <w:i/>
          <w:sz w:val="20"/>
          <w:szCs w:val="20"/>
        </w:rPr>
      </w:pPr>
      <w:r w:rsidRPr="00AF4935">
        <w:rPr>
          <w:rFonts w:cs="AGaramondPro-Regular"/>
          <w:sz w:val="20"/>
          <w:szCs w:val="20"/>
        </w:rPr>
        <w:t xml:space="preserve">UN, EU, FAO, IMF, OECD, WB (2014). </w:t>
      </w:r>
      <w:r w:rsidRPr="00AF4935">
        <w:rPr>
          <w:rFonts w:cs="MyriadPro-SemiboldSemiCn"/>
          <w:i/>
          <w:sz w:val="20"/>
          <w:szCs w:val="20"/>
        </w:rPr>
        <w:t>System of Environmental-Economic Accounting 2012—Central Framework</w:t>
      </w:r>
      <w:r w:rsidR="00AF01BD" w:rsidRPr="00AF4935">
        <w:rPr>
          <w:rFonts w:cs="MyriadPro-SemiboldSemiCn"/>
          <w:i/>
          <w:sz w:val="20"/>
          <w:szCs w:val="20"/>
        </w:rPr>
        <w:t>.</w:t>
      </w:r>
    </w:p>
    <w:p w:rsidR="007879C9" w:rsidRPr="00AF4935" w:rsidRDefault="00187A1C" w:rsidP="00AF4935">
      <w:pPr>
        <w:autoSpaceDE w:val="0"/>
        <w:autoSpaceDN w:val="0"/>
        <w:adjustRightInd w:val="0"/>
        <w:spacing w:line="240" w:lineRule="auto"/>
        <w:rPr>
          <w:rFonts w:cs="MyriadPro-SemiboldSemiCn"/>
          <w:sz w:val="20"/>
          <w:szCs w:val="20"/>
        </w:rPr>
      </w:pPr>
      <w:r w:rsidRPr="00AF4935">
        <w:rPr>
          <w:rFonts w:cs="AGaramondPro-Regular"/>
          <w:sz w:val="20"/>
          <w:szCs w:val="20"/>
        </w:rPr>
        <w:t xml:space="preserve">UN, EU, FAO, IMF, OECD, WB (2014a). </w:t>
      </w:r>
      <w:r w:rsidRPr="00AF4935">
        <w:rPr>
          <w:rFonts w:cs="MyriadPro-SemiboldSemiCn"/>
          <w:i/>
          <w:sz w:val="20"/>
          <w:szCs w:val="20"/>
        </w:rPr>
        <w:t>System of Environmental-Economic Accounting 2012—Experimental Ecosystem Accounting</w:t>
      </w:r>
      <w:r w:rsidR="00AF01BD" w:rsidRPr="00AF4935">
        <w:rPr>
          <w:rFonts w:cs="MyriadPro-SemiboldSemiCn"/>
          <w:i/>
          <w:sz w:val="20"/>
          <w:szCs w:val="20"/>
        </w:rPr>
        <w:t>.</w:t>
      </w:r>
    </w:p>
    <w:p w:rsidR="00187A1C" w:rsidRPr="00AF4935" w:rsidRDefault="00187A1C" w:rsidP="00AF4935">
      <w:pPr>
        <w:autoSpaceDE w:val="0"/>
        <w:autoSpaceDN w:val="0"/>
        <w:adjustRightInd w:val="0"/>
        <w:spacing w:line="240" w:lineRule="auto"/>
        <w:rPr>
          <w:rFonts w:cs="MyriadPro-SemiboldSemiCn"/>
          <w:i/>
          <w:sz w:val="20"/>
          <w:szCs w:val="20"/>
        </w:rPr>
      </w:pPr>
      <w:r w:rsidRPr="00AF4935">
        <w:rPr>
          <w:rFonts w:cs="AGaramondPro-Regular"/>
          <w:sz w:val="20"/>
          <w:szCs w:val="20"/>
        </w:rPr>
        <w:t xml:space="preserve">UN, EU, FAO, IMF, OECD, WB (2014b). </w:t>
      </w:r>
      <w:r w:rsidR="003A3495" w:rsidRPr="00AF4935">
        <w:rPr>
          <w:rFonts w:cs="MyriadPro-SemiboldSemiCn"/>
          <w:i/>
          <w:sz w:val="20"/>
          <w:szCs w:val="20"/>
        </w:rPr>
        <w:t>System ofEnvironmental-EconomicAccounting 2012—Applications and Extensions</w:t>
      </w:r>
      <w:r w:rsidR="00AF01BD" w:rsidRPr="00AF4935">
        <w:rPr>
          <w:rFonts w:cs="MyriadPro-SemiboldSemiCn"/>
          <w:i/>
          <w:sz w:val="20"/>
          <w:szCs w:val="20"/>
        </w:rPr>
        <w:t xml:space="preserve">. </w:t>
      </w:r>
    </w:p>
    <w:p w:rsidR="00016C06" w:rsidRPr="00AF4935" w:rsidRDefault="00016C06" w:rsidP="00AF4935">
      <w:pPr>
        <w:autoSpaceDE w:val="0"/>
        <w:autoSpaceDN w:val="0"/>
        <w:adjustRightInd w:val="0"/>
        <w:spacing w:line="240" w:lineRule="auto"/>
        <w:rPr>
          <w:rFonts w:cs="MyriadPro-SemiboldSemiCn"/>
          <w:i/>
          <w:sz w:val="20"/>
          <w:szCs w:val="20"/>
        </w:rPr>
      </w:pPr>
      <w:r w:rsidRPr="00AF4935">
        <w:rPr>
          <w:rFonts w:cs="AGaramondPro-Regular"/>
          <w:sz w:val="20"/>
          <w:szCs w:val="20"/>
        </w:rPr>
        <w:t xml:space="preserve">UN, EU, FAO, IMF, OECD, WB (2014c). </w:t>
      </w:r>
      <w:r w:rsidRPr="00AF4935">
        <w:rPr>
          <w:rFonts w:cs="AGaramondPro-Regular"/>
          <w:i/>
          <w:sz w:val="20"/>
          <w:szCs w:val="20"/>
        </w:rPr>
        <w:t xml:space="preserve">Technical Recommendation in Support of the System of </w:t>
      </w:r>
      <w:r w:rsidRPr="00AF4935">
        <w:rPr>
          <w:rFonts w:cs="MyriadPro-SemiboldSemiCn"/>
          <w:i/>
          <w:sz w:val="20"/>
          <w:szCs w:val="20"/>
        </w:rPr>
        <w:t xml:space="preserve">Environmental-Economic Accounting 2012. </w:t>
      </w:r>
    </w:p>
    <w:p w:rsidR="00B2479F" w:rsidRPr="00AF4935" w:rsidRDefault="00B2479F" w:rsidP="00AF4935">
      <w:pPr>
        <w:autoSpaceDE w:val="0"/>
        <w:autoSpaceDN w:val="0"/>
        <w:adjustRightInd w:val="0"/>
        <w:spacing w:line="240" w:lineRule="auto"/>
        <w:rPr>
          <w:rFonts w:cs="Arial"/>
          <w:sz w:val="20"/>
          <w:szCs w:val="20"/>
        </w:rPr>
      </w:pPr>
      <w:r w:rsidRPr="00AF4935">
        <w:rPr>
          <w:rFonts w:cs="Arial"/>
          <w:i/>
          <w:sz w:val="20"/>
          <w:szCs w:val="20"/>
        </w:rPr>
        <w:t>Uredba o naknadi za podsticanje proizvodnje električne energije iz obnovljivih izvora i visokoefikasne kogeneracije</w:t>
      </w:r>
      <w:r w:rsidRPr="00AF4935">
        <w:rPr>
          <w:rFonts w:cs="Arial"/>
          <w:sz w:val="20"/>
          <w:szCs w:val="20"/>
        </w:rPr>
        <w:t xml:space="preserve"> (2016, 2017). Službeni List Crne Gore </w:t>
      </w:r>
      <w:r w:rsidR="00376AA3" w:rsidRPr="00AF4935">
        <w:rPr>
          <w:rFonts w:cs="Arial"/>
          <w:sz w:val="20"/>
          <w:szCs w:val="20"/>
        </w:rPr>
        <w:t xml:space="preserve">33 / </w:t>
      </w:r>
      <w:r w:rsidRPr="00AF4935">
        <w:rPr>
          <w:rFonts w:cs="Arial"/>
          <w:sz w:val="20"/>
          <w:szCs w:val="20"/>
        </w:rPr>
        <w:t xml:space="preserve">2016, Službeni list Crne Gore </w:t>
      </w:r>
      <w:r w:rsidR="00376AA3" w:rsidRPr="00AF4935">
        <w:rPr>
          <w:rFonts w:cs="Arial"/>
          <w:sz w:val="20"/>
          <w:szCs w:val="20"/>
        </w:rPr>
        <w:t xml:space="preserve">3 / </w:t>
      </w:r>
      <w:r w:rsidRPr="00AF4935">
        <w:rPr>
          <w:rFonts w:cs="Arial"/>
          <w:sz w:val="20"/>
          <w:szCs w:val="20"/>
        </w:rPr>
        <w:t xml:space="preserve">2017. </w:t>
      </w:r>
    </w:p>
    <w:p w:rsidR="00376AA3" w:rsidRPr="00AF4935" w:rsidRDefault="00376AA3" w:rsidP="00AF4935">
      <w:pPr>
        <w:autoSpaceDE w:val="0"/>
        <w:autoSpaceDN w:val="0"/>
        <w:adjustRightInd w:val="0"/>
        <w:spacing w:line="240" w:lineRule="auto"/>
        <w:rPr>
          <w:rFonts w:cs="MyriadPro-SemiboldSemiCn"/>
          <w:i/>
          <w:sz w:val="20"/>
          <w:szCs w:val="20"/>
        </w:rPr>
      </w:pPr>
      <w:r w:rsidRPr="00AF4935">
        <w:rPr>
          <w:rFonts w:cs="Arial"/>
          <w:bCs/>
          <w:i/>
          <w:color w:val="000000"/>
          <w:sz w:val="20"/>
          <w:szCs w:val="20"/>
        </w:rPr>
        <w:t xml:space="preserve">Uredba o tarifnom sistemu za utvrđivanje podsticajne cijene električne energije i visoko efikasne kogeneracije </w:t>
      </w:r>
      <w:r w:rsidRPr="00AF4935">
        <w:rPr>
          <w:rFonts w:cs="Arial"/>
          <w:bCs/>
          <w:color w:val="000000"/>
          <w:sz w:val="20"/>
          <w:szCs w:val="20"/>
        </w:rPr>
        <w:t xml:space="preserve">(2011. 2014, 2015). Službeni list Crne Gore </w:t>
      </w:r>
      <w:r w:rsidR="002B6765" w:rsidRPr="00AF4935">
        <w:rPr>
          <w:rFonts w:cs="Arial"/>
          <w:bCs/>
          <w:color w:val="000000"/>
          <w:sz w:val="20"/>
          <w:szCs w:val="20"/>
        </w:rPr>
        <w:t xml:space="preserve">52 / </w:t>
      </w:r>
      <w:r w:rsidRPr="00AF4935">
        <w:rPr>
          <w:rFonts w:cs="Arial"/>
          <w:bCs/>
          <w:color w:val="000000"/>
          <w:sz w:val="20"/>
          <w:szCs w:val="20"/>
        </w:rPr>
        <w:t xml:space="preserve">2011, Službeni list Crne Gore </w:t>
      </w:r>
      <w:r w:rsidR="002B6765" w:rsidRPr="00AF4935">
        <w:rPr>
          <w:rFonts w:cs="Arial"/>
          <w:bCs/>
          <w:color w:val="000000"/>
          <w:sz w:val="20"/>
          <w:szCs w:val="20"/>
        </w:rPr>
        <w:t xml:space="preserve">28 / </w:t>
      </w:r>
      <w:r w:rsidRPr="00AF4935">
        <w:rPr>
          <w:rFonts w:cs="Arial"/>
          <w:bCs/>
          <w:color w:val="000000"/>
          <w:sz w:val="20"/>
          <w:szCs w:val="20"/>
        </w:rPr>
        <w:t xml:space="preserve">2014, </w:t>
      </w:r>
      <w:r w:rsidR="00A75AC5" w:rsidRPr="00AF4935">
        <w:rPr>
          <w:rFonts w:cs="Arial"/>
          <w:bCs/>
          <w:color w:val="000000"/>
          <w:sz w:val="20"/>
          <w:szCs w:val="20"/>
        </w:rPr>
        <w:t xml:space="preserve">Službeni list Crne Gore </w:t>
      </w:r>
      <w:r w:rsidR="002B6765" w:rsidRPr="00AF4935">
        <w:rPr>
          <w:rFonts w:cs="Arial"/>
          <w:bCs/>
          <w:color w:val="000000"/>
          <w:sz w:val="20"/>
          <w:szCs w:val="20"/>
        </w:rPr>
        <w:t xml:space="preserve">79 / </w:t>
      </w:r>
      <w:r w:rsidR="00A75AC5" w:rsidRPr="00AF4935">
        <w:rPr>
          <w:rFonts w:cs="Arial"/>
          <w:bCs/>
          <w:color w:val="000000"/>
          <w:sz w:val="20"/>
          <w:szCs w:val="20"/>
        </w:rPr>
        <w:t xml:space="preserve">2015. </w:t>
      </w:r>
    </w:p>
    <w:p w:rsidR="008643CA" w:rsidRPr="00AF4935" w:rsidRDefault="00B2479F" w:rsidP="00AF4935">
      <w:pPr>
        <w:autoSpaceDE w:val="0"/>
        <w:autoSpaceDN w:val="0"/>
        <w:adjustRightInd w:val="0"/>
        <w:spacing w:line="240" w:lineRule="auto"/>
        <w:rPr>
          <w:rFonts w:cs="MyriadPro-SemiboldSemiCn"/>
          <w:sz w:val="20"/>
          <w:szCs w:val="20"/>
        </w:rPr>
      </w:pPr>
      <w:r w:rsidRPr="00AF4935">
        <w:rPr>
          <w:rFonts w:cs="MyriadPro-SemiboldSemiCn"/>
          <w:i/>
          <w:sz w:val="20"/>
          <w:szCs w:val="20"/>
        </w:rPr>
        <w:t xml:space="preserve">Zakon o energetici </w:t>
      </w:r>
      <w:r w:rsidRPr="00AF4935">
        <w:rPr>
          <w:rFonts w:cs="MyriadPro-SemiboldSemiCn"/>
          <w:sz w:val="20"/>
          <w:szCs w:val="20"/>
        </w:rPr>
        <w:t>(2015).</w:t>
      </w:r>
      <w:r w:rsidR="008643CA" w:rsidRPr="00AF4935">
        <w:rPr>
          <w:rFonts w:cs="MyriadPro-SemiboldSemiCn"/>
          <w:sz w:val="20"/>
          <w:szCs w:val="20"/>
        </w:rPr>
        <w:t xml:space="preserve">Službeni list Crne Gore. </w:t>
      </w:r>
    </w:p>
    <w:p w:rsidR="00016C06" w:rsidRPr="00AF4935" w:rsidRDefault="00E53A22" w:rsidP="00AF4935">
      <w:pPr>
        <w:autoSpaceDE w:val="0"/>
        <w:autoSpaceDN w:val="0"/>
        <w:adjustRightInd w:val="0"/>
        <w:spacing w:line="240" w:lineRule="auto"/>
        <w:rPr>
          <w:rFonts w:cs="Times New Roman"/>
          <w:bCs/>
          <w:sz w:val="20"/>
          <w:szCs w:val="20"/>
        </w:rPr>
      </w:pPr>
      <w:hyperlink r:id="rId75" w:history="1">
        <w:r w:rsidR="00F41B7C" w:rsidRPr="00AF4935">
          <w:rPr>
            <w:rStyle w:val="Hyperlink"/>
            <w:rFonts w:cs="Times New Roman"/>
            <w:bCs/>
            <w:sz w:val="20"/>
            <w:szCs w:val="20"/>
          </w:rPr>
          <w:t>www.monstat.org</w:t>
        </w:r>
      </w:hyperlink>
    </w:p>
    <w:p w:rsidR="004140FA" w:rsidRPr="00AF4935" w:rsidRDefault="00E53A22" w:rsidP="00AF4935">
      <w:pPr>
        <w:autoSpaceDE w:val="0"/>
        <w:autoSpaceDN w:val="0"/>
        <w:adjustRightInd w:val="0"/>
        <w:spacing w:line="240" w:lineRule="auto"/>
        <w:rPr>
          <w:rFonts w:cs="Times New Roman"/>
          <w:bCs/>
          <w:sz w:val="20"/>
          <w:szCs w:val="20"/>
        </w:rPr>
      </w:pPr>
      <w:hyperlink r:id="rId76" w:history="1">
        <w:r w:rsidR="00206CC2" w:rsidRPr="00AF4935">
          <w:rPr>
            <w:color w:val="0000FF"/>
            <w:sz w:val="20"/>
            <w:szCs w:val="20"/>
            <w:u w:val="single"/>
          </w:rPr>
          <w:t>http://pages.stern.nyu.edu/~adamodar/New_Home_Page/datafile/ctryprem.html</w:t>
        </w:r>
      </w:hyperlink>
    </w:p>
    <w:p w:rsidR="004140FA" w:rsidRPr="00AF4935" w:rsidRDefault="004140FA" w:rsidP="00AF4935">
      <w:pPr>
        <w:autoSpaceDE w:val="0"/>
        <w:autoSpaceDN w:val="0"/>
        <w:adjustRightInd w:val="0"/>
        <w:spacing w:line="240" w:lineRule="auto"/>
        <w:rPr>
          <w:rFonts w:cs="Times New Roman"/>
          <w:bCs/>
          <w:sz w:val="20"/>
          <w:szCs w:val="20"/>
        </w:rPr>
      </w:pPr>
    </w:p>
    <w:sectPr w:rsidR="004140FA" w:rsidRPr="00AF4935" w:rsidSect="006B7B7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0A72" w:rsidRDefault="000F0A72" w:rsidP="00120194">
      <w:pPr>
        <w:spacing w:after="0" w:line="240" w:lineRule="auto"/>
      </w:pPr>
      <w:r>
        <w:separator/>
      </w:r>
    </w:p>
  </w:endnote>
  <w:endnote w:type="continuationSeparator" w:id="1">
    <w:p w:rsidR="000F0A72" w:rsidRDefault="000F0A72" w:rsidP="001201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IN-Regular">
    <w:panose1 w:val="00000000000000000000"/>
    <w:charset w:val="00"/>
    <w:family w:val="swiss"/>
    <w:notTrueType/>
    <w:pitch w:val="default"/>
    <w:sig w:usb0="00000003" w:usb1="00000000" w:usb2="00000000" w:usb3="00000000" w:csb0="00000001" w:csb1="00000000"/>
  </w:font>
  <w:font w:name="NimbusRomNo9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EE"/>
    <w:family w:val="auto"/>
    <w:notTrueType/>
    <w:pitch w:val="default"/>
    <w:sig w:usb0="00000005" w:usb1="00000000" w:usb2="00000000" w:usb3="00000000" w:csb0="00000002" w:csb1="00000000"/>
  </w:font>
  <w:font w:name="AGaramondPro-Regular">
    <w:panose1 w:val="00000000000000000000"/>
    <w:charset w:val="00"/>
    <w:family w:val="roman"/>
    <w:notTrueType/>
    <w:pitch w:val="default"/>
    <w:sig w:usb0="00000003" w:usb1="00000000" w:usb2="00000000" w:usb3="00000000" w:csb0="00000001" w:csb1="00000000"/>
  </w:font>
  <w:font w:name="Dutch801BT-Roman">
    <w:panose1 w:val="00000000000000000000"/>
    <w:charset w:val="00"/>
    <w:family w:val="roman"/>
    <w:notTrueType/>
    <w:pitch w:val="default"/>
    <w:sig w:usb0="00000003" w:usb1="00000000" w:usb2="00000000" w:usb3="00000000" w:csb0="00000001" w:csb1="00000000"/>
  </w:font>
  <w:font w:name="SourceSansPro-Regular">
    <w:panose1 w:val="00000000000000000000"/>
    <w:charset w:val="00"/>
    <w:family w:val="auto"/>
    <w:notTrueType/>
    <w:pitch w:val="default"/>
    <w:sig w:usb0="00000003" w:usb1="00000000" w:usb2="00000000" w:usb3="00000000" w:csb0="00000001" w:csb1="00000000"/>
  </w:font>
  <w:font w:name="NimbusRomNo9L-Medi">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illSans">
    <w:panose1 w:val="00000000000000000000"/>
    <w:charset w:val="00"/>
    <w:family w:val="swiss"/>
    <w:notTrueType/>
    <w:pitch w:val="default"/>
    <w:sig w:usb0="00000003" w:usb1="00000000" w:usb2="00000000" w:usb3="00000000" w:csb0="00000001" w:csb1="00000000"/>
  </w:font>
  <w:font w:name="GillSans-Bold">
    <w:panose1 w:val="00000000000000000000"/>
    <w:charset w:val="00"/>
    <w:family w:val="swiss"/>
    <w:notTrueType/>
    <w:pitch w:val="default"/>
    <w:sig w:usb0="00000003" w:usb1="00000000" w:usb2="00000000" w:usb3="00000000" w:csb0="00000001" w:csb1="00000000"/>
  </w:font>
  <w:font w:name="Swiss721BT-Roman">
    <w:panose1 w:val="00000000000000000000"/>
    <w:charset w:val="00"/>
    <w:family w:val="swiss"/>
    <w:notTrueType/>
    <w:pitch w:val="default"/>
    <w:sig w:usb0="00000003" w:usb1="00000000" w:usb2="00000000" w:usb3="00000000" w:csb0="00000001" w:csb1="00000000"/>
  </w:font>
  <w:font w:name="Dutch801BT-Bold">
    <w:panose1 w:val="00000000000000000000"/>
    <w:charset w:val="00"/>
    <w:family w:val="roman"/>
    <w:notTrueType/>
    <w:pitch w:val="default"/>
    <w:sig w:usb0="00000003" w:usb1="00000000" w:usb2="00000000" w:usb3="00000000" w:csb0="00000001" w:csb1="00000000"/>
  </w:font>
  <w:font w:name="MathematicalPi-One">
    <w:panose1 w:val="00000000000000000000"/>
    <w:charset w:val="00"/>
    <w:family w:val="auto"/>
    <w:notTrueType/>
    <w:pitch w:val="default"/>
    <w:sig w:usb0="00000003" w:usb1="00000000" w:usb2="00000000" w:usb3="00000000" w:csb0="00000001" w:csb1="00000000"/>
  </w:font>
  <w:font w:name="TimesTen-Bold">
    <w:panose1 w:val="00000000000000000000"/>
    <w:charset w:val="00"/>
    <w:family w:val="roman"/>
    <w:notTrueType/>
    <w:pitch w:val="default"/>
    <w:sig w:usb0="00000003" w:usb1="00000000" w:usb2="00000000" w:usb3="00000000" w:csb0="00000001" w:csb1="00000000"/>
  </w:font>
  <w:font w:name="MTSYB">
    <w:panose1 w:val="00000000000000000000"/>
    <w:charset w:val="00"/>
    <w:family w:val="auto"/>
    <w:notTrueType/>
    <w:pitch w:val="default"/>
    <w:sig w:usb0="00000003" w:usb1="00000000" w:usb2="00000000" w:usb3="00000000" w:csb0="00000001" w:csb1="00000000"/>
  </w:font>
  <w:font w:name="TimesTen-Roman">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TimesNewRoman,Bold">
    <w:altName w:val="MS Gothic"/>
    <w:panose1 w:val="00000000000000000000"/>
    <w:charset w:val="80"/>
    <w:family w:val="auto"/>
    <w:notTrueType/>
    <w:pitch w:val="default"/>
    <w:sig w:usb0="00000001" w:usb1="08070000" w:usb2="00000010" w:usb3="00000000" w:csb0="00020000" w:csb1="00000000"/>
  </w:font>
  <w:font w:name="Georgia,Italic">
    <w:panose1 w:val="00000000000000000000"/>
    <w:charset w:val="00"/>
    <w:family w:val="roman"/>
    <w:notTrueType/>
    <w:pitch w:val="default"/>
    <w:sig w:usb0="00000003" w:usb1="00000000" w:usb2="00000000" w:usb3="00000000" w:csb0="00000001" w:csb1="00000000"/>
  </w:font>
  <w:font w:name="Georgia,Bold">
    <w:panose1 w:val="00000000000000000000"/>
    <w:charset w:val="00"/>
    <w:family w:val="roman"/>
    <w:notTrueType/>
    <w:pitch w:val="default"/>
    <w:sig w:usb0="00000003" w:usb1="00000000" w:usb2="00000000" w:usb3="00000000" w:csb0="00000001" w:csb1="00000000"/>
  </w:font>
  <w:font w:name="MyriadPro-SemiboldSemiCn">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265008"/>
      <w:docPartObj>
        <w:docPartGallery w:val="Page Numbers (Bottom of Page)"/>
        <w:docPartUnique/>
      </w:docPartObj>
    </w:sdtPr>
    <w:sdtContent>
      <w:p w:rsidR="00095599" w:rsidRDefault="00E53A22">
        <w:pPr>
          <w:pStyle w:val="Footer"/>
          <w:jc w:val="center"/>
        </w:pPr>
        <w:fldSimple w:instr=" PAGE   \* MERGEFORMAT ">
          <w:r w:rsidR="00F30281">
            <w:rPr>
              <w:noProof/>
            </w:rPr>
            <w:t>115</w:t>
          </w:r>
        </w:fldSimple>
      </w:p>
    </w:sdtContent>
  </w:sdt>
  <w:p w:rsidR="00095599" w:rsidRDefault="0009559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524" w:rsidRDefault="00C82524">
    <w:pPr>
      <w:pStyle w:val="Footer"/>
      <w:jc w:val="center"/>
    </w:pPr>
  </w:p>
  <w:p w:rsidR="00C82524" w:rsidRDefault="00C8252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613497"/>
      <w:docPartObj>
        <w:docPartGallery w:val="Page Numbers (Bottom of Page)"/>
        <w:docPartUnique/>
      </w:docPartObj>
    </w:sdtPr>
    <w:sdtEndPr>
      <w:rPr>
        <w:noProof/>
      </w:rPr>
    </w:sdtEndPr>
    <w:sdtContent>
      <w:p w:rsidR="00C82524" w:rsidRDefault="00E53A22">
        <w:pPr>
          <w:pStyle w:val="Footer"/>
          <w:jc w:val="center"/>
        </w:pPr>
        <w:r>
          <w:fldChar w:fldCharType="begin"/>
        </w:r>
        <w:r w:rsidR="00C82524">
          <w:instrText xml:space="preserve"> PAGE   \* MERGEFORMAT </w:instrText>
        </w:r>
        <w:r>
          <w:fldChar w:fldCharType="separate"/>
        </w:r>
        <w:r w:rsidR="00F30281">
          <w:rPr>
            <w:noProof/>
          </w:rPr>
          <w:t>1</w:t>
        </w:r>
        <w:r>
          <w:rPr>
            <w:noProof/>
          </w:rPr>
          <w:fldChar w:fldCharType="end"/>
        </w:r>
      </w:p>
    </w:sdtContent>
  </w:sdt>
  <w:p w:rsidR="00C82524" w:rsidRDefault="00C825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0A72" w:rsidRDefault="000F0A72" w:rsidP="00120194">
      <w:pPr>
        <w:spacing w:after="0" w:line="240" w:lineRule="auto"/>
      </w:pPr>
      <w:r>
        <w:separator/>
      </w:r>
    </w:p>
  </w:footnote>
  <w:footnote w:type="continuationSeparator" w:id="1">
    <w:p w:rsidR="000F0A72" w:rsidRDefault="000F0A72" w:rsidP="00120194">
      <w:pPr>
        <w:spacing w:after="0" w:line="240" w:lineRule="auto"/>
      </w:pPr>
      <w:r>
        <w:continuationSeparator/>
      </w:r>
    </w:p>
  </w:footnote>
  <w:footnote w:id="2">
    <w:p w:rsidR="00C82524" w:rsidRPr="0032631A" w:rsidRDefault="00C82524">
      <w:pPr>
        <w:pStyle w:val="FootnoteText"/>
      </w:pPr>
      <w:r>
        <w:rPr>
          <w:rStyle w:val="FootnoteReference"/>
        </w:rPr>
        <w:footnoteRef/>
      </w:r>
      <w:r>
        <w:t xml:space="preserve"> Za širu elaboraciju vidi na primjer Bellu i Pansini (2009) i Bare , Jones C. i Jones S. (2014). </w:t>
      </w:r>
    </w:p>
  </w:footnote>
  <w:footnote w:id="3">
    <w:p w:rsidR="00C82524" w:rsidRPr="00A0591F" w:rsidRDefault="00C82524">
      <w:pPr>
        <w:pStyle w:val="FootnoteText"/>
      </w:pPr>
      <w:r>
        <w:rPr>
          <w:rStyle w:val="FootnoteReference"/>
        </w:rPr>
        <w:footnoteRef/>
      </w:r>
      <w:r>
        <w:t xml:space="preserve"> O ostalim socijalnim efektima vidi u Bere, Jones i Jones (2014) i Bellu i Pansini (2009). </w:t>
      </w:r>
    </w:p>
  </w:footnote>
  <w:footnote w:id="4">
    <w:p w:rsidR="00C82524" w:rsidRPr="00B6102D" w:rsidRDefault="00C82524">
      <w:pPr>
        <w:pStyle w:val="FootnoteText"/>
      </w:pPr>
      <w:r>
        <w:rPr>
          <w:rStyle w:val="FootnoteReference"/>
        </w:rPr>
        <w:footnoteRef/>
      </w:r>
      <w:r>
        <w:t xml:space="preserve"> Pored već pomenutog rada Jamesa Colemana (1988) za razumijevanje socijalnog kapitala posebno su važni radovi Roberta Putnama (1993, 1995, 1996), Francisa Fukoyamae (1999). U Crnoj Gori je ova tema posebno bila analizirana u radu Bjornskov, Bogetic, Hilman, i Popovic (2014). </w:t>
      </w:r>
    </w:p>
  </w:footnote>
  <w:footnote w:id="5">
    <w:p w:rsidR="00C82524" w:rsidRPr="006314AF" w:rsidRDefault="00C82524" w:rsidP="00C32172">
      <w:pPr>
        <w:pStyle w:val="FootnoteText"/>
        <w:jc w:val="both"/>
      </w:pPr>
      <w:r w:rsidRPr="00C32172">
        <w:rPr>
          <w:rStyle w:val="FootnoteReference"/>
        </w:rPr>
        <w:footnoteRef/>
      </w:r>
      <w:r w:rsidRPr="00C32172">
        <w:t xml:space="preserve"> Za detaljniji uvid u </w:t>
      </w:r>
      <w:r>
        <w:t>suštinu Cost Benefit analize</w:t>
      </w:r>
      <w:r w:rsidRPr="00C32172">
        <w:t xml:space="preserve"> i njenu primjenu u evaluaciji javnih politika i javnih projekata kao i u analizu javnog sektora i ekonomije blagostanja</w:t>
      </w:r>
      <w:r>
        <w:t>, koja čine osnov pomenute</w:t>
      </w:r>
      <w:r w:rsidRPr="00C32172">
        <w:t xml:space="preserve"> evaluacije, vidi sada već poznatu knjigu Joseph</w:t>
      </w:r>
      <w:r>
        <w:t>-</w:t>
      </w:r>
      <w:r w:rsidRPr="00C32172">
        <w:t xml:space="preserve">a Stiglitz-a (2000). </w:t>
      </w:r>
    </w:p>
  </w:footnote>
  <w:footnote w:id="6">
    <w:p w:rsidR="00C82524" w:rsidRPr="009C6D8A" w:rsidRDefault="00C82524" w:rsidP="006314AF">
      <w:pPr>
        <w:pStyle w:val="FootnoteText"/>
        <w:jc w:val="both"/>
      </w:pPr>
      <w:r>
        <w:rPr>
          <w:rStyle w:val="FootnoteReference"/>
        </w:rPr>
        <w:footnoteRef/>
      </w:r>
      <w:r>
        <w:t xml:space="preserve"> Za detaljniji uvid u suštinu pojedinih mjera efikasnosti, te za sagledavanje njihovih mana i nedostataka iz perspektive investitora vidi Copeland, Weston, &amp; Shastri (2013), i </w:t>
      </w:r>
      <w:r>
        <w:rPr>
          <w:rFonts w:cs="DIN-Regular"/>
        </w:rPr>
        <w:t>Hiller, Ross</w:t>
      </w:r>
      <w:r w:rsidRPr="00FC59E1">
        <w:rPr>
          <w:rFonts w:cs="DIN-Regular"/>
        </w:rPr>
        <w:t>, Westerfiel</w:t>
      </w:r>
      <w:r>
        <w:rPr>
          <w:rFonts w:cs="DIN-Regular"/>
        </w:rPr>
        <w:t>d, Jaffe, Jordan</w:t>
      </w:r>
      <w:r w:rsidRPr="00FC59E1">
        <w:rPr>
          <w:rFonts w:cs="DIN-Regular"/>
        </w:rPr>
        <w:t xml:space="preserve"> (2010)</w:t>
      </w:r>
      <w:r>
        <w:rPr>
          <w:rFonts w:cs="DIN-Regular"/>
        </w:rPr>
        <w:t xml:space="preserve">. </w:t>
      </w:r>
      <w:r>
        <w:t>S drugev strane, detaljnija razmatranja</w:t>
      </w:r>
      <w:r w:rsidRPr="006314AF">
        <w:rPr>
          <w:rFonts w:cs="Times New Roman"/>
        </w:rPr>
        <w:t xml:space="preserve">o mjerenjima isplativosti mHE projekata mogu se naći u </w:t>
      </w:r>
      <w:r>
        <w:rPr>
          <w:rFonts w:cs="Times New Roman"/>
        </w:rPr>
        <w:t>radovima Jasmine</w:t>
      </w:r>
      <w:r w:rsidRPr="006314AF">
        <w:rPr>
          <w:rFonts w:cs="Times New Roman"/>
        </w:rPr>
        <w:t xml:space="preserve"> Džaferovic (2012), Santolin</w:t>
      </w:r>
      <w:r>
        <w:rPr>
          <w:rFonts w:cs="Times New Roman"/>
        </w:rPr>
        <w:t>,</w:t>
      </w:r>
      <w:r w:rsidRPr="00EF5439">
        <w:rPr>
          <w:rFonts w:cs="DIN-Regular"/>
        </w:rPr>
        <w:t xml:space="preserve">Gavazzini, Pavesi, Ardizzon, Rossetti </w:t>
      </w:r>
      <w:r w:rsidRPr="006314AF">
        <w:rPr>
          <w:rFonts w:cs="Times New Roman"/>
        </w:rPr>
        <w:t xml:space="preserve">(2011), </w:t>
      </w:r>
      <w:r>
        <w:t xml:space="preserve">Bitar, </w:t>
      </w:r>
      <w:r w:rsidRPr="00CC2C81">
        <w:rPr>
          <w:rFonts w:cs="NimbusRomNo9L-Regu"/>
        </w:rPr>
        <w:t>Carravetta</w:t>
      </w:r>
      <w:r>
        <w:rPr>
          <w:rFonts w:cs="NimbusRomNo9L-Regu"/>
        </w:rPr>
        <w:t xml:space="preserve">, </w:t>
      </w:r>
      <w:r w:rsidRPr="00CC2C81">
        <w:rPr>
          <w:rFonts w:cs="NimbusRomNo9L-Regu"/>
        </w:rPr>
        <w:t>Fecarotta,Sinagra</w:t>
      </w:r>
      <w:r>
        <w:rPr>
          <w:rFonts w:cs="NimbusRomNo9L-Regu"/>
        </w:rPr>
        <w:t xml:space="preserve">, </w:t>
      </w:r>
      <w:r w:rsidRPr="00CC2C81">
        <w:rPr>
          <w:rFonts w:cs="NimbusRomNo9L-Regu"/>
        </w:rPr>
        <w:t>Tucciarelli (</w:t>
      </w:r>
      <w:r>
        <w:rPr>
          <w:rFonts w:cs="NimbusRomNo9L-Regu"/>
        </w:rPr>
        <w:t>2014</w:t>
      </w:r>
      <w:r w:rsidRPr="00CC2C81">
        <w:rPr>
          <w:rFonts w:cs="NimbusRomNo9L-Regu"/>
        </w:rPr>
        <w:t>)</w:t>
      </w:r>
      <w:r>
        <w:rPr>
          <w:rFonts w:cs="NimbusRomNo9L-Regu"/>
        </w:rPr>
        <w:t xml:space="preserve">; </w:t>
      </w:r>
      <w:r>
        <w:t xml:space="preserve">Khamis, Alsaka, Al Jabi (2015) </w:t>
      </w:r>
      <w:r w:rsidRPr="006314AF">
        <w:rPr>
          <w:rFonts w:cs="Times New Roman"/>
        </w:rPr>
        <w:t xml:space="preserve">i </w:t>
      </w:r>
      <w:r>
        <w:t>Jaipradidtham</w:t>
      </w:r>
      <w:r w:rsidRPr="006314AF">
        <w:t xml:space="preserve"> (2017).</w:t>
      </w:r>
      <w:r>
        <w:t xml:space="preserve"> Konačno, z</w:t>
      </w:r>
      <w:r>
        <w:rPr>
          <w:rFonts w:cs="DIN-Regular"/>
        </w:rPr>
        <w:t xml:space="preserve">a značenje pojedinih metoda mjerenja u širem društvenom kontekstu vidi Stiglitz (2000). </w:t>
      </w:r>
    </w:p>
  </w:footnote>
  <w:footnote w:id="7">
    <w:p w:rsidR="00C82524" w:rsidRPr="00B732CF" w:rsidRDefault="00C82524">
      <w:pPr>
        <w:pStyle w:val="FootnoteText"/>
      </w:pPr>
      <w:r>
        <w:rPr>
          <w:rStyle w:val="FootnoteReference"/>
        </w:rPr>
        <w:footnoteRef/>
      </w:r>
      <w:r>
        <w:t xml:space="preserve"> Detaljnije o pojedinim Impact modelima vidi u Bellu i Pansini (2009). </w:t>
      </w:r>
    </w:p>
  </w:footnote>
  <w:footnote w:id="8">
    <w:p w:rsidR="00C82524" w:rsidRPr="007E6A38" w:rsidRDefault="00C82524">
      <w:pPr>
        <w:pStyle w:val="FootnoteText"/>
      </w:pPr>
      <w:r>
        <w:rPr>
          <w:rStyle w:val="FootnoteReference"/>
        </w:rPr>
        <w:footnoteRef/>
      </w:r>
      <w:r>
        <w:t xml:space="preserve">Za bliži i detaljniji uvid u metodologiju računanja diskontne stope vidi već citirane radove Džaferović (2012), Copeland, Weston, &amp; Shastri (2013), i </w:t>
      </w:r>
      <w:r>
        <w:rPr>
          <w:rFonts w:cs="DIN-Regular"/>
        </w:rPr>
        <w:t>Hiller, Ross</w:t>
      </w:r>
      <w:r w:rsidRPr="00FC59E1">
        <w:rPr>
          <w:rFonts w:cs="DIN-Regular"/>
        </w:rPr>
        <w:t>, Westerfiel</w:t>
      </w:r>
      <w:r>
        <w:rPr>
          <w:rFonts w:cs="DIN-Regular"/>
        </w:rPr>
        <w:t>d, Jaffe, Jordan</w:t>
      </w:r>
      <w:r w:rsidRPr="00FC59E1">
        <w:rPr>
          <w:rFonts w:cs="DIN-Regular"/>
        </w:rPr>
        <w:t xml:space="preserve"> (2010)</w:t>
      </w:r>
      <w:r>
        <w:rPr>
          <w:rFonts w:cs="DIN-Regular"/>
        </w:rPr>
        <w:t xml:space="preserve">. </w:t>
      </w:r>
    </w:p>
  </w:footnote>
  <w:footnote w:id="9">
    <w:p w:rsidR="00C82524" w:rsidRPr="00206CC2" w:rsidRDefault="00C82524">
      <w:pPr>
        <w:pStyle w:val="FootnoteText"/>
      </w:pPr>
      <w:r>
        <w:rPr>
          <w:rStyle w:val="FootnoteReference"/>
        </w:rPr>
        <w:footnoteRef/>
      </w:r>
      <w:r>
        <w:t xml:space="preserve">Na sledećem web site se mogu naći pojašnjenja kao i linkovi vezani za pomenutu bazu podataka: </w:t>
      </w:r>
      <w:hyperlink r:id="rId1" w:history="1">
        <w:r w:rsidRPr="00206CC2">
          <w:rPr>
            <w:color w:val="0000FF"/>
            <w:sz w:val="22"/>
            <w:szCs w:val="22"/>
            <w:u w:val="single"/>
          </w:rPr>
          <w:t>http://pages.stern.nyu.edu/~adamodar/New_Home_Page/datafile/ctryprem.html</w:t>
        </w:r>
      </w:hyperlink>
    </w:p>
  </w:footnote>
  <w:footnote w:id="10">
    <w:p w:rsidR="00C82524" w:rsidRPr="00D14713" w:rsidRDefault="00C82524">
      <w:pPr>
        <w:pStyle w:val="FootnoteText"/>
        <w:rPr>
          <w:lang w:val="hr-HR"/>
        </w:rPr>
      </w:pPr>
      <w:r>
        <w:rPr>
          <w:rStyle w:val="FootnoteReference"/>
        </w:rPr>
        <w:footnoteRef/>
      </w:r>
      <w:r>
        <w:rPr>
          <w:lang w:val="hr-HR"/>
        </w:rPr>
        <w:t xml:space="preserve">Za detaljniji uvid u ovu novu tehnologiju kao i u način na koji se rade feasibility studije za ovu vrstu tehnologija vidi detaljnije u radu Carravetta at all (2014). </w:t>
      </w:r>
    </w:p>
  </w:footnote>
  <w:footnote w:id="11">
    <w:p w:rsidR="00C82524" w:rsidRPr="005338D7" w:rsidRDefault="00C82524">
      <w:pPr>
        <w:pStyle w:val="FootnoteText"/>
        <w:rPr>
          <w:lang w:val="hr-HR"/>
        </w:rPr>
      </w:pPr>
      <w:r>
        <w:rPr>
          <w:rStyle w:val="FootnoteReference"/>
        </w:rPr>
        <w:footnoteRef/>
      </w:r>
      <w:r>
        <w:rPr>
          <w:rFonts w:cs="Cambria"/>
        </w:rPr>
        <w:t xml:space="preserve">Uz Bilans uspjeha priložen je i Bilans stanja jer će nam on poslužiti i za proveru rezultata raznih varijabli od kojih ćemo poći u našim projekcijama, počev od konstrukcije , finansiranja do ukupne vrijednosti investicija. </w:t>
      </w:r>
    </w:p>
  </w:footnote>
  <w:footnote w:id="12">
    <w:p w:rsidR="00C82524" w:rsidRPr="00696714" w:rsidRDefault="00C82524">
      <w:pPr>
        <w:pStyle w:val="FootnoteText"/>
      </w:pPr>
      <w:r>
        <w:rPr>
          <w:rStyle w:val="FootnoteReference"/>
        </w:rPr>
        <w:footnoteRef/>
      </w:r>
      <w:r>
        <w:t xml:space="preserve"> Detaljnije o običajnom pravu u Crnoj Gori može se naći u radovima Đurice Krstića (1979) i Sava Markovića (2016). </w:t>
      </w:r>
    </w:p>
  </w:footnote>
  <w:footnote w:id="13">
    <w:p w:rsidR="00C82524" w:rsidRPr="001465F3" w:rsidRDefault="00C82524">
      <w:pPr>
        <w:pStyle w:val="FootnoteText"/>
        <w:rPr>
          <w:lang w:val="hr-HR"/>
        </w:rPr>
      </w:pPr>
      <w:r w:rsidRPr="001465F3">
        <w:rPr>
          <w:rStyle w:val="FootnoteReference"/>
        </w:rPr>
        <w:footnoteRef/>
      </w:r>
      <w:r w:rsidRPr="001465F3">
        <w:rPr>
          <w:lang w:val="hr-HR"/>
        </w:rPr>
        <w:t xml:space="preserve">Vidi </w:t>
      </w:r>
      <w:r w:rsidRPr="001465F3">
        <w:t xml:space="preserve">Constanza at all (1997). </w:t>
      </w:r>
    </w:p>
  </w:footnote>
  <w:footnote w:id="14">
    <w:p w:rsidR="00C82524" w:rsidRPr="001465F3" w:rsidRDefault="00C82524" w:rsidP="00A77606">
      <w:pPr>
        <w:autoSpaceDE w:val="0"/>
        <w:autoSpaceDN w:val="0"/>
        <w:adjustRightInd w:val="0"/>
        <w:spacing w:after="0" w:line="240" w:lineRule="auto"/>
        <w:rPr>
          <w:rFonts w:cs="DIN-Regular"/>
          <w:sz w:val="20"/>
          <w:szCs w:val="20"/>
        </w:rPr>
      </w:pPr>
      <w:r w:rsidRPr="001465F3">
        <w:rPr>
          <w:rStyle w:val="FootnoteReference"/>
          <w:sz w:val="20"/>
          <w:szCs w:val="20"/>
        </w:rPr>
        <w:footnoteRef/>
      </w:r>
      <w:r w:rsidRPr="001465F3">
        <w:rPr>
          <w:sz w:val="20"/>
          <w:szCs w:val="20"/>
          <w:lang w:val="hr-HR"/>
        </w:rPr>
        <w:t xml:space="preserve">Iste zaključke dobijamo i na osnovu drugih sličnih pokušaja klasifikovanja ekoloških usluga poput onih u radovima </w:t>
      </w:r>
      <w:r w:rsidRPr="001465F3">
        <w:rPr>
          <w:rFonts w:cs="DIN-Regular"/>
          <w:sz w:val="20"/>
          <w:szCs w:val="20"/>
        </w:rPr>
        <w:t xml:space="preserve">McVittie i Hussain (2013), </w:t>
      </w:r>
      <w:r w:rsidRPr="001465F3">
        <w:rPr>
          <w:sz w:val="20"/>
          <w:szCs w:val="20"/>
        </w:rPr>
        <w:t xml:space="preserve">Brander i van Beukering (2016), </w:t>
      </w:r>
      <w:r w:rsidRPr="001465F3">
        <w:rPr>
          <w:rFonts w:cs="Times New Roman"/>
          <w:bCs/>
          <w:sz w:val="20"/>
          <w:szCs w:val="20"/>
        </w:rPr>
        <w:t xml:space="preserve">European Environmental Agency (2016) </w:t>
      </w:r>
      <w:r>
        <w:rPr>
          <w:rFonts w:cs="Times New Roman"/>
          <w:bCs/>
          <w:sz w:val="20"/>
          <w:szCs w:val="20"/>
        </w:rPr>
        <w:t xml:space="preserve">i </w:t>
      </w:r>
      <w:r w:rsidRPr="001465F3">
        <w:rPr>
          <w:rFonts w:cs="Times New Roman"/>
          <w:bCs/>
          <w:sz w:val="20"/>
          <w:szCs w:val="20"/>
        </w:rPr>
        <w:t>slične radove.</w:t>
      </w:r>
    </w:p>
  </w:footnote>
  <w:footnote w:id="15">
    <w:p w:rsidR="00C82524" w:rsidRPr="008A3071" w:rsidRDefault="00C82524">
      <w:pPr>
        <w:pStyle w:val="FootnoteText"/>
        <w:rPr>
          <w:lang w:val="hr-HR"/>
        </w:rPr>
      </w:pPr>
      <w:r w:rsidRPr="008A3071">
        <w:rPr>
          <w:rStyle w:val="FootnoteReference"/>
        </w:rPr>
        <w:footnoteRef/>
      </w:r>
      <w:r w:rsidRPr="008A3071">
        <w:rPr>
          <w:lang w:val="hr-HR"/>
        </w:rPr>
        <w:t xml:space="preserve">Za detaljniji uvid u sistem nacionalnih računa koji registruje promjene ekoloških usluga vidi UN (2012, 2019), </w:t>
      </w:r>
      <w:r w:rsidRPr="008A3071">
        <w:rPr>
          <w:rFonts w:cs="AGaramondPro-Regular"/>
        </w:rPr>
        <w:t>UN, EU, FAO, IMF, OECD, WB (2014, 2014a, 2014b, 2014c),</w:t>
      </w:r>
      <w:r w:rsidRPr="008A3071">
        <w:rPr>
          <w:rFonts w:cs="Times New Roman"/>
          <w:bCs/>
        </w:rPr>
        <w:t xml:space="preserve"> European Environmental Agency (2016).</w:t>
      </w:r>
      <w:r w:rsidRPr="008A3071">
        <w:rPr>
          <w:rFonts w:cs="AGaramondPro-Regular"/>
        </w:rPr>
        <w:t xml:space="preserve"> Vidi takođe rad </w:t>
      </w:r>
      <w:r w:rsidRPr="008A3071">
        <w:t xml:space="preserve">Brander i van Beukering, (2016). </w:t>
      </w:r>
    </w:p>
  </w:footnote>
  <w:footnote w:id="16">
    <w:p w:rsidR="00C82524" w:rsidRPr="00BB2096" w:rsidRDefault="00C82524" w:rsidP="00BB2096">
      <w:pPr>
        <w:pStyle w:val="FootnoteText"/>
        <w:jc w:val="both"/>
        <w:rPr>
          <w:lang w:val="hr-HR"/>
        </w:rPr>
      </w:pPr>
      <w:r>
        <w:rPr>
          <w:rStyle w:val="FootnoteReference"/>
        </w:rPr>
        <w:footnoteRef/>
      </w:r>
      <w:r>
        <w:rPr>
          <w:lang w:val="hr-HR"/>
        </w:rPr>
        <w:t>Ekološke usluge nijesu utržive upravo zato što nijesu ni ekskluzivne ni rivalne. Kod dobara (ili usluga) koja su ekskluzivna postoji mogućnost definisanja i pripisivanja prava vlasništva nad tim dobrima pa time i mogućnost isključivanja drugih iz njihovog korišćenja. Nasuprot tome, kod neekskluzivnih doobara nije moguće pripisati prava vlasništva nad posmatranim dobrom ili uslugom pa time ni mogućnost isključivanja drugih iz njihovog korišćenja. Kod rivalnih dobara, s druge strane, granični ili dodatni trošak zadovoljenja potreba dodatnog potrošača je veći od nule, dok je, nasuprot tome, kod nerivalnih dobara trošak zadovoljenja potreba dodatnog potrošača ravan nuli. Malo pojednostavljeno, dobra koja su istovremeno i ekskluzivna i rivalna predstavljaju čista tržišna ili privatna dobra, dok ona dobra koja su istovremeno i nerivalna i neekskluzivna predstavljaju čista javna dobra. Preostale kombinacije predstavljaju tzv. kvazi-javna dobra.Tako dobra koja su nerivalna ali su istovremeno ekskluzivna predstavljaju najčešće neku vrstu prirodnih monopola. Postoje i dobra koja su rivalna ali su istovremeno i neekskluzivna. Kao dobar primjer ovih dobara navode se tzv. „komunice“ koje su zbog svoje neekskluzivnosti izložene preteranoj eksploataciji ili čak opasnosti totalne destrukcije, odnosno tzv. „tragediji zajedničkog“. Prvi je o ovom fenomenu pisao Gerrett Hardin (1968) pokrenuvši na taj način čitavu seriju istraživanja i polemika. Napomenimo da se Hardin-ova „tragedija“ odnosi prije na situaciju kod koje imamo neograničen pristup resursima (</w:t>
      </w:r>
      <w:r w:rsidRPr="00B1091A">
        <w:rPr>
          <w:i/>
          <w:lang w:val="hr-HR"/>
        </w:rPr>
        <w:t>free access</w:t>
      </w:r>
      <w:r>
        <w:rPr>
          <w:i/>
          <w:lang w:val="hr-HR"/>
        </w:rPr>
        <w:t xml:space="preserve"> – </w:t>
      </w:r>
      <w:r>
        <w:rPr>
          <w:lang w:val="hr-HR"/>
        </w:rPr>
        <w:t xml:space="preserve">problem izlovljavanja kitova, recimo) nego na „komunicu“ koja, uprkos ograničenjima, nije izložena „tragediji“ jer poseduje kakvu takvu upravljačku strukturu koja se stara o racionalnoj upotrebi resursa. Recimo na kraju da ekološka dobra, očito, predstavljaju ili čista javna dobra ili pripadaju kategoriji „tragičnih“ dobara. </w:t>
      </w:r>
    </w:p>
  </w:footnote>
  <w:footnote w:id="17">
    <w:p w:rsidR="00C82524" w:rsidRPr="005E0A99" w:rsidRDefault="00C82524">
      <w:pPr>
        <w:pStyle w:val="FootnoteText"/>
        <w:rPr>
          <w:lang w:val="hr-HR"/>
        </w:rPr>
      </w:pPr>
      <w:r>
        <w:rPr>
          <w:rStyle w:val="FootnoteReference"/>
        </w:rPr>
        <w:footnoteRef/>
      </w:r>
      <w:r>
        <w:rPr>
          <w:lang w:val="hr-HR"/>
        </w:rPr>
        <w:t xml:space="preserve">Za nešto jednostavniju klasifikaciju i prikaz raspoložive metodologije vidi DEAT (2004). </w:t>
      </w:r>
    </w:p>
  </w:footnote>
  <w:footnote w:id="18">
    <w:p w:rsidR="00C82524" w:rsidRPr="00F34127" w:rsidRDefault="00C82524" w:rsidP="009C485C">
      <w:pPr>
        <w:pStyle w:val="FootnoteText"/>
        <w:rPr>
          <w:lang w:val="hr-HR"/>
        </w:rPr>
      </w:pPr>
      <w:r>
        <w:rPr>
          <w:rStyle w:val="FootnoteReference"/>
        </w:rPr>
        <w:footnoteRef/>
      </w:r>
      <w:r>
        <w:rPr>
          <w:lang w:val="hr-HR"/>
        </w:rPr>
        <w:t xml:space="preserve">Za detaljniji pregled problema sa kojima se srećemo kod mjerenja WTP i WTA vidi </w:t>
      </w:r>
      <w:r w:rsidRPr="00F34127">
        <w:rPr>
          <w:rFonts w:cs="Dutch801BT-Roman"/>
        </w:rPr>
        <w:t>Horowitz</w:t>
      </w:r>
      <w:r>
        <w:rPr>
          <w:rFonts w:cs="Dutch801BT-Roman"/>
        </w:rPr>
        <w:t xml:space="preserve"> i</w:t>
      </w:r>
      <w:r w:rsidRPr="00F34127">
        <w:rPr>
          <w:rFonts w:cs="Dutch801BT-Roman"/>
        </w:rPr>
        <w:t xml:space="preserve"> McConnell(2002).</w:t>
      </w:r>
      <w:r>
        <w:rPr>
          <w:rFonts w:cs="Dutch801BT-Roman"/>
        </w:rPr>
        <w:t xml:space="preserve"> Vidi takođe MacDonald at all (2010) i Grutters at all (2008). </w:t>
      </w:r>
    </w:p>
  </w:footnote>
  <w:footnote w:id="19">
    <w:p w:rsidR="00C82524" w:rsidRPr="005D541E" w:rsidRDefault="00C82524">
      <w:pPr>
        <w:pStyle w:val="FootnoteText"/>
        <w:rPr>
          <w:lang w:val="hr-HR"/>
        </w:rPr>
      </w:pPr>
      <w:r>
        <w:rPr>
          <w:rStyle w:val="FootnoteReference"/>
        </w:rPr>
        <w:footnoteRef/>
      </w:r>
      <w:r>
        <w:rPr>
          <w:lang w:val="hr-HR"/>
        </w:rPr>
        <w:t xml:space="preserve">Za detaljniji uvid u ovu metodologiju vidi radove DEAT (2004), Sumaila (1996) ili Sumaila at all (2000). </w:t>
      </w:r>
    </w:p>
  </w:footnote>
  <w:footnote w:id="20">
    <w:p w:rsidR="00C82524" w:rsidRPr="0089146E" w:rsidRDefault="00C82524">
      <w:pPr>
        <w:pStyle w:val="FootnoteText"/>
        <w:rPr>
          <w:lang w:val="hr-HR"/>
        </w:rPr>
      </w:pPr>
      <w:r w:rsidRPr="0089146E">
        <w:rPr>
          <w:rStyle w:val="FootnoteReference"/>
        </w:rPr>
        <w:footnoteRef/>
      </w:r>
      <w:r w:rsidRPr="0089146E">
        <w:t xml:space="preserve"> Z detaljije rezultate ekoloških studija vidi SISTEM (2012, 2013).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C0764"/>
    <w:multiLevelType w:val="hybridMultilevel"/>
    <w:tmpl w:val="1DE0A3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135F39"/>
    <w:multiLevelType w:val="hybridMultilevel"/>
    <w:tmpl w:val="882200C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4D1326"/>
    <w:multiLevelType w:val="hybridMultilevel"/>
    <w:tmpl w:val="1E40DDDC"/>
    <w:lvl w:ilvl="0" w:tplc="6C62423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06438F"/>
    <w:multiLevelType w:val="hybridMultilevel"/>
    <w:tmpl w:val="DF9621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6A6C1E"/>
    <w:multiLevelType w:val="hybridMultilevel"/>
    <w:tmpl w:val="A314A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0E72B2"/>
    <w:multiLevelType w:val="hybridMultilevel"/>
    <w:tmpl w:val="78C6E466"/>
    <w:lvl w:ilvl="0" w:tplc="707496AA">
      <w:start w:val="2"/>
      <w:numFmt w:val="bullet"/>
      <w:lvlText w:val="-"/>
      <w:lvlJc w:val="left"/>
      <w:pPr>
        <w:ind w:left="720" w:hanging="360"/>
      </w:pPr>
      <w:rPr>
        <w:rFonts w:ascii="Calibri" w:eastAsiaTheme="minorHAns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3C45D8"/>
    <w:multiLevelType w:val="hybridMultilevel"/>
    <w:tmpl w:val="E544F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3B51B4"/>
    <w:multiLevelType w:val="hybridMultilevel"/>
    <w:tmpl w:val="7A4E65F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1126F8D"/>
    <w:multiLevelType w:val="hybridMultilevel"/>
    <w:tmpl w:val="5312628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9E48BA"/>
    <w:multiLevelType w:val="hybridMultilevel"/>
    <w:tmpl w:val="9D0ECB9E"/>
    <w:lvl w:ilvl="0" w:tplc="C4B881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087412"/>
    <w:multiLevelType w:val="hybridMultilevel"/>
    <w:tmpl w:val="5FEA24FA"/>
    <w:lvl w:ilvl="0" w:tplc="D00020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3605A4"/>
    <w:multiLevelType w:val="multilevel"/>
    <w:tmpl w:val="B21EAA0C"/>
    <w:lvl w:ilvl="0">
      <w:start w:val="1"/>
      <w:numFmt w:val="decimal"/>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2">
    <w:nsid w:val="339778A4"/>
    <w:multiLevelType w:val="hybridMultilevel"/>
    <w:tmpl w:val="CD8E367E"/>
    <w:lvl w:ilvl="0" w:tplc="37E846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A3B3528"/>
    <w:multiLevelType w:val="hybridMultilevel"/>
    <w:tmpl w:val="D7E65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072982"/>
    <w:multiLevelType w:val="hybridMultilevel"/>
    <w:tmpl w:val="40F2D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954E47"/>
    <w:multiLevelType w:val="hybridMultilevel"/>
    <w:tmpl w:val="193A1528"/>
    <w:lvl w:ilvl="0" w:tplc="21647D66">
      <w:start w:val="4"/>
      <w:numFmt w:val="bullet"/>
      <w:lvlText w:val=""/>
      <w:lvlJc w:val="left"/>
      <w:pPr>
        <w:ind w:left="720" w:hanging="360"/>
      </w:pPr>
      <w:rPr>
        <w:rFonts w:ascii="Symbol" w:eastAsiaTheme="minorHAnsi" w:hAnsi="Symbol" w:cs="Calibri" w:hint="default"/>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9B731A"/>
    <w:multiLevelType w:val="hybridMultilevel"/>
    <w:tmpl w:val="E5D227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711E67"/>
    <w:multiLevelType w:val="hybridMultilevel"/>
    <w:tmpl w:val="F42A79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4B2A82"/>
    <w:multiLevelType w:val="hybridMultilevel"/>
    <w:tmpl w:val="ABB00914"/>
    <w:lvl w:ilvl="0" w:tplc="95627B0A">
      <w:start w:val="4"/>
      <w:numFmt w:val="bullet"/>
      <w:lvlText w:val="-"/>
      <w:lvlJc w:val="left"/>
      <w:pPr>
        <w:ind w:left="720" w:hanging="360"/>
      </w:pPr>
      <w:rPr>
        <w:rFonts w:ascii="Calibri" w:eastAsiaTheme="minorHAnsi" w:hAnsi="Calibri"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CD5B18"/>
    <w:multiLevelType w:val="hybridMultilevel"/>
    <w:tmpl w:val="F5403D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6473A7"/>
    <w:multiLevelType w:val="hybridMultilevel"/>
    <w:tmpl w:val="3C145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D4266C"/>
    <w:multiLevelType w:val="hybridMultilevel"/>
    <w:tmpl w:val="7CCCFC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7B0214"/>
    <w:multiLevelType w:val="hybridMultilevel"/>
    <w:tmpl w:val="AFD2A1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AC1B0B"/>
    <w:multiLevelType w:val="hybridMultilevel"/>
    <w:tmpl w:val="40C42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5D70DF"/>
    <w:multiLevelType w:val="hybridMultilevel"/>
    <w:tmpl w:val="FEB88F80"/>
    <w:lvl w:ilvl="0" w:tplc="01F222A8">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E01F84"/>
    <w:multiLevelType w:val="hybridMultilevel"/>
    <w:tmpl w:val="28245460"/>
    <w:lvl w:ilvl="0" w:tplc="4BC421BA">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8E3DB7"/>
    <w:multiLevelType w:val="hybridMultilevel"/>
    <w:tmpl w:val="CC6276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AD5537"/>
    <w:multiLevelType w:val="hybridMultilevel"/>
    <w:tmpl w:val="49943EA2"/>
    <w:lvl w:ilvl="0" w:tplc="8D2088F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6BAE4F6F"/>
    <w:multiLevelType w:val="hybridMultilevel"/>
    <w:tmpl w:val="20829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322D8A"/>
    <w:multiLevelType w:val="hybridMultilevel"/>
    <w:tmpl w:val="87D692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393924"/>
    <w:multiLevelType w:val="hybridMultilevel"/>
    <w:tmpl w:val="DEB2FADC"/>
    <w:lvl w:ilvl="0" w:tplc="E27C5E6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893593"/>
    <w:multiLevelType w:val="hybridMultilevel"/>
    <w:tmpl w:val="836675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372DFC"/>
    <w:multiLevelType w:val="hybridMultilevel"/>
    <w:tmpl w:val="BEB0D8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6A4D9F"/>
    <w:multiLevelType w:val="hybridMultilevel"/>
    <w:tmpl w:val="3B9C5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755306"/>
    <w:multiLevelType w:val="hybridMultilevel"/>
    <w:tmpl w:val="BA668D7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DD59EC"/>
    <w:multiLevelType w:val="hybridMultilevel"/>
    <w:tmpl w:val="6FD477F8"/>
    <w:lvl w:ilvl="0" w:tplc="0409000B">
      <w:start w:val="1"/>
      <w:numFmt w:val="bullet"/>
      <w:lvlText w:val=""/>
      <w:lvlJc w:val="left"/>
      <w:pPr>
        <w:ind w:left="720" w:hanging="360"/>
      </w:pPr>
      <w:rPr>
        <w:rFonts w:ascii="Wingdings" w:hAnsi="Wingdings"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CB4E95"/>
    <w:multiLevelType w:val="hybridMultilevel"/>
    <w:tmpl w:val="281AEE54"/>
    <w:lvl w:ilvl="0" w:tplc="0974F72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0D6FA5"/>
    <w:multiLevelType w:val="hybridMultilevel"/>
    <w:tmpl w:val="7100735A"/>
    <w:lvl w:ilvl="0" w:tplc="04090015">
      <w:start w:val="1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6C44AD"/>
    <w:multiLevelType w:val="hybridMultilevel"/>
    <w:tmpl w:val="B4EA1F94"/>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7F901155"/>
    <w:multiLevelType w:val="hybridMultilevel"/>
    <w:tmpl w:val="B69C293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5"/>
  </w:num>
  <w:num w:numId="3">
    <w:abstractNumId w:val="34"/>
  </w:num>
  <w:num w:numId="4">
    <w:abstractNumId w:val="0"/>
  </w:num>
  <w:num w:numId="5">
    <w:abstractNumId w:val="11"/>
  </w:num>
  <w:num w:numId="6">
    <w:abstractNumId w:val="8"/>
  </w:num>
  <w:num w:numId="7">
    <w:abstractNumId w:val="3"/>
  </w:num>
  <w:num w:numId="8">
    <w:abstractNumId w:val="33"/>
  </w:num>
  <w:num w:numId="9">
    <w:abstractNumId w:val="16"/>
  </w:num>
  <w:num w:numId="10">
    <w:abstractNumId w:val="19"/>
  </w:num>
  <w:num w:numId="11">
    <w:abstractNumId w:val="39"/>
  </w:num>
  <w:num w:numId="12">
    <w:abstractNumId w:val="1"/>
  </w:num>
  <w:num w:numId="13">
    <w:abstractNumId w:val="13"/>
  </w:num>
  <w:num w:numId="14">
    <w:abstractNumId w:val="7"/>
  </w:num>
  <w:num w:numId="15">
    <w:abstractNumId w:val="21"/>
  </w:num>
  <w:num w:numId="16">
    <w:abstractNumId w:val="26"/>
  </w:num>
  <w:num w:numId="17">
    <w:abstractNumId w:val="23"/>
  </w:num>
  <w:num w:numId="18">
    <w:abstractNumId w:val="24"/>
  </w:num>
  <w:num w:numId="19">
    <w:abstractNumId w:val="15"/>
  </w:num>
  <w:num w:numId="20">
    <w:abstractNumId w:val="25"/>
  </w:num>
  <w:num w:numId="21">
    <w:abstractNumId w:val="20"/>
  </w:num>
  <w:num w:numId="22">
    <w:abstractNumId w:val="37"/>
  </w:num>
  <w:num w:numId="23">
    <w:abstractNumId w:val="18"/>
  </w:num>
  <w:num w:numId="24">
    <w:abstractNumId w:val="6"/>
  </w:num>
  <w:num w:numId="25">
    <w:abstractNumId w:val="28"/>
  </w:num>
  <w:num w:numId="26">
    <w:abstractNumId w:val="4"/>
  </w:num>
  <w:num w:numId="27">
    <w:abstractNumId w:val="12"/>
  </w:num>
  <w:num w:numId="28">
    <w:abstractNumId w:val="30"/>
  </w:num>
  <w:num w:numId="29">
    <w:abstractNumId w:val="5"/>
  </w:num>
  <w:num w:numId="30">
    <w:abstractNumId w:val="2"/>
  </w:num>
  <w:num w:numId="31">
    <w:abstractNumId w:val="22"/>
  </w:num>
  <w:num w:numId="32">
    <w:abstractNumId w:val="10"/>
  </w:num>
  <w:num w:numId="33">
    <w:abstractNumId w:val="31"/>
  </w:num>
  <w:num w:numId="34">
    <w:abstractNumId w:val="17"/>
  </w:num>
  <w:num w:numId="35">
    <w:abstractNumId w:val="29"/>
  </w:num>
  <w:num w:numId="36">
    <w:abstractNumId w:val="32"/>
  </w:num>
  <w:num w:numId="37">
    <w:abstractNumId w:val="14"/>
  </w:num>
  <w:num w:numId="38">
    <w:abstractNumId w:val="38"/>
  </w:num>
  <w:num w:numId="39">
    <w:abstractNumId w:val="36"/>
  </w:num>
  <w:num w:numId="40">
    <w:abstractNumId w:val="2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hdrShapeDefaults>
    <o:shapedefaults v:ext="edit" spidmax="8194"/>
  </w:hdrShapeDefaults>
  <w:footnotePr>
    <w:footnote w:id="0"/>
    <w:footnote w:id="1"/>
  </w:footnotePr>
  <w:endnotePr>
    <w:endnote w:id="0"/>
    <w:endnote w:id="1"/>
  </w:endnotePr>
  <w:compat>
    <w:useFELayout/>
  </w:compat>
  <w:rsids>
    <w:rsidRoot w:val="005D34F7"/>
    <w:rsid w:val="00000573"/>
    <w:rsid w:val="000009DC"/>
    <w:rsid w:val="00003160"/>
    <w:rsid w:val="0000414C"/>
    <w:rsid w:val="00004271"/>
    <w:rsid w:val="00004BBA"/>
    <w:rsid w:val="00006FE1"/>
    <w:rsid w:val="00012FE1"/>
    <w:rsid w:val="00014A00"/>
    <w:rsid w:val="00014BC9"/>
    <w:rsid w:val="000151BF"/>
    <w:rsid w:val="00015EC6"/>
    <w:rsid w:val="0001624F"/>
    <w:rsid w:val="00016BCE"/>
    <w:rsid w:val="00016C06"/>
    <w:rsid w:val="00017627"/>
    <w:rsid w:val="0002098C"/>
    <w:rsid w:val="000249AE"/>
    <w:rsid w:val="00024A3E"/>
    <w:rsid w:val="00025021"/>
    <w:rsid w:val="00026192"/>
    <w:rsid w:val="00026D3B"/>
    <w:rsid w:val="00026F37"/>
    <w:rsid w:val="00027464"/>
    <w:rsid w:val="00035976"/>
    <w:rsid w:val="00043B06"/>
    <w:rsid w:val="00044147"/>
    <w:rsid w:val="00044327"/>
    <w:rsid w:val="00045678"/>
    <w:rsid w:val="00046C1F"/>
    <w:rsid w:val="0005099A"/>
    <w:rsid w:val="00050A39"/>
    <w:rsid w:val="00051A9F"/>
    <w:rsid w:val="00052B71"/>
    <w:rsid w:val="00052EF8"/>
    <w:rsid w:val="00055319"/>
    <w:rsid w:val="000605DD"/>
    <w:rsid w:val="000618EB"/>
    <w:rsid w:val="00061E58"/>
    <w:rsid w:val="00062515"/>
    <w:rsid w:val="00062DCE"/>
    <w:rsid w:val="0006617B"/>
    <w:rsid w:val="00070324"/>
    <w:rsid w:val="0007061C"/>
    <w:rsid w:val="000737D1"/>
    <w:rsid w:val="00073FBE"/>
    <w:rsid w:val="00074510"/>
    <w:rsid w:val="00075FD2"/>
    <w:rsid w:val="00076FD5"/>
    <w:rsid w:val="0007714D"/>
    <w:rsid w:val="000806F5"/>
    <w:rsid w:val="000811D7"/>
    <w:rsid w:val="00081F7D"/>
    <w:rsid w:val="000838F3"/>
    <w:rsid w:val="00083A17"/>
    <w:rsid w:val="00083D24"/>
    <w:rsid w:val="000846CF"/>
    <w:rsid w:val="00090D96"/>
    <w:rsid w:val="000912CA"/>
    <w:rsid w:val="000915FA"/>
    <w:rsid w:val="00094237"/>
    <w:rsid w:val="00094309"/>
    <w:rsid w:val="00095599"/>
    <w:rsid w:val="00095664"/>
    <w:rsid w:val="00096374"/>
    <w:rsid w:val="00097201"/>
    <w:rsid w:val="000A3E8E"/>
    <w:rsid w:val="000A44E7"/>
    <w:rsid w:val="000A47F9"/>
    <w:rsid w:val="000A5C88"/>
    <w:rsid w:val="000A64AB"/>
    <w:rsid w:val="000A64C2"/>
    <w:rsid w:val="000A695F"/>
    <w:rsid w:val="000A7748"/>
    <w:rsid w:val="000A7C0F"/>
    <w:rsid w:val="000B1E54"/>
    <w:rsid w:val="000B2049"/>
    <w:rsid w:val="000B4885"/>
    <w:rsid w:val="000B4B52"/>
    <w:rsid w:val="000B60A9"/>
    <w:rsid w:val="000B6B1A"/>
    <w:rsid w:val="000B6EDE"/>
    <w:rsid w:val="000C09DC"/>
    <w:rsid w:val="000C12C6"/>
    <w:rsid w:val="000C18A2"/>
    <w:rsid w:val="000C1927"/>
    <w:rsid w:val="000C1EFC"/>
    <w:rsid w:val="000C2278"/>
    <w:rsid w:val="000C260A"/>
    <w:rsid w:val="000C27B9"/>
    <w:rsid w:val="000C2FB8"/>
    <w:rsid w:val="000C33CC"/>
    <w:rsid w:val="000C35F9"/>
    <w:rsid w:val="000C3BEB"/>
    <w:rsid w:val="000C57EC"/>
    <w:rsid w:val="000C5ABE"/>
    <w:rsid w:val="000C5D77"/>
    <w:rsid w:val="000C601D"/>
    <w:rsid w:val="000C63AF"/>
    <w:rsid w:val="000C647C"/>
    <w:rsid w:val="000C679A"/>
    <w:rsid w:val="000C6C6F"/>
    <w:rsid w:val="000C7752"/>
    <w:rsid w:val="000D0D2B"/>
    <w:rsid w:val="000D11BE"/>
    <w:rsid w:val="000D257A"/>
    <w:rsid w:val="000D2E5D"/>
    <w:rsid w:val="000D5C7E"/>
    <w:rsid w:val="000D6B51"/>
    <w:rsid w:val="000D6D14"/>
    <w:rsid w:val="000D7BB8"/>
    <w:rsid w:val="000E1139"/>
    <w:rsid w:val="000E1895"/>
    <w:rsid w:val="000E4269"/>
    <w:rsid w:val="000E4454"/>
    <w:rsid w:val="000E477E"/>
    <w:rsid w:val="000E5001"/>
    <w:rsid w:val="000E5525"/>
    <w:rsid w:val="000E5AFF"/>
    <w:rsid w:val="000E5D84"/>
    <w:rsid w:val="000E62D4"/>
    <w:rsid w:val="000E78F6"/>
    <w:rsid w:val="000F0A72"/>
    <w:rsid w:val="000F3C58"/>
    <w:rsid w:val="000F5087"/>
    <w:rsid w:val="000F552C"/>
    <w:rsid w:val="000F6BA0"/>
    <w:rsid w:val="001006FA"/>
    <w:rsid w:val="00100FF1"/>
    <w:rsid w:val="001014E2"/>
    <w:rsid w:val="00101CA2"/>
    <w:rsid w:val="00102633"/>
    <w:rsid w:val="00102ABB"/>
    <w:rsid w:val="00104B7D"/>
    <w:rsid w:val="00106A46"/>
    <w:rsid w:val="00107552"/>
    <w:rsid w:val="00110234"/>
    <w:rsid w:val="00110CD7"/>
    <w:rsid w:val="0011462C"/>
    <w:rsid w:val="0011533C"/>
    <w:rsid w:val="00115905"/>
    <w:rsid w:val="001170A0"/>
    <w:rsid w:val="00117197"/>
    <w:rsid w:val="001176D2"/>
    <w:rsid w:val="00117A9D"/>
    <w:rsid w:val="00120194"/>
    <w:rsid w:val="001207C9"/>
    <w:rsid w:val="00120A07"/>
    <w:rsid w:val="00120CEB"/>
    <w:rsid w:val="0012201A"/>
    <w:rsid w:val="001221F3"/>
    <w:rsid w:val="00123F55"/>
    <w:rsid w:val="00126C9F"/>
    <w:rsid w:val="001277E1"/>
    <w:rsid w:val="00130D2D"/>
    <w:rsid w:val="0013108D"/>
    <w:rsid w:val="001323D0"/>
    <w:rsid w:val="00132F69"/>
    <w:rsid w:val="00134FA1"/>
    <w:rsid w:val="00136794"/>
    <w:rsid w:val="00136F61"/>
    <w:rsid w:val="001404D8"/>
    <w:rsid w:val="001408F1"/>
    <w:rsid w:val="00140C98"/>
    <w:rsid w:val="001421DF"/>
    <w:rsid w:val="00143549"/>
    <w:rsid w:val="0014565B"/>
    <w:rsid w:val="001465F3"/>
    <w:rsid w:val="00146619"/>
    <w:rsid w:val="00147709"/>
    <w:rsid w:val="00150BDB"/>
    <w:rsid w:val="00152DB7"/>
    <w:rsid w:val="001539E5"/>
    <w:rsid w:val="00154DBA"/>
    <w:rsid w:val="00155C4F"/>
    <w:rsid w:val="001606EB"/>
    <w:rsid w:val="001619AB"/>
    <w:rsid w:val="001626C8"/>
    <w:rsid w:val="00163A01"/>
    <w:rsid w:val="00163BC5"/>
    <w:rsid w:val="00164303"/>
    <w:rsid w:val="001649BE"/>
    <w:rsid w:val="001658EA"/>
    <w:rsid w:val="00166EBD"/>
    <w:rsid w:val="0017012D"/>
    <w:rsid w:val="00172186"/>
    <w:rsid w:val="001724DB"/>
    <w:rsid w:val="00172607"/>
    <w:rsid w:val="00172EB3"/>
    <w:rsid w:val="001756C2"/>
    <w:rsid w:val="00177F2A"/>
    <w:rsid w:val="0018075F"/>
    <w:rsid w:val="00183717"/>
    <w:rsid w:val="001851D9"/>
    <w:rsid w:val="0018638E"/>
    <w:rsid w:val="0018734E"/>
    <w:rsid w:val="00187A1C"/>
    <w:rsid w:val="0019054A"/>
    <w:rsid w:val="00190A4B"/>
    <w:rsid w:val="00191729"/>
    <w:rsid w:val="001948E9"/>
    <w:rsid w:val="00196B04"/>
    <w:rsid w:val="001A029D"/>
    <w:rsid w:val="001A1D9C"/>
    <w:rsid w:val="001A1E40"/>
    <w:rsid w:val="001A334F"/>
    <w:rsid w:val="001A51BD"/>
    <w:rsid w:val="001A792E"/>
    <w:rsid w:val="001A7BC9"/>
    <w:rsid w:val="001B2E92"/>
    <w:rsid w:val="001B48B9"/>
    <w:rsid w:val="001B5379"/>
    <w:rsid w:val="001B62DC"/>
    <w:rsid w:val="001B7A6C"/>
    <w:rsid w:val="001C1745"/>
    <w:rsid w:val="001C3727"/>
    <w:rsid w:val="001C45BA"/>
    <w:rsid w:val="001C48BA"/>
    <w:rsid w:val="001C51D7"/>
    <w:rsid w:val="001C700D"/>
    <w:rsid w:val="001D0D4F"/>
    <w:rsid w:val="001D19FC"/>
    <w:rsid w:val="001D45D3"/>
    <w:rsid w:val="001D631E"/>
    <w:rsid w:val="001D75F9"/>
    <w:rsid w:val="001E0F60"/>
    <w:rsid w:val="001E1415"/>
    <w:rsid w:val="001E2782"/>
    <w:rsid w:val="001E3144"/>
    <w:rsid w:val="001E43FA"/>
    <w:rsid w:val="001E461D"/>
    <w:rsid w:val="001E64C3"/>
    <w:rsid w:val="001E6B25"/>
    <w:rsid w:val="001E7632"/>
    <w:rsid w:val="001E775A"/>
    <w:rsid w:val="001F0562"/>
    <w:rsid w:val="001F1F1D"/>
    <w:rsid w:val="001F3065"/>
    <w:rsid w:val="001F5865"/>
    <w:rsid w:val="001F6933"/>
    <w:rsid w:val="001F6B14"/>
    <w:rsid w:val="001F7D3B"/>
    <w:rsid w:val="00205BF2"/>
    <w:rsid w:val="0020660E"/>
    <w:rsid w:val="00206CC2"/>
    <w:rsid w:val="00207432"/>
    <w:rsid w:val="0021042C"/>
    <w:rsid w:val="00212276"/>
    <w:rsid w:val="00212EED"/>
    <w:rsid w:val="0021326A"/>
    <w:rsid w:val="0021584E"/>
    <w:rsid w:val="00217E47"/>
    <w:rsid w:val="00223111"/>
    <w:rsid w:val="002252FE"/>
    <w:rsid w:val="002255E9"/>
    <w:rsid w:val="0022570B"/>
    <w:rsid w:val="00231237"/>
    <w:rsid w:val="00231383"/>
    <w:rsid w:val="002317D3"/>
    <w:rsid w:val="00233423"/>
    <w:rsid w:val="00233CF6"/>
    <w:rsid w:val="0023568D"/>
    <w:rsid w:val="00236071"/>
    <w:rsid w:val="002360BA"/>
    <w:rsid w:val="0023620F"/>
    <w:rsid w:val="00236B2B"/>
    <w:rsid w:val="00237720"/>
    <w:rsid w:val="00240C64"/>
    <w:rsid w:val="00242082"/>
    <w:rsid w:val="002440E6"/>
    <w:rsid w:val="002447ED"/>
    <w:rsid w:val="002456E4"/>
    <w:rsid w:val="0024578F"/>
    <w:rsid w:val="00245F6F"/>
    <w:rsid w:val="00246F24"/>
    <w:rsid w:val="002505A6"/>
    <w:rsid w:val="00250AE1"/>
    <w:rsid w:val="002526DD"/>
    <w:rsid w:val="00252DA2"/>
    <w:rsid w:val="00253C22"/>
    <w:rsid w:val="002543AE"/>
    <w:rsid w:val="002544AB"/>
    <w:rsid w:val="00254BBE"/>
    <w:rsid w:val="002564E1"/>
    <w:rsid w:val="00256832"/>
    <w:rsid w:val="0026093C"/>
    <w:rsid w:val="00261048"/>
    <w:rsid w:val="00263036"/>
    <w:rsid w:val="00267346"/>
    <w:rsid w:val="002701DD"/>
    <w:rsid w:val="00272C10"/>
    <w:rsid w:val="0027413B"/>
    <w:rsid w:val="00274861"/>
    <w:rsid w:val="00276198"/>
    <w:rsid w:val="00276BAD"/>
    <w:rsid w:val="00277E15"/>
    <w:rsid w:val="00280925"/>
    <w:rsid w:val="00280BAD"/>
    <w:rsid w:val="00281592"/>
    <w:rsid w:val="002815AF"/>
    <w:rsid w:val="00281C69"/>
    <w:rsid w:val="00281F05"/>
    <w:rsid w:val="0028353D"/>
    <w:rsid w:val="002862BF"/>
    <w:rsid w:val="00286DBC"/>
    <w:rsid w:val="00290EA5"/>
    <w:rsid w:val="002950FA"/>
    <w:rsid w:val="00296BD7"/>
    <w:rsid w:val="002972A1"/>
    <w:rsid w:val="002A03A7"/>
    <w:rsid w:val="002A0C56"/>
    <w:rsid w:val="002A0ECE"/>
    <w:rsid w:val="002A19FD"/>
    <w:rsid w:val="002A23BC"/>
    <w:rsid w:val="002A3475"/>
    <w:rsid w:val="002A4DB6"/>
    <w:rsid w:val="002A531B"/>
    <w:rsid w:val="002A5BE4"/>
    <w:rsid w:val="002A6B18"/>
    <w:rsid w:val="002A741D"/>
    <w:rsid w:val="002B05AA"/>
    <w:rsid w:val="002B28CE"/>
    <w:rsid w:val="002B2BE5"/>
    <w:rsid w:val="002B3110"/>
    <w:rsid w:val="002B31F8"/>
    <w:rsid w:val="002B34F8"/>
    <w:rsid w:val="002B3EFC"/>
    <w:rsid w:val="002B4682"/>
    <w:rsid w:val="002B6618"/>
    <w:rsid w:val="002B6765"/>
    <w:rsid w:val="002C338F"/>
    <w:rsid w:val="002C343E"/>
    <w:rsid w:val="002C4373"/>
    <w:rsid w:val="002C5667"/>
    <w:rsid w:val="002D02ED"/>
    <w:rsid w:val="002D099A"/>
    <w:rsid w:val="002D0B9C"/>
    <w:rsid w:val="002D16EB"/>
    <w:rsid w:val="002D3389"/>
    <w:rsid w:val="002D60EC"/>
    <w:rsid w:val="002D6FC0"/>
    <w:rsid w:val="002D735F"/>
    <w:rsid w:val="002E0A3C"/>
    <w:rsid w:val="002E0F2D"/>
    <w:rsid w:val="002E0F92"/>
    <w:rsid w:val="002E2C70"/>
    <w:rsid w:val="002E41BF"/>
    <w:rsid w:val="002E497F"/>
    <w:rsid w:val="002E6EDF"/>
    <w:rsid w:val="002E738D"/>
    <w:rsid w:val="002E7B75"/>
    <w:rsid w:val="002E7E79"/>
    <w:rsid w:val="002F070B"/>
    <w:rsid w:val="002F075D"/>
    <w:rsid w:val="002F1597"/>
    <w:rsid w:val="002F4010"/>
    <w:rsid w:val="002F4BC2"/>
    <w:rsid w:val="002F4D2F"/>
    <w:rsid w:val="002F6313"/>
    <w:rsid w:val="002F6569"/>
    <w:rsid w:val="002F6C0B"/>
    <w:rsid w:val="002F7B36"/>
    <w:rsid w:val="003010F3"/>
    <w:rsid w:val="00303429"/>
    <w:rsid w:val="0030361E"/>
    <w:rsid w:val="00304347"/>
    <w:rsid w:val="00304E4E"/>
    <w:rsid w:val="003101F4"/>
    <w:rsid w:val="0031033D"/>
    <w:rsid w:val="00311D45"/>
    <w:rsid w:val="00313778"/>
    <w:rsid w:val="00314841"/>
    <w:rsid w:val="00315385"/>
    <w:rsid w:val="0031597A"/>
    <w:rsid w:val="00315F01"/>
    <w:rsid w:val="003173A9"/>
    <w:rsid w:val="00320C1F"/>
    <w:rsid w:val="00321ED4"/>
    <w:rsid w:val="003225C6"/>
    <w:rsid w:val="00322654"/>
    <w:rsid w:val="003228AF"/>
    <w:rsid w:val="00322E61"/>
    <w:rsid w:val="0032399F"/>
    <w:rsid w:val="003258DC"/>
    <w:rsid w:val="00325959"/>
    <w:rsid w:val="00325ED9"/>
    <w:rsid w:val="0032631A"/>
    <w:rsid w:val="003277BC"/>
    <w:rsid w:val="00327C48"/>
    <w:rsid w:val="00332F0D"/>
    <w:rsid w:val="00333037"/>
    <w:rsid w:val="003336BD"/>
    <w:rsid w:val="00334CC0"/>
    <w:rsid w:val="00335438"/>
    <w:rsid w:val="00340506"/>
    <w:rsid w:val="00342994"/>
    <w:rsid w:val="00343E6C"/>
    <w:rsid w:val="003444DE"/>
    <w:rsid w:val="0034497A"/>
    <w:rsid w:val="00346127"/>
    <w:rsid w:val="00347383"/>
    <w:rsid w:val="003514B1"/>
    <w:rsid w:val="00351534"/>
    <w:rsid w:val="00352163"/>
    <w:rsid w:val="003528BA"/>
    <w:rsid w:val="00352C1C"/>
    <w:rsid w:val="00353DCA"/>
    <w:rsid w:val="003547C3"/>
    <w:rsid w:val="00354B79"/>
    <w:rsid w:val="00355763"/>
    <w:rsid w:val="0035741A"/>
    <w:rsid w:val="00357F2B"/>
    <w:rsid w:val="00363E6C"/>
    <w:rsid w:val="00365674"/>
    <w:rsid w:val="003702AD"/>
    <w:rsid w:val="0037087B"/>
    <w:rsid w:val="00371846"/>
    <w:rsid w:val="00371DA3"/>
    <w:rsid w:val="003725A8"/>
    <w:rsid w:val="00372657"/>
    <w:rsid w:val="00372CF3"/>
    <w:rsid w:val="0037395C"/>
    <w:rsid w:val="003742BC"/>
    <w:rsid w:val="0037480B"/>
    <w:rsid w:val="00374975"/>
    <w:rsid w:val="00376AA3"/>
    <w:rsid w:val="00377476"/>
    <w:rsid w:val="00380535"/>
    <w:rsid w:val="003816CB"/>
    <w:rsid w:val="003819DD"/>
    <w:rsid w:val="00381CD4"/>
    <w:rsid w:val="00381D08"/>
    <w:rsid w:val="0038297A"/>
    <w:rsid w:val="00387662"/>
    <w:rsid w:val="003910F5"/>
    <w:rsid w:val="003920BB"/>
    <w:rsid w:val="0039312F"/>
    <w:rsid w:val="00397FF5"/>
    <w:rsid w:val="003A239B"/>
    <w:rsid w:val="003A2FFB"/>
    <w:rsid w:val="003A3495"/>
    <w:rsid w:val="003A7F32"/>
    <w:rsid w:val="003B01D7"/>
    <w:rsid w:val="003B03C6"/>
    <w:rsid w:val="003B15B0"/>
    <w:rsid w:val="003B22A1"/>
    <w:rsid w:val="003B5483"/>
    <w:rsid w:val="003B56E7"/>
    <w:rsid w:val="003B6C63"/>
    <w:rsid w:val="003C1220"/>
    <w:rsid w:val="003C3626"/>
    <w:rsid w:val="003C372D"/>
    <w:rsid w:val="003C373A"/>
    <w:rsid w:val="003C3EFE"/>
    <w:rsid w:val="003C637D"/>
    <w:rsid w:val="003C63AB"/>
    <w:rsid w:val="003C7D65"/>
    <w:rsid w:val="003D305D"/>
    <w:rsid w:val="003D353E"/>
    <w:rsid w:val="003D688B"/>
    <w:rsid w:val="003E06C8"/>
    <w:rsid w:val="003E0945"/>
    <w:rsid w:val="003E0FBB"/>
    <w:rsid w:val="003E16CA"/>
    <w:rsid w:val="003E22F3"/>
    <w:rsid w:val="003E41E2"/>
    <w:rsid w:val="003E47F3"/>
    <w:rsid w:val="003E55D0"/>
    <w:rsid w:val="003E7F9B"/>
    <w:rsid w:val="003F2F92"/>
    <w:rsid w:val="003F36AA"/>
    <w:rsid w:val="003F68C4"/>
    <w:rsid w:val="003F70E5"/>
    <w:rsid w:val="003F71CF"/>
    <w:rsid w:val="003F7A44"/>
    <w:rsid w:val="003F7AC8"/>
    <w:rsid w:val="004000C5"/>
    <w:rsid w:val="00400589"/>
    <w:rsid w:val="0040174E"/>
    <w:rsid w:val="0040458B"/>
    <w:rsid w:val="004100BA"/>
    <w:rsid w:val="00410F91"/>
    <w:rsid w:val="0041112E"/>
    <w:rsid w:val="0041114F"/>
    <w:rsid w:val="00411FE0"/>
    <w:rsid w:val="0041280E"/>
    <w:rsid w:val="00413847"/>
    <w:rsid w:val="004140FA"/>
    <w:rsid w:val="0041489A"/>
    <w:rsid w:val="00414B65"/>
    <w:rsid w:val="00414C64"/>
    <w:rsid w:val="00415113"/>
    <w:rsid w:val="00415B6F"/>
    <w:rsid w:val="00415E59"/>
    <w:rsid w:val="0041769E"/>
    <w:rsid w:val="00417F32"/>
    <w:rsid w:val="00421F49"/>
    <w:rsid w:val="00421FF1"/>
    <w:rsid w:val="0042203A"/>
    <w:rsid w:val="004229D9"/>
    <w:rsid w:val="00422A74"/>
    <w:rsid w:val="00422BF1"/>
    <w:rsid w:val="00423AAE"/>
    <w:rsid w:val="00423D8F"/>
    <w:rsid w:val="00425222"/>
    <w:rsid w:val="004259DA"/>
    <w:rsid w:val="00425E97"/>
    <w:rsid w:val="00425FF7"/>
    <w:rsid w:val="004264CB"/>
    <w:rsid w:val="00427B48"/>
    <w:rsid w:val="00430A62"/>
    <w:rsid w:val="004314EE"/>
    <w:rsid w:val="004326DD"/>
    <w:rsid w:val="00432863"/>
    <w:rsid w:val="004340D0"/>
    <w:rsid w:val="00434C10"/>
    <w:rsid w:val="00434C44"/>
    <w:rsid w:val="004352D4"/>
    <w:rsid w:val="00435716"/>
    <w:rsid w:val="00436CC4"/>
    <w:rsid w:val="00437C46"/>
    <w:rsid w:val="0044098D"/>
    <w:rsid w:val="00441AE2"/>
    <w:rsid w:val="00442C09"/>
    <w:rsid w:val="0044475A"/>
    <w:rsid w:val="00444799"/>
    <w:rsid w:val="00451085"/>
    <w:rsid w:val="004531DB"/>
    <w:rsid w:val="0045356D"/>
    <w:rsid w:val="00456BA7"/>
    <w:rsid w:val="0045776D"/>
    <w:rsid w:val="00457845"/>
    <w:rsid w:val="00460287"/>
    <w:rsid w:val="0046040A"/>
    <w:rsid w:val="00460818"/>
    <w:rsid w:val="00460D6D"/>
    <w:rsid w:val="004615E6"/>
    <w:rsid w:val="0046238E"/>
    <w:rsid w:val="00462EE9"/>
    <w:rsid w:val="00463EDC"/>
    <w:rsid w:val="00464445"/>
    <w:rsid w:val="0046451A"/>
    <w:rsid w:val="00465D86"/>
    <w:rsid w:val="00466116"/>
    <w:rsid w:val="004706E1"/>
    <w:rsid w:val="00472780"/>
    <w:rsid w:val="00472855"/>
    <w:rsid w:val="00475BBB"/>
    <w:rsid w:val="00475E50"/>
    <w:rsid w:val="00476492"/>
    <w:rsid w:val="00477111"/>
    <w:rsid w:val="00477656"/>
    <w:rsid w:val="00477977"/>
    <w:rsid w:val="004808B9"/>
    <w:rsid w:val="0048094E"/>
    <w:rsid w:val="0048257D"/>
    <w:rsid w:val="0048282D"/>
    <w:rsid w:val="00482A6D"/>
    <w:rsid w:val="0048584B"/>
    <w:rsid w:val="004865A2"/>
    <w:rsid w:val="00487818"/>
    <w:rsid w:val="0048797D"/>
    <w:rsid w:val="00487AEC"/>
    <w:rsid w:val="00487D15"/>
    <w:rsid w:val="00487E71"/>
    <w:rsid w:val="0049250A"/>
    <w:rsid w:val="004945F7"/>
    <w:rsid w:val="004A1BAD"/>
    <w:rsid w:val="004A25FC"/>
    <w:rsid w:val="004A2E0F"/>
    <w:rsid w:val="004A39FA"/>
    <w:rsid w:val="004A5CE5"/>
    <w:rsid w:val="004A638D"/>
    <w:rsid w:val="004A66C0"/>
    <w:rsid w:val="004B0FAC"/>
    <w:rsid w:val="004B11D3"/>
    <w:rsid w:val="004B13A4"/>
    <w:rsid w:val="004B2C2F"/>
    <w:rsid w:val="004B3602"/>
    <w:rsid w:val="004B582D"/>
    <w:rsid w:val="004C0826"/>
    <w:rsid w:val="004C0C33"/>
    <w:rsid w:val="004C2046"/>
    <w:rsid w:val="004C39AA"/>
    <w:rsid w:val="004C45E9"/>
    <w:rsid w:val="004C52D2"/>
    <w:rsid w:val="004C5F9A"/>
    <w:rsid w:val="004C651E"/>
    <w:rsid w:val="004C7561"/>
    <w:rsid w:val="004D0503"/>
    <w:rsid w:val="004D0FB5"/>
    <w:rsid w:val="004D172D"/>
    <w:rsid w:val="004D1F30"/>
    <w:rsid w:val="004D23BD"/>
    <w:rsid w:val="004D2914"/>
    <w:rsid w:val="004D42AE"/>
    <w:rsid w:val="004E05A4"/>
    <w:rsid w:val="004E23AE"/>
    <w:rsid w:val="004E5178"/>
    <w:rsid w:val="004E607B"/>
    <w:rsid w:val="004E721C"/>
    <w:rsid w:val="004E76BA"/>
    <w:rsid w:val="004E7B15"/>
    <w:rsid w:val="004F1B06"/>
    <w:rsid w:val="004F29A1"/>
    <w:rsid w:val="004F2B65"/>
    <w:rsid w:val="004F4CE3"/>
    <w:rsid w:val="004F6E05"/>
    <w:rsid w:val="004F7A13"/>
    <w:rsid w:val="00500408"/>
    <w:rsid w:val="00501EC8"/>
    <w:rsid w:val="0050333A"/>
    <w:rsid w:val="0050395C"/>
    <w:rsid w:val="00505B8D"/>
    <w:rsid w:val="00505F83"/>
    <w:rsid w:val="00506435"/>
    <w:rsid w:val="005129B0"/>
    <w:rsid w:val="005134AE"/>
    <w:rsid w:val="005135BA"/>
    <w:rsid w:val="00514C78"/>
    <w:rsid w:val="00515359"/>
    <w:rsid w:val="00515467"/>
    <w:rsid w:val="00522C55"/>
    <w:rsid w:val="00523249"/>
    <w:rsid w:val="005236F7"/>
    <w:rsid w:val="00524F1D"/>
    <w:rsid w:val="005254D3"/>
    <w:rsid w:val="00525FDD"/>
    <w:rsid w:val="005260AF"/>
    <w:rsid w:val="0052647F"/>
    <w:rsid w:val="00527264"/>
    <w:rsid w:val="0053042A"/>
    <w:rsid w:val="005310F4"/>
    <w:rsid w:val="005317CB"/>
    <w:rsid w:val="00531C60"/>
    <w:rsid w:val="00531F0B"/>
    <w:rsid w:val="0053256F"/>
    <w:rsid w:val="005338D7"/>
    <w:rsid w:val="005341CD"/>
    <w:rsid w:val="00535527"/>
    <w:rsid w:val="005414E0"/>
    <w:rsid w:val="005417A4"/>
    <w:rsid w:val="00541F15"/>
    <w:rsid w:val="00545583"/>
    <w:rsid w:val="005459AC"/>
    <w:rsid w:val="00545FF0"/>
    <w:rsid w:val="00551763"/>
    <w:rsid w:val="0055240B"/>
    <w:rsid w:val="005525C5"/>
    <w:rsid w:val="00552E97"/>
    <w:rsid w:val="0055336B"/>
    <w:rsid w:val="005537CC"/>
    <w:rsid w:val="005553C5"/>
    <w:rsid w:val="00557175"/>
    <w:rsid w:val="00557535"/>
    <w:rsid w:val="0056175C"/>
    <w:rsid w:val="00561B65"/>
    <w:rsid w:val="00561C6B"/>
    <w:rsid w:val="00562026"/>
    <w:rsid w:val="00562F0F"/>
    <w:rsid w:val="005636FC"/>
    <w:rsid w:val="0056423C"/>
    <w:rsid w:val="00564F58"/>
    <w:rsid w:val="005670EF"/>
    <w:rsid w:val="005672F9"/>
    <w:rsid w:val="00567C3D"/>
    <w:rsid w:val="00567E73"/>
    <w:rsid w:val="0057069C"/>
    <w:rsid w:val="00570962"/>
    <w:rsid w:val="0057394C"/>
    <w:rsid w:val="00573AF6"/>
    <w:rsid w:val="00573CAA"/>
    <w:rsid w:val="0057420E"/>
    <w:rsid w:val="00574A0D"/>
    <w:rsid w:val="005751CA"/>
    <w:rsid w:val="005760FE"/>
    <w:rsid w:val="00580130"/>
    <w:rsid w:val="00580868"/>
    <w:rsid w:val="00583231"/>
    <w:rsid w:val="0058342E"/>
    <w:rsid w:val="00584CAD"/>
    <w:rsid w:val="00584F59"/>
    <w:rsid w:val="00585DDB"/>
    <w:rsid w:val="00585FE2"/>
    <w:rsid w:val="00590CD6"/>
    <w:rsid w:val="00592719"/>
    <w:rsid w:val="00592DE2"/>
    <w:rsid w:val="00593C19"/>
    <w:rsid w:val="00593D90"/>
    <w:rsid w:val="00594203"/>
    <w:rsid w:val="00597572"/>
    <w:rsid w:val="00597809"/>
    <w:rsid w:val="00597AF2"/>
    <w:rsid w:val="005A04D1"/>
    <w:rsid w:val="005A06F6"/>
    <w:rsid w:val="005A0E33"/>
    <w:rsid w:val="005A166E"/>
    <w:rsid w:val="005A1900"/>
    <w:rsid w:val="005A1F0D"/>
    <w:rsid w:val="005A248B"/>
    <w:rsid w:val="005A2FD2"/>
    <w:rsid w:val="005A3659"/>
    <w:rsid w:val="005A3F31"/>
    <w:rsid w:val="005A5AF1"/>
    <w:rsid w:val="005A705D"/>
    <w:rsid w:val="005A75FD"/>
    <w:rsid w:val="005A764D"/>
    <w:rsid w:val="005B3FC0"/>
    <w:rsid w:val="005B429D"/>
    <w:rsid w:val="005B42CB"/>
    <w:rsid w:val="005B6173"/>
    <w:rsid w:val="005B6571"/>
    <w:rsid w:val="005B7565"/>
    <w:rsid w:val="005B7A88"/>
    <w:rsid w:val="005C1811"/>
    <w:rsid w:val="005C3269"/>
    <w:rsid w:val="005C5439"/>
    <w:rsid w:val="005C7B71"/>
    <w:rsid w:val="005C7C55"/>
    <w:rsid w:val="005D0A50"/>
    <w:rsid w:val="005D0F8D"/>
    <w:rsid w:val="005D11CF"/>
    <w:rsid w:val="005D14B0"/>
    <w:rsid w:val="005D21C8"/>
    <w:rsid w:val="005D34F7"/>
    <w:rsid w:val="005D4D50"/>
    <w:rsid w:val="005D541E"/>
    <w:rsid w:val="005D5755"/>
    <w:rsid w:val="005D6275"/>
    <w:rsid w:val="005E0259"/>
    <w:rsid w:val="005E0A99"/>
    <w:rsid w:val="005E37B6"/>
    <w:rsid w:val="005E3A70"/>
    <w:rsid w:val="005E7562"/>
    <w:rsid w:val="005F20FF"/>
    <w:rsid w:val="005F2A6A"/>
    <w:rsid w:val="005F3ECE"/>
    <w:rsid w:val="005F546E"/>
    <w:rsid w:val="005F5A55"/>
    <w:rsid w:val="005F6B15"/>
    <w:rsid w:val="005F6DFF"/>
    <w:rsid w:val="0060028F"/>
    <w:rsid w:val="006003DF"/>
    <w:rsid w:val="00600F01"/>
    <w:rsid w:val="00602093"/>
    <w:rsid w:val="00602DE2"/>
    <w:rsid w:val="00603015"/>
    <w:rsid w:val="00603FF4"/>
    <w:rsid w:val="006071E6"/>
    <w:rsid w:val="00611349"/>
    <w:rsid w:val="00611960"/>
    <w:rsid w:val="00614C1F"/>
    <w:rsid w:val="0061532E"/>
    <w:rsid w:val="006159A5"/>
    <w:rsid w:val="0061678B"/>
    <w:rsid w:val="00616BEC"/>
    <w:rsid w:val="006205D4"/>
    <w:rsid w:val="006208A2"/>
    <w:rsid w:val="00620C91"/>
    <w:rsid w:val="00621CF2"/>
    <w:rsid w:val="00621FFF"/>
    <w:rsid w:val="0062438B"/>
    <w:rsid w:val="006243C5"/>
    <w:rsid w:val="00630BDC"/>
    <w:rsid w:val="006314AF"/>
    <w:rsid w:val="0063203C"/>
    <w:rsid w:val="00633646"/>
    <w:rsid w:val="0063440B"/>
    <w:rsid w:val="00634C08"/>
    <w:rsid w:val="00636584"/>
    <w:rsid w:val="00636841"/>
    <w:rsid w:val="006412B2"/>
    <w:rsid w:val="00642D0C"/>
    <w:rsid w:val="00642F77"/>
    <w:rsid w:val="006432DE"/>
    <w:rsid w:val="0064658E"/>
    <w:rsid w:val="006465DA"/>
    <w:rsid w:val="00646692"/>
    <w:rsid w:val="0065093D"/>
    <w:rsid w:val="00652396"/>
    <w:rsid w:val="00652CE2"/>
    <w:rsid w:val="00653CAC"/>
    <w:rsid w:val="00654205"/>
    <w:rsid w:val="00654406"/>
    <w:rsid w:val="00654F6A"/>
    <w:rsid w:val="00655904"/>
    <w:rsid w:val="00655A72"/>
    <w:rsid w:val="0066245B"/>
    <w:rsid w:val="006630CB"/>
    <w:rsid w:val="00664AD4"/>
    <w:rsid w:val="00665320"/>
    <w:rsid w:val="00671E46"/>
    <w:rsid w:val="00672C17"/>
    <w:rsid w:val="00675832"/>
    <w:rsid w:val="006769D6"/>
    <w:rsid w:val="00676FBC"/>
    <w:rsid w:val="006773F0"/>
    <w:rsid w:val="00677B61"/>
    <w:rsid w:val="00684A8A"/>
    <w:rsid w:val="00684D5D"/>
    <w:rsid w:val="00685CF5"/>
    <w:rsid w:val="006860A2"/>
    <w:rsid w:val="00690CBB"/>
    <w:rsid w:val="00690E4D"/>
    <w:rsid w:val="00691032"/>
    <w:rsid w:val="006932CD"/>
    <w:rsid w:val="00693FD5"/>
    <w:rsid w:val="00695DF2"/>
    <w:rsid w:val="00696714"/>
    <w:rsid w:val="006971F1"/>
    <w:rsid w:val="00697CC1"/>
    <w:rsid w:val="006A2120"/>
    <w:rsid w:val="006A2937"/>
    <w:rsid w:val="006A329F"/>
    <w:rsid w:val="006A37A2"/>
    <w:rsid w:val="006A3C07"/>
    <w:rsid w:val="006A5E46"/>
    <w:rsid w:val="006A779A"/>
    <w:rsid w:val="006B29C9"/>
    <w:rsid w:val="006B367C"/>
    <w:rsid w:val="006B438B"/>
    <w:rsid w:val="006B4DBE"/>
    <w:rsid w:val="006B4F0A"/>
    <w:rsid w:val="006B5CFC"/>
    <w:rsid w:val="006B686F"/>
    <w:rsid w:val="006B6D47"/>
    <w:rsid w:val="006B6DAF"/>
    <w:rsid w:val="006B75B6"/>
    <w:rsid w:val="006B7B7A"/>
    <w:rsid w:val="006C0AEE"/>
    <w:rsid w:val="006C160C"/>
    <w:rsid w:val="006C1CEB"/>
    <w:rsid w:val="006C2EE6"/>
    <w:rsid w:val="006C3E26"/>
    <w:rsid w:val="006C496C"/>
    <w:rsid w:val="006C56B0"/>
    <w:rsid w:val="006C7BC7"/>
    <w:rsid w:val="006C7BCF"/>
    <w:rsid w:val="006D04B1"/>
    <w:rsid w:val="006D0D3F"/>
    <w:rsid w:val="006D0F9F"/>
    <w:rsid w:val="006D11D1"/>
    <w:rsid w:val="006D1C87"/>
    <w:rsid w:val="006D41B0"/>
    <w:rsid w:val="006D43AC"/>
    <w:rsid w:val="006D5B8F"/>
    <w:rsid w:val="006D7845"/>
    <w:rsid w:val="006E016E"/>
    <w:rsid w:val="006E0418"/>
    <w:rsid w:val="006E0715"/>
    <w:rsid w:val="006E0A51"/>
    <w:rsid w:val="006E20CB"/>
    <w:rsid w:val="006E250E"/>
    <w:rsid w:val="006E6512"/>
    <w:rsid w:val="006E7D87"/>
    <w:rsid w:val="006F1C01"/>
    <w:rsid w:val="006F3539"/>
    <w:rsid w:val="006F47B4"/>
    <w:rsid w:val="006F6791"/>
    <w:rsid w:val="006F6B7E"/>
    <w:rsid w:val="00700DED"/>
    <w:rsid w:val="00701D2C"/>
    <w:rsid w:val="00702F78"/>
    <w:rsid w:val="00703E50"/>
    <w:rsid w:val="007051AB"/>
    <w:rsid w:val="00707F41"/>
    <w:rsid w:val="007101AE"/>
    <w:rsid w:val="00710B70"/>
    <w:rsid w:val="00711198"/>
    <w:rsid w:val="00711701"/>
    <w:rsid w:val="007138A4"/>
    <w:rsid w:val="00720074"/>
    <w:rsid w:val="00720553"/>
    <w:rsid w:val="00720CC5"/>
    <w:rsid w:val="00721FA9"/>
    <w:rsid w:val="00722C2D"/>
    <w:rsid w:val="00723A59"/>
    <w:rsid w:val="00723B80"/>
    <w:rsid w:val="00723D05"/>
    <w:rsid w:val="00724149"/>
    <w:rsid w:val="007251BB"/>
    <w:rsid w:val="00725535"/>
    <w:rsid w:val="00726724"/>
    <w:rsid w:val="00726F03"/>
    <w:rsid w:val="0072781F"/>
    <w:rsid w:val="00727C8C"/>
    <w:rsid w:val="0073000B"/>
    <w:rsid w:val="00732E4B"/>
    <w:rsid w:val="00733BB6"/>
    <w:rsid w:val="00733C76"/>
    <w:rsid w:val="007345AE"/>
    <w:rsid w:val="007356D3"/>
    <w:rsid w:val="007375C4"/>
    <w:rsid w:val="00741A6D"/>
    <w:rsid w:val="00741F40"/>
    <w:rsid w:val="00744243"/>
    <w:rsid w:val="00744274"/>
    <w:rsid w:val="007452E7"/>
    <w:rsid w:val="00745F37"/>
    <w:rsid w:val="00746F93"/>
    <w:rsid w:val="00747C56"/>
    <w:rsid w:val="00750B2D"/>
    <w:rsid w:val="00752E3A"/>
    <w:rsid w:val="00753CC4"/>
    <w:rsid w:val="007541C4"/>
    <w:rsid w:val="00754830"/>
    <w:rsid w:val="0075702C"/>
    <w:rsid w:val="007578F0"/>
    <w:rsid w:val="00757F17"/>
    <w:rsid w:val="00761009"/>
    <w:rsid w:val="00761FCD"/>
    <w:rsid w:val="007625D3"/>
    <w:rsid w:val="0076528C"/>
    <w:rsid w:val="0076695A"/>
    <w:rsid w:val="00766B21"/>
    <w:rsid w:val="0077007E"/>
    <w:rsid w:val="007705C2"/>
    <w:rsid w:val="00770FA7"/>
    <w:rsid w:val="00770FD0"/>
    <w:rsid w:val="007735AB"/>
    <w:rsid w:val="00774177"/>
    <w:rsid w:val="00775716"/>
    <w:rsid w:val="007759C0"/>
    <w:rsid w:val="0077707A"/>
    <w:rsid w:val="007804C9"/>
    <w:rsid w:val="007808A1"/>
    <w:rsid w:val="0078187B"/>
    <w:rsid w:val="00783169"/>
    <w:rsid w:val="00783677"/>
    <w:rsid w:val="00783D84"/>
    <w:rsid w:val="00784439"/>
    <w:rsid w:val="00785B27"/>
    <w:rsid w:val="00785E73"/>
    <w:rsid w:val="007879C9"/>
    <w:rsid w:val="00787EAB"/>
    <w:rsid w:val="00790ED6"/>
    <w:rsid w:val="00793A82"/>
    <w:rsid w:val="00793D16"/>
    <w:rsid w:val="007946EB"/>
    <w:rsid w:val="0079589B"/>
    <w:rsid w:val="007A5E07"/>
    <w:rsid w:val="007A76D6"/>
    <w:rsid w:val="007B0D55"/>
    <w:rsid w:val="007B2FF0"/>
    <w:rsid w:val="007B368F"/>
    <w:rsid w:val="007B3E3A"/>
    <w:rsid w:val="007B43FA"/>
    <w:rsid w:val="007B591C"/>
    <w:rsid w:val="007B68E5"/>
    <w:rsid w:val="007C3C90"/>
    <w:rsid w:val="007C3CC7"/>
    <w:rsid w:val="007C43CD"/>
    <w:rsid w:val="007C5DE2"/>
    <w:rsid w:val="007D2258"/>
    <w:rsid w:val="007D4D49"/>
    <w:rsid w:val="007D6A73"/>
    <w:rsid w:val="007D7268"/>
    <w:rsid w:val="007E080C"/>
    <w:rsid w:val="007E0D51"/>
    <w:rsid w:val="007E26C8"/>
    <w:rsid w:val="007E36AE"/>
    <w:rsid w:val="007E427B"/>
    <w:rsid w:val="007E5747"/>
    <w:rsid w:val="007E6A38"/>
    <w:rsid w:val="007F0664"/>
    <w:rsid w:val="007F1C81"/>
    <w:rsid w:val="007F4FAD"/>
    <w:rsid w:val="007F5260"/>
    <w:rsid w:val="007F6078"/>
    <w:rsid w:val="007F7CF7"/>
    <w:rsid w:val="008003FF"/>
    <w:rsid w:val="00800A7B"/>
    <w:rsid w:val="00800AEF"/>
    <w:rsid w:val="008010FA"/>
    <w:rsid w:val="00801574"/>
    <w:rsid w:val="00801F2C"/>
    <w:rsid w:val="00802C8F"/>
    <w:rsid w:val="008037E9"/>
    <w:rsid w:val="00805AB8"/>
    <w:rsid w:val="00805FB9"/>
    <w:rsid w:val="00810C2D"/>
    <w:rsid w:val="0081259C"/>
    <w:rsid w:val="00814D4C"/>
    <w:rsid w:val="00815A21"/>
    <w:rsid w:val="008163AA"/>
    <w:rsid w:val="008172E1"/>
    <w:rsid w:val="00817829"/>
    <w:rsid w:val="0082045F"/>
    <w:rsid w:val="008206F6"/>
    <w:rsid w:val="008207B8"/>
    <w:rsid w:val="00825340"/>
    <w:rsid w:val="008255C5"/>
    <w:rsid w:val="008268DC"/>
    <w:rsid w:val="00830CA1"/>
    <w:rsid w:val="008325CC"/>
    <w:rsid w:val="00832C48"/>
    <w:rsid w:val="008343E7"/>
    <w:rsid w:val="00834695"/>
    <w:rsid w:val="00837777"/>
    <w:rsid w:val="00840EFC"/>
    <w:rsid w:val="00843DB0"/>
    <w:rsid w:val="00844AA2"/>
    <w:rsid w:val="008450B1"/>
    <w:rsid w:val="00845C01"/>
    <w:rsid w:val="00845F8F"/>
    <w:rsid w:val="00846221"/>
    <w:rsid w:val="00846818"/>
    <w:rsid w:val="00846D13"/>
    <w:rsid w:val="008473B9"/>
    <w:rsid w:val="00847929"/>
    <w:rsid w:val="00853D5F"/>
    <w:rsid w:val="00855A77"/>
    <w:rsid w:val="00856C83"/>
    <w:rsid w:val="00857EED"/>
    <w:rsid w:val="00860129"/>
    <w:rsid w:val="00861E06"/>
    <w:rsid w:val="00862E55"/>
    <w:rsid w:val="008643CA"/>
    <w:rsid w:val="00864B3E"/>
    <w:rsid w:val="00867575"/>
    <w:rsid w:val="008677E6"/>
    <w:rsid w:val="008708D2"/>
    <w:rsid w:val="008716AC"/>
    <w:rsid w:val="008727A9"/>
    <w:rsid w:val="00872920"/>
    <w:rsid w:val="008739C7"/>
    <w:rsid w:val="00873DF0"/>
    <w:rsid w:val="00875495"/>
    <w:rsid w:val="00875B03"/>
    <w:rsid w:val="00880246"/>
    <w:rsid w:val="00880CB5"/>
    <w:rsid w:val="00880FFA"/>
    <w:rsid w:val="00881B49"/>
    <w:rsid w:val="00881F88"/>
    <w:rsid w:val="0088308A"/>
    <w:rsid w:val="00883A9E"/>
    <w:rsid w:val="008864ED"/>
    <w:rsid w:val="00890208"/>
    <w:rsid w:val="00890EC5"/>
    <w:rsid w:val="0089146E"/>
    <w:rsid w:val="008923E8"/>
    <w:rsid w:val="00892DD4"/>
    <w:rsid w:val="00893044"/>
    <w:rsid w:val="00893D9B"/>
    <w:rsid w:val="0089636A"/>
    <w:rsid w:val="00896F7F"/>
    <w:rsid w:val="008970CE"/>
    <w:rsid w:val="0089754B"/>
    <w:rsid w:val="008978E4"/>
    <w:rsid w:val="00897D95"/>
    <w:rsid w:val="008A01AA"/>
    <w:rsid w:val="008A3071"/>
    <w:rsid w:val="008A4B8B"/>
    <w:rsid w:val="008A587A"/>
    <w:rsid w:val="008A69F2"/>
    <w:rsid w:val="008A7884"/>
    <w:rsid w:val="008B0A78"/>
    <w:rsid w:val="008B4165"/>
    <w:rsid w:val="008B5C7E"/>
    <w:rsid w:val="008B6D4C"/>
    <w:rsid w:val="008C153A"/>
    <w:rsid w:val="008C161B"/>
    <w:rsid w:val="008C40AA"/>
    <w:rsid w:val="008C415E"/>
    <w:rsid w:val="008C43BA"/>
    <w:rsid w:val="008C6430"/>
    <w:rsid w:val="008D0CCE"/>
    <w:rsid w:val="008D3E1C"/>
    <w:rsid w:val="008D5528"/>
    <w:rsid w:val="008D5C6C"/>
    <w:rsid w:val="008E0F27"/>
    <w:rsid w:val="008E168E"/>
    <w:rsid w:val="008E1876"/>
    <w:rsid w:val="008E2EE6"/>
    <w:rsid w:val="008E3BDC"/>
    <w:rsid w:val="008E51F1"/>
    <w:rsid w:val="008E535A"/>
    <w:rsid w:val="008E5DEE"/>
    <w:rsid w:val="008E630D"/>
    <w:rsid w:val="008E6B9D"/>
    <w:rsid w:val="008F2A0D"/>
    <w:rsid w:val="008F4312"/>
    <w:rsid w:val="008F4D56"/>
    <w:rsid w:val="008F5EB0"/>
    <w:rsid w:val="008F66BB"/>
    <w:rsid w:val="008F7767"/>
    <w:rsid w:val="008F7F3D"/>
    <w:rsid w:val="009005F9"/>
    <w:rsid w:val="00900607"/>
    <w:rsid w:val="00900689"/>
    <w:rsid w:val="009009B2"/>
    <w:rsid w:val="00901556"/>
    <w:rsid w:val="00901ED5"/>
    <w:rsid w:val="00905242"/>
    <w:rsid w:val="00905D9F"/>
    <w:rsid w:val="00906036"/>
    <w:rsid w:val="00907704"/>
    <w:rsid w:val="009134A6"/>
    <w:rsid w:val="00913DF3"/>
    <w:rsid w:val="00914E66"/>
    <w:rsid w:val="009153C7"/>
    <w:rsid w:val="00916DDD"/>
    <w:rsid w:val="00917B56"/>
    <w:rsid w:val="00921E63"/>
    <w:rsid w:val="00923620"/>
    <w:rsid w:val="00923806"/>
    <w:rsid w:val="009271D3"/>
    <w:rsid w:val="00930633"/>
    <w:rsid w:val="00932047"/>
    <w:rsid w:val="00932D24"/>
    <w:rsid w:val="00933299"/>
    <w:rsid w:val="00933C65"/>
    <w:rsid w:val="00933DD8"/>
    <w:rsid w:val="009353B1"/>
    <w:rsid w:val="0093559C"/>
    <w:rsid w:val="009356A1"/>
    <w:rsid w:val="00941CD3"/>
    <w:rsid w:val="00942BB1"/>
    <w:rsid w:val="00943C70"/>
    <w:rsid w:val="00945251"/>
    <w:rsid w:val="00945F1C"/>
    <w:rsid w:val="00947011"/>
    <w:rsid w:val="009473D6"/>
    <w:rsid w:val="009477BD"/>
    <w:rsid w:val="00950252"/>
    <w:rsid w:val="0095184F"/>
    <w:rsid w:val="00951FF6"/>
    <w:rsid w:val="009525CA"/>
    <w:rsid w:val="00952F12"/>
    <w:rsid w:val="009535A9"/>
    <w:rsid w:val="00953DD4"/>
    <w:rsid w:val="00955A79"/>
    <w:rsid w:val="00955F3A"/>
    <w:rsid w:val="009616CF"/>
    <w:rsid w:val="00961E31"/>
    <w:rsid w:val="00962B6A"/>
    <w:rsid w:val="00964696"/>
    <w:rsid w:val="00964887"/>
    <w:rsid w:val="00964A5D"/>
    <w:rsid w:val="00964C66"/>
    <w:rsid w:val="009663C6"/>
    <w:rsid w:val="0096665F"/>
    <w:rsid w:val="009674D9"/>
    <w:rsid w:val="009702B8"/>
    <w:rsid w:val="0097109A"/>
    <w:rsid w:val="00972872"/>
    <w:rsid w:val="00972918"/>
    <w:rsid w:val="00974725"/>
    <w:rsid w:val="0097572B"/>
    <w:rsid w:val="00975E26"/>
    <w:rsid w:val="00975EAC"/>
    <w:rsid w:val="00981882"/>
    <w:rsid w:val="009829B3"/>
    <w:rsid w:val="0098572B"/>
    <w:rsid w:val="009857D5"/>
    <w:rsid w:val="00985CED"/>
    <w:rsid w:val="00985F09"/>
    <w:rsid w:val="00986023"/>
    <w:rsid w:val="0099087D"/>
    <w:rsid w:val="00992E25"/>
    <w:rsid w:val="0099309C"/>
    <w:rsid w:val="009956DC"/>
    <w:rsid w:val="009958F5"/>
    <w:rsid w:val="009959E8"/>
    <w:rsid w:val="0099695E"/>
    <w:rsid w:val="0099716D"/>
    <w:rsid w:val="0099756A"/>
    <w:rsid w:val="009977D7"/>
    <w:rsid w:val="009979F0"/>
    <w:rsid w:val="00997FE6"/>
    <w:rsid w:val="009A068F"/>
    <w:rsid w:val="009A1407"/>
    <w:rsid w:val="009A4ADA"/>
    <w:rsid w:val="009A502B"/>
    <w:rsid w:val="009A63EC"/>
    <w:rsid w:val="009B0B71"/>
    <w:rsid w:val="009B145B"/>
    <w:rsid w:val="009B1B0B"/>
    <w:rsid w:val="009B34AA"/>
    <w:rsid w:val="009B3B88"/>
    <w:rsid w:val="009B4186"/>
    <w:rsid w:val="009B47EB"/>
    <w:rsid w:val="009B4CD9"/>
    <w:rsid w:val="009B529B"/>
    <w:rsid w:val="009C0816"/>
    <w:rsid w:val="009C20E7"/>
    <w:rsid w:val="009C2A08"/>
    <w:rsid w:val="009C485C"/>
    <w:rsid w:val="009C549C"/>
    <w:rsid w:val="009C6B42"/>
    <w:rsid w:val="009C6D8A"/>
    <w:rsid w:val="009C7CD0"/>
    <w:rsid w:val="009D1E69"/>
    <w:rsid w:val="009D1EF6"/>
    <w:rsid w:val="009D2180"/>
    <w:rsid w:val="009D23F2"/>
    <w:rsid w:val="009D2B1B"/>
    <w:rsid w:val="009D2FB9"/>
    <w:rsid w:val="009D3762"/>
    <w:rsid w:val="009D4FF5"/>
    <w:rsid w:val="009D5516"/>
    <w:rsid w:val="009D5DC2"/>
    <w:rsid w:val="009D68E6"/>
    <w:rsid w:val="009D7E30"/>
    <w:rsid w:val="009E220B"/>
    <w:rsid w:val="009E71EB"/>
    <w:rsid w:val="009F021E"/>
    <w:rsid w:val="009F1F9C"/>
    <w:rsid w:val="009F43EA"/>
    <w:rsid w:val="009F4EEB"/>
    <w:rsid w:val="009F51CE"/>
    <w:rsid w:val="009F6A21"/>
    <w:rsid w:val="00A0069A"/>
    <w:rsid w:val="00A00A52"/>
    <w:rsid w:val="00A00F0F"/>
    <w:rsid w:val="00A017FB"/>
    <w:rsid w:val="00A01DFD"/>
    <w:rsid w:val="00A01F4A"/>
    <w:rsid w:val="00A01F7B"/>
    <w:rsid w:val="00A033C8"/>
    <w:rsid w:val="00A040AD"/>
    <w:rsid w:val="00A04470"/>
    <w:rsid w:val="00A04A8D"/>
    <w:rsid w:val="00A04C28"/>
    <w:rsid w:val="00A0591F"/>
    <w:rsid w:val="00A0683B"/>
    <w:rsid w:val="00A07855"/>
    <w:rsid w:val="00A10190"/>
    <w:rsid w:val="00A10AEC"/>
    <w:rsid w:val="00A128E1"/>
    <w:rsid w:val="00A13FDC"/>
    <w:rsid w:val="00A17748"/>
    <w:rsid w:val="00A201A0"/>
    <w:rsid w:val="00A20EAF"/>
    <w:rsid w:val="00A231FA"/>
    <w:rsid w:val="00A26EA8"/>
    <w:rsid w:val="00A27451"/>
    <w:rsid w:val="00A2768B"/>
    <w:rsid w:val="00A30B8B"/>
    <w:rsid w:val="00A30E3E"/>
    <w:rsid w:val="00A3187E"/>
    <w:rsid w:val="00A319E4"/>
    <w:rsid w:val="00A31B3A"/>
    <w:rsid w:val="00A3256D"/>
    <w:rsid w:val="00A32659"/>
    <w:rsid w:val="00A33A09"/>
    <w:rsid w:val="00A33BC3"/>
    <w:rsid w:val="00A4209A"/>
    <w:rsid w:val="00A4318C"/>
    <w:rsid w:val="00A4374C"/>
    <w:rsid w:val="00A44634"/>
    <w:rsid w:val="00A4481C"/>
    <w:rsid w:val="00A45D01"/>
    <w:rsid w:val="00A46AAB"/>
    <w:rsid w:val="00A474FB"/>
    <w:rsid w:val="00A515CB"/>
    <w:rsid w:val="00A52417"/>
    <w:rsid w:val="00A552CB"/>
    <w:rsid w:val="00A57724"/>
    <w:rsid w:val="00A61E7D"/>
    <w:rsid w:val="00A65EA7"/>
    <w:rsid w:val="00A661DC"/>
    <w:rsid w:val="00A661E3"/>
    <w:rsid w:val="00A66BD7"/>
    <w:rsid w:val="00A70648"/>
    <w:rsid w:val="00A70815"/>
    <w:rsid w:val="00A70BEB"/>
    <w:rsid w:val="00A71AA9"/>
    <w:rsid w:val="00A73098"/>
    <w:rsid w:val="00A75A26"/>
    <w:rsid w:val="00A75AC5"/>
    <w:rsid w:val="00A76594"/>
    <w:rsid w:val="00A77606"/>
    <w:rsid w:val="00A7794A"/>
    <w:rsid w:val="00A81EF2"/>
    <w:rsid w:val="00A83806"/>
    <w:rsid w:val="00A84C3E"/>
    <w:rsid w:val="00A84FF7"/>
    <w:rsid w:val="00A863FB"/>
    <w:rsid w:val="00A86A04"/>
    <w:rsid w:val="00A86EE9"/>
    <w:rsid w:val="00A905CE"/>
    <w:rsid w:val="00A90B07"/>
    <w:rsid w:val="00A90E00"/>
    <w:rsid w:val="00A9176C"/>
    <w:rsid w:val="00A9392F"/>
    <w:rsid w:val="00A95945"/>
    <w:rsid w:val="00A9735D"/>
    <w:rsid w:val="00A976D2"/>
    <w:rsid w:val="00A97DF8"/>
    <w:rsid w:val="00AA7BC9"/>
    <w:rsid w:val="00AB1D6F"/>
    <w:rsid w:val="00AB20F2"/>
    <w:rsid w:val="00AB2A8B"/>
    <w:rsid w:val="00AB4074"/>
    <w:rsid w:val="00AB46A9"/>
    <w:rsid w:val="00AB573A"/>
    <w:rsid w:val="00AB6618"/>
    <w:rsid w:val="00AC0417"/>
    <w:rsid w:val="00AC0AF5"/>
    <w:rsid w:val="00AC124F"/>
    <w:rsid w:val="00AC208A"/>
    <w:rsid w:val="00AC25BC"/>
    <w:rsid w:val="00AC5205"/>
    <w:rsid w:val="00AC5A51"/>
    <w:rsid w:val="00AC5B04"/>
    <w:rsid w:val="00AC5D0A"/>
    <w:rsid w:val="00AD0CC8"/>
    <w:rsid w:val="00AD281A"/>
    <w:rsid w:val="00AD54E1"/>
    <w:rsid w:val="00AD56E3"/>
    <w:rsid w:val="00AD609D"/>
    <w:rsid w:val="00AD7857"/>
    <w:rsid w:val="00AE170B"/>
    <w:rsid w:val="00AE215E"/>
    <w:rsid w:val="00AE6377"/>
    <w:rsid w:val="00AF01BD"/>
    <w:rsid w:val="00AF15CA"/>
    <w:rsid w:val="00AF2D64"/>
    <w:rsid w:val="00AF3B73"/>
    <w:rsid w:val="00AF3E5D"/>
    <w:rsid w:val="00AF4793"/>
    <w:rsid w:val="00AF4935"/>
    <w:rsid w:val="00AF4F1C"/>
    <w:rsid w:val="00AF6053"/>
    <w:rsid w:val="00B00729"/>
    <w:rsid w:val="00B025F2"/>
    <w:rsid w:val="00B03FA3"/>
    <w:rsid w:val="00B04967"/>
    <w:rsid w:val="00B04E08"/>
    <w:rsid w:val="00B1009D"/>
    <w:rsid w:val="00B105F5"/>
    <w:rsid w:val="00B1091A"/>
    <w:rsid w:val="00B11DAB"/>
    <w:rsid w:val="00B13E95"/>
    <w:rsid w:val="00B17267"/>
    <w:rsid w:val="00B17D8C"/>
    <w:rsid w:val="00B20182"/>
    <w:rsid w:val="00B21473"/>
    <w:rsid w:val="00B22E3C"/>
    <w:rsid w:val="00B232C3"/>
    <w:rsid w:val="00B23E98"/>
    <w:rsid w:val="00B24147"/>
    <w:rsid w:val="00B2479F"/>
    <w:rsid w:val="00B2520B"/>
    <w:rsid w:val="00B2595D"/>
    <w:rsid w:val="00B2770D"/>
    <w:rsid w:val="00B27ACF"/>
    <w:rsid w:val="00B27C72"/>
    <w:rsid w:val="00B30074"/>
    <w:rsid w:val="00B307F5"/>
    <w:rsid w:val="00B3311B"/>
    <w:rsid w:val="00B332FA"/>
    <w:rsid w:val="00B3341C"/>
    <w:rsid w:val="00B33C0E"/>
    <w:rsid w:val="00B33FF4"/>
    <w:rsid w:val="00B34ED5"/>
    <w:rsid w:val="00B37059"/>
    <w:rsid w:val="00B370DF"/>
    <w:rsid w:val="00B37DF4"/>
    <w:rsid w:val="00B437A3"/>
    <w:rsid w:val="00B43C79"/>
    <w:rsid w:val="00B4400E"/>
    <w:rsid w:val="00B441D5"/>
    <w:rsid w:val="00B456F6"/>
    <w:rsid w:val="00B46397"/>
    <w:rsid w:val="00B463AC"/>
    <w:rsid w:val="00B468B8"/>
    <w:rsid w:val="00B47354"/>
    <w:rsid w:val="00B47CDA"/>
    <w:rsid w:val="00B5055F"/>
    <w:rsid w:val="00B511FB"/>
    <w:rsid w:val="00B51AF6"/>
    <w:rsid w:val="00B51B91"/>
    <w:rsid w:val="00B51E1E"/>
    <w:rsid w:val="00B52A05"/>
    <w:rsid w:val="00B55CF4"/>
    <w:rsid w:val="00B570B2"/>
    <w:rsid w:val="00B604E7"/>
    <w:rsid w:val="00B60C3D"/>
    <w:rsid w:val="00B60FC0"/>
    <w:rsid w:val="00B6102D"/>
    <w:rsid w:val="00B611C1"/>
    <w:rsid w:val="00B61AD0"/>
    <w:rsid w:val="00B6202A"/>
    <w:rsid w:val="00B64A59"/>
    <w:rsid w:val="00B65D56"/>
    <w:rsid w:val="00B70B48"/>
    <w:rsid w:val="00B71A2C"/>
    <w:rsid w:val="00B72EB3"/>
    <w:rsid w:val="00B732CF"/>
    <w:rsid w:val="00B735BA"/>
    <w:rsid w:val="00B73D9F"/>
    <w:rsid w:val="00B75098"/>
    <w:rsid w:val="00B7559F"/>
    <w:rsid w:val="00B75944"/>
    <w:rsid w:val="00B76C09"/>
    <w:rsid w:val="00B777DF"/>
    <w:rsid w:val="00B77DAC"/>
    <w:rsid w:val="00B80C5E"/>
    <w:rsid w:val="00B819CA"/>
    <w:rsid w:val="00B82EFF"/>
    <w:rsid w:val="00B842BF"/>
    <w:rsid w:val="00B844E6"/>
    <w:rsid w:val="00B85591"/>
    <w:rsid w:val="00B874EB"/>
    <w:rsid w:val="00B91E23"/>
    <w:rsid w:val="00B93808"/>
    <w:rsid w:val="00B939CA"/>
    <w:rsid w:val="00B95CCD"/>
    <w:rsid w:val="00B972E0"/>
    <w:rsid w:val="00B97327"/>
    <w:rsid w:val="00BA03BB"/>
    <w:rsid w:val="00BA11E0"/>
    <w:rsid w:val="00BA2035"/>
    <w:rsid w:val="00BA242D"/>
    <w:rsid w:val="00BA7145"/>
    <w:rsid w:val="00BB05D6"/>
    <w:rsid w:val="00BB0BD9"/>
    <w:rsid w:val="00BB2096"/>
    <w:rsid w:val="00BB3C1D"/>
    <w:rsid w:val="00BB3CE7"/>
    <w:rsid w:val="00BB4008"/>
    <w:rsid w:val="00BB47ED"/>
    <w:rsid w:val="00BB49EA"/>
    <w:rsid w:val="00BB5583"/>
    <w:rsid w:val="00BB62B4"/>
    <w:rsid w:val="00BB7B67"/>
    <w:rsid w:val="00BC0B19"/>
    <w:rsid w:val="00BC1BE4"/>
    <w:rsid w:val="00BC366C"/>
    <w:rsid w:val="00BC3C8D"/>
    <w:rsid w:val="00BC43C1"/>
    <w:rsid w:val="00BC5F68"/>
    <w:rsid w:val="00BC6A0E"/>
    <w:rsid w:val="00BC6C23"/>
    <w:rsid w:val="00BC7A8A"/>
    <w:rsid w:val="00BD1137"/>
    <w:rsid w:val="00BD2D42"/>
    <w:rsid w:val="00BD2F76"/>
    <w:rsid w:val="00BD30C5"/>
    <w:rsid w:val="00BD3FAF"/>
    <w:rsid w:val="00BD5BE7"/>
    <w:rsid w:val="00BD5FFC"/>
    <w:rsid w:val="00BD7E5C"/>
    <w:rsid w:val="00BE0980"/>
    <w:rsid w:val="00BE273E"/>
    <w:rsid w:val="00BE27C8"/>
    <w:rsid w:val="00BE2E8C"/>
    <w:rsid w:val="00BE3052"/>
    <w:rsid w:val="00BE3D5C"/>
    <w:rsid w:val="00BE4700"/>
    <w:rsid w:val="00BE5011"/>
    <w:rsid w:val="00BE6882"/>
    <w:rsid w:val="00BE6F04"/>
    <w:rsid w:val="00BE71A0"/>
    <w:rsid w:val="00BE7AA6"/>
    <w:rsid w:val="00BF16B4"/>
    <w:rsid w:val="00BF1A86"/>
    <w:rsid w:val="00BF202C"/>
    <w:rsid w:val="00BF2FC7"/>
    <w:rsid w:val="00BF391A"/>
    <w:rsid w:val="00BF63B3"/>
    <w:rsid w:val="00BF6421"/>
    <w:rsid w:val="00BF72F3"/>
    <w:rsid w:val="00BF7509"/>
    <w:rsid w:val="00BF7695"/>
    <w:rsid w:val="00C0237C"/>
    <w:rsid w:val="00C03A24"/>
    <w:rsid w:val="00C04DB3"/>
    <w:rsid w:val="00C0587C"/>
    <w:rsid w:val="00C05AF3"/>
    <w:rsid w:val="00C05F6D"/>
    <w:rsid w:val="00C06499"/>
    <w:rsid w:val="00C0679D"/>
    <w:rsid w:val="00C0703B"/>
    <w:rsid w:val="00C07370"/>
    <w:rsid w:val="00C0780C"/>
    <w:rsid w:val="00C079A6"/>
    <w:rsid w:val="00C10A19"/>
    <w:rsid w:val="00C13003"/>
    <w:rsid w:val="00C13E6E"/>
    <w:rsid w:val="00C155C2"/>
    <w:rsid w:val="00C1620C"/>
    <w:rsid w:val="00C16C66"/>
    <w:rsid w:val="00C17359"/>
    <w:rsid w:val="00C17914"/>
    <w:rsid w:val="00C233AD"/>
    <w:rsid w:val="00C30001"/>
    <w:rsid w:val="00C302B8"/>
    <w:rsid w:val="00C310C4"/>
    <w:rsid w:val="00C31B11"/>
    <w:rsid w:val="00C32172"/>
    <w:rsid w:val="00C3289C"/>
    <w:rsid w:val="00C32F63"/>
    <w:rsid w:val="00C3671A"/>
    <w:rsid w:val="00C375F2"/>
    <w:rsid w:val="00C40793"/>
    <w:rsid w:val="00C40FF4"/>
    <w:rsid w:val="00C415F4"/>
    <w:rsid w:val="00C41E3B"/>
    <w:rsid w:val="00C424C7"/>
    <w:rsid w:val="00C427E3"/>
    <w:rsid w:val="00C50A71"/>
    <w:rsid w:val="00C52220"/>
    <w:rsid w:val="00C52EDA"/>
    <w:rsid w:val="00C53370"/>
    <w:rsid w:val="00C53A9F"/>
    <w:rsid w:val="00C546CB"/>
    <w:rsid w:val="00C55D4D"/>
    <w:rsid w:val="00C56FE2"/>
    <w:rsid w:val="00C57759"/>
    <w:rsid w:val="00C57891"/>
    <w:rsid w:val="00C57D97"/>
    <w:rsid w:val="00C6057B"/>
    <w:rsid w:val="00C62B8D"/>
    <w:rsid w:val="00C647E0"/>
    <w:rsid w:val="00C65891"/>
    <w:rsid w:val="00C665A6"/>
    <w:rsid w:val="00C66A40"/>
    <w:rsid w:val="00C66F16"/>
    <w:rsid w:val="00C678FA"/>
    <w:rsid w:val="00C7005D"/>
    <w:rsid w:val="00C75BD4"/>
    <w:rsid w:val="00C82524"/>
    <w:rsid w:val="00C8520A"/>
    <w:rsid w:val="00C85327"/>
    <w:rsid w:val="00C865CC"/>
    <w:rsid w:val="00C87261"/>
    <w:rsid w:val="00C87984"/>
    <w:rsid w:val="00C91559"/>
    <w:rsid w:val="00C9369C"/>
    <w:rsid w:val="00C93F10"/>
    <w:rsid w:val="00C93F80"/>
    <w:rsid w:val="00C94F0F"/>
    <w:rsid w:val="00C95CEC"/>
    <w:rsid w:val="00C973CA"/>
    <w:rsid w:val="00C979C4"/>
    <w:rsid w:val="00CA11E9"/>
    <w:rsid w:val="00CA5026"/>
    <w:rsid w:val="00CA64B1"/>
    <w:rsid w:val="00CA662C"/>
    <w:rsid w:val="00CA7281"/>
    <w:rsid w:val="00CB11C2"/>
    <w:rsid w:val="00CB34F9"/>
    <w:rsid w:val="00CB3813"/>
    <w:rsid w:val="00CB44B6"/>
    <w:rsid w:val="00CB45CB"/>
    <w:rsid w:val="00CB4C00"/>
    <w:rsid w:val="00CB5A30"/>
    <w:rsid w:val="00CC0330"/>
    <w:rsid w:val="00CC2178"/>
    <w:rsid w:val="00CC2C81"/>
    <w:rsid w:val="00CC30C9"/>
    <w:rsid w:val="00CC4726"/>
    <w:rsid w:val="00CC52D7"/>
    <w:rsid w:val="00CC5C2E"/>
    <w:rsid w:val="00CC6699"/>
    <w:rsid w:val="00CC7980"/>
    <w:rsid w:val="00CD08D4"/>
    <w:rsid w:val="00CD0BDE"/>
    <w:rsid w:val="00CD1E2F"/>
    <w:rsid w:val="00CD3146"/>
    <w:rsid w:val="00CD325D"/>
    <w:rsid w:val="00CD5D8E"/>
    <w:rsid w:val="00CD62B9"/>
    <w:rsid w:val="00CE0182"/>
    <w:rsid w:val="00CE0302"/>
    <w:rsid w:val="00CE0548"/>
    <w:rsid w:val="00CE1F74"/>
    <w:rsid w:val="00CE2CDE"/>
    <w:rsid w:val="00CE464B"/>
    <w:rsid w:val="00CF0B07"/>
    <w:rsid w:val="00CF2014"/>
    <w:rsid w:val="00CF3275"/>
    <w:rsid w:val="00CF45C5"/>
    <w:rsid w:val="00CF462B"/>
    <w:rsid w:val="00CF618E"/>
    <w:rsid w:val="00CF76B9"/>
    <w:rsid w:val="00CF7B87"/>
    <w:rsid w:val="00D00350"/>
    <w:rsid w:val="00D00C8C"/>
    <w:rsid w:val="00D03995"/>
    <w:rsid w:val="00D03E42"/>
    <w:rsid w:val="00D05B81"/>
    <w:rsid w:val="00D063B2"/>
    <w:rsid w:val="00D0666C"/>
    <w:rsid w:val="00D0714D"/>
    <w:rsid w:val="00D072EF"/>
    <w:rsid w:val="00D1167B"/>
    <w:rsid w:val="00D12F48"/>
    <w:rsid w:val="00D1315D"/>
    <w:rsid w:val="00D1444E"/>
    <w:rsid w:val="00D14713"/>
    <w:rsid w:val="00D15EAB"/>
    <w:rsid w:val="00D15FA6"/>
    <w:rsid w:val="00D20AA1"/>
    <w:rsid w:val="00D21D75"/>
    <w:rsid w:val="00D23E5B"/>
    <w:rsid w:val="00D2749A"/>
    <w:rsid w:val="00D27BC4"/>
    <w:rsid w:val="00D30C48"/>
    <w:rsid w:val="00D30DB8"/>
    <w:rsid w:val="00D31B7C"/>
    <w:rsid w:val="00D33C28"/>
    <w:rsid w:val="00D3533A"/>
    <w:rsid w:val="00D356E8"/>
    <w:rsid w:val="00D357E7"/>
    <w:rsid w:val="00D36A3B"/>
    <w:rsid w:val="00D4154D"/>
    <w:rsid w:val="00D4230B"/>
    <w:rsid w:val="00D42F42"/>
    <w:rsid w:val="00D435F2"/>
    <w:rsid w:val="00D4434E"/>
    <w:rsid w:val="00D46010"/>
    <w:rsid w:val="00D46E31"/>
    <w:rsid w:val="00D4736B"/>
    <w:rsid w:val="00D47C39"/>
    <w:rsid w:val="00D51073"/>
    <w:rsid w:val="00D51AFE"/>
    <w:rsid w:val="00D53734"/>
    <w:rsid w:val="00D5582C"/>
    <w:rsid w:val="00D56107"/>
    <w:rsid w:val="00D569D9"/>
    <w:rsid w:val="00D56A2D"/>
    <w:rsid w:val="00D56D66"/>
    <w:rsid w:val="00D578FE"/>
    <w:rsid w:val="00D61C45"/>
    <w:rsid w:val="00D61F09"/>
    <w:rsid w:val="00D62120"/>
    <w:rsid w:val="00D63C9C"/>
    <w:rsid w:val="00D65121"/>
    <w:rsid w:val="00D7000A"/>
    <w:rsid w:val="00D70CC0"/>
    <w:rsid w:val="00D7217D"/>
    <w:rsid w:val="00D72228"/>
    <w:rsid w:val="00D74830"/>
    <w:rsid w:val="00D76473"/>
    <w:rsid w:val="00D77C65"/>
    <w:rsid w:val="00D81108"/>
    <w:rsid w:val="00D81B45"/>
    <w:rsid w:val="00D81C03"/>
    <w:rsid w:val="00D83195"/>
    <w:rsid w:val="00D838FF"/>
    <w:rsid w:val="00D84FDC"/>
    <w:rsid w:val="00D901BB"/>
    <w:rsid w:val="00D91FAB"/>
    <w:rsid w:val="00D921F1"/>
    <w:rsid w:val="00D93A58"/>
    <w:rsid w:val="00D93F91"/>
    <w:rsid w:val="00D94041"/>
    <w:rsid w:val="00D9404D"/>
    <w:rsid w:val="00D96261"/>
    <w:rsid w:val="00D97AD9"/>
    <w:rsid w:val="00D97F91"/>
    <w:rsid w:val="00DA59B5"/>
    <w:rsid w:val="00DA6912"/>
    <w:rsid w:val="00DB03DD"/>
    <w:rsid w:val="00DB043C"/>
    <w:rsid w:val="00DB04EB"/>
    <w:rsid w:val="00DB0601"/>
    <w:rsid w:val="00DB1CD6"/>
    <w:rsid w:val="00DB2879"/>
    <w:rsid w:val="00DB33F8"/>
    <w:rsid w:val="00DB53F9"/>
    <w:rsid w:val="00DB61E5"/>
    <w:rsid w:val="00DB6B90"/>
    <w:rsid w:val="00DB7C53"/>
    <w:rsid w:val="00DC3878"/>
    <w:rsid w:val="00DC4289"/>
    <w:rsid w:val="00DC461A"/>
    <w:rsid w:val="00DC48C1"/>
    <w:rsid w:val="00DC4D26"/>
    <w:rsid w:val="00DC4DE2"/>
    <w:rsid w:val="00DD0F5F"/>
    <w:rsid w:val="00DD143E"/>
    <w:rsid w:val="00DD3E80"/>
    <w:rsid w:val="00DD4ADE"/>
    <w:rsid w:val="00DD5473"/>
    <w:rsid w:val="00DD5D18"/>
    <w:rsid w:val="00DD7990"/>
    <w:rsid w:val="00DE00AE"/>
    <w:rsid w:val="00DE3630"/>
    <w:rsid w:val="00DE3A0A"/>
    <w:rsid w:val="00DE4008"/>
    <w:rsid w:val="00DF0011"/>
    <w:rsid w:val="00DF1179"/>
    <w:rsid w:val="00DF4661"/>
    <w:rsid w:val="00DF5B29"/>
    <w:rsid w:val="00DF7545"/>
    <w:rsid w:val="00E00C61"/>
    <w:rsid w:val="00E0318D"/>
    <w:rsid w:val="00E03444"/>
    <w:rsid w:val="00E03DC2"/>
    <w:rsid w:val="00E044A4"/>
    <w:rsid w:val="00E0474B"/>
    <w:rsid w:val="00E04CF9"/>
    <w:rsid w:val="00E04FD7"/>
    <w:rsid w:val="00E06438"/>
    <w:rsid w:val="00E0697C"/>
    <w:rsid w:val="00E07F85"/>
    <w:rsid w:val="00E1252C"/>
    <w:rsid w:val="00E12AA1"/>
    <w:rsid w:val="00E1309F"/>
    <w:rsid w:val="00E13883"/>
    <w:rsid w:val="00E13F34"/>
    <w:rsid w:val="00E14073"/>
    <w:rsid w:val="00E1458B"/>
    <w:rsid w:val="00E168D0"/>
    <w:rsid w:val="00E2033E"/>
    <w:rsid w:val="00E20E24"/>
    <w:rsid w:val="00E21582"/>
    <w:rsid w:val="00E220B6"/>
    <w:rsid w:val="00E2351E"/>
    <w:rsid w:val="00E25514"/>
    <w:rsid w:val="00E27E6F"/>
    <w:rsid w:val="00E27FCC"/>
    <w:rsid w:val="00E324B6"/>
    <w:rsid w:val="00E34F1B"/>
    <w:rsid w:val="00E35098"/>
    <w:rsid w:val="00E40AC3"/>
    <w:rsid w:val="00E42AC8"/>
    <w:rsid w:val="00E43223"/>
    <w:rsid w:val="00E454B4"/>
    <w:rsid w:val="00E4691C"/>
    <w:rsid w:val="00E471D9"/>
    <w:rsid w:val="00E5191A"/>
    <w:rsid w:val="00E51FE3"/>
    <w:rsid w:val="00E51FEA"/>
    <w:rsid w:val="00E53A22"/>
    <w:rsid w:val="00E54C92"/>
    <w:rsid w:val="00E56210"/>
    <w:rsid w:val="00E5628F"/>
    <w:rsid w:val="00E57445"/>
    <w:rsid w:val="00E60832"/>
    <w:rsid w:val="00E6204C"/>
    <w:rsid w:val="00E621DA"/>
    <w:rsid w:val="00E62884"/>
    <w:rsid w:val="00E62E14"/>
    <w:rsid w:val="00E63A42"/>
    <w:rsid w:val="00E64106"/>
    <w:rsid w:val="00E64283"/>
    <w:rsid w:val="00E65120"/>
    <w:rsid w:val="00E656E7"/>
    <w:rsid w:val="00E662CA"/>
    <w:rsid w:val="00E6711F"/>
    <w:rsid w:val="00E67DFA"/>
    <w:rsid w:val="00E7265E"/>
    <w:rsid w:val="00E75904"/>
    <w:rsid w:val="00E81447"/>
    <w:rsid w:val="00E81B37"/>
    <w:rsid w:val="00E83814"/>
    <w:rsid w:val="00E83A2B"/>
    <w:rsid w:val="00E85017"/>
    <w:rsid w:val="00E87D8D"/>
    <w:rsid w:val="00E91863"/>
    <w:rsid w:val="00E938E1"/>
    <w:rsid w:val="00E957CC"/>
    <w:rsid w:val="00EA0475"/>
    <w:rsid w:val="00EA184A"/>
    <w:rsid w:val="00EA1F2B"/>
    <w:rsid w:val="00EA2010"/>
    <w:rsid w:val="00EB06B4"/>
    <w:rsid w:val="00EB095B"/>
    <w:rsid w:val="00EB1620"/>
    <w:rsid w:val="00EB1BC0"/>
    <w:rsid w:val="00EB254F"/>
    <w:rsid w:val="00EB2896"/>
    <w:rsid w:val="00EB3848"/>
    <w:rsid w:val="00EB4B15"/>
    <w:rsid w:val="00EB4CD8"/>
    <w:rsid w:val="00EB54FD"/>
    <w:rsid w:val="00EB585C"/>
    <w:rsid w:val="00EB7156"/>
    <w:rsid w:val="00EB72E7"/>
    <w:rsid w:val="00EB793B"/>
    <w:rsid w:val="00EB7C83"/>
    <w:rsid w:val="00EB7DD8"/>
    <w:rsid w:val="00EC03D0"/>
    <w:rsid w:val="00EC047D"/>
    <w:rsid w:val="00EC0D89"/>
    <w:rsid w:val="00EC3957"/>
    <w:rsid w:val="00EC3B99"/>
    <w:rsid w:val="00EC59BD"/>
    <w:rsid w:val="00EC668C"/>
    <w:rsid w:val="00EC6C6A"/>
    <w:rsid w:val="00EC6E1C"/>
    <w:rsid w:val="00EC71FB"/>
    <w:rsid w:val="00EC73DB"/>
    <w:rsid w:val="00ED11B3"/>
    <w:rsid w:val="00ED2409"/>
    <w:rsid w:val="00ED2D13"/>
    <w:rsid w:val="00ED2F39"/>
    <w:rsid w:val="00ED3822"/>
    <w:rsid w:val="00ED3824"/>
    <w:rsid w:val="00ED3AD8"/>
    <w:rsid w:val="00ED3DD2"/>
    <w:rsid w:val="00ED3DD6"/>
    <w:rsid w:val="00ED4B6A"/>
    <w:rsid w:val="00ED4C04"/>
    <w:rsid w:val="00ED5E2C"/>
    <w:rsid w:val="00ED646D"/>
    <w:rsid w:val="00ED64E6"/>
    <w:rsid w:val="00ED6F93"/>
    <w:rsid w:val="00ED7D67"/>
    <w:rsid w:val="00EE02B0"/>
    <w:rsid w:val="00EE0A07"/>
    <w:rsid w:val="00EE0ACA"/>
    <w:rsid w:val="00EE2653"/>
    <w:rsid w:val="00EE3BDF"/>
    <w:rsid w:val="00EE3CF6"/>
    <w:rsid w:val="00EE46A5"/>
    <w:rsid w:val="00EE5003"/>
    <w:rsid w:val="00EE65F6"/>
    <w:rsid w:val="00EE7A47"/>
    <w:rsid w:val="00EF0EB4"/>
    <w:rsid w:val="00EF234A"/>
    <w:rsid w:val="00EF2C4A"/>
    <w:rsid w:val="00EF5439"/>
    <w:rsid w:val="00EF5719"/>
    <w:rsid w:val="00EF5FB1"/>
    <w:rsid w:val="00F03AB4"/>
    <w:rsid w:val="00F04DBA"/>
    <w:rsid w:val="00F04FAD"/>
    <w:rsid w:val="00F05ACF"/>
    <w:rsid w:val="00F0680B"/>
    <w:rsid w:val="00F06B8C"/>
    <w:rsid w:val="00F10DAC"/>
    <w:rsid w:val="00F10E4F"/>
    <w:rsid w:val="00F121C4"/>
    <w:rsid w:val="00F12717"/>
    <w:rsid w:val="00F132A7"/>
    <w:rsid w:val="00F14190"/>
    <w:rsid w:val="00F152E4"/>
    <w:rsid w:val="00F15475"/>
    <w:rsid w:val="00F15BCF"/>
    <w:rsid w:val="00F15DC9"/>
    <w:rsid w:val="00F166C3"/>
    <w:rsid w:val="00F17CE1"/>
    <w:rsid w:val="00F2019D"/>
    <w:rsid w:val="00F20B54"/>
    <w:rsid w:val="00F21310"/>
    <w:rsid w:val="00F21CC5"/>
    <w:rsid w:val="00F2398F"/>
    <w:rsid w:val="00F26B58"/>
    <w:rsid w:val="00F26C92"/>
    <w:rsid w:val="00F30281"/>
    <w:rsid w:val="00F30355"/>
    <w:rsid w:val="00F307F5"/>
    <w:rsid w:val="00F31605"/>
    <w:rsid w:val="00F321F3"/>
    <w:rsid w:val="00F34127"/>
    <w:rsid w:val="00F3596F"/>
    <w:rsid w:val="00F35CEA"/>
    <w:rsid w:val="00F35E8D"/>
    <w:rsid w:val="00F37FCD"/>
    <w:rsid w:val="00F404DE"/>
    <w:rsid w:val="00F4068A"/>
    <w:rsid w:val="00F40A83"/>
    <w:rsid w:val="00F41B7C"/>
    <w:rsid w:val="00F43E10"/>
    <w:rsid w:val="00F442FA"/>
    <w:rsid w:val="00F4489B"/>
    <w:rsid w:val="00F44B27"/>
    <w:rsid w:val="00F44E8F"/>
    <w:rsid w:val="00F46A41"/>
    <w:rsid w:val="00F50B59"/>
    <w:rsid w:val="00F51CAE"/>
    <w:rsid w:val="00F5231E"/>
    <w:rsid w:val="00F53600"/>
    <w:rsid w:val="00F564A4"/>
    <w:rsid w:val="00F571AB"/>
    <w:rsid w:val="00F5753F"/>
    <w:rsid w:val="00F606F4"/>
    <w:rsid w:val="00F629FE"/>
    <w:rsid w:val="00F62F57"/>
    <w:rsid w:val="00F63197"/>
    <w:rsid w:val="00F631E7"/>
    <w:rsid w:val="00F631EE"/>
    <w:rsid w:val="00F63200"/>
    <w:rsid w:val="00F65597"/>
    <w:rsid w:val="00F65BB9"/>
    <w:rsid w:val="00F70A30"/>
    <w:rsid w:val="00F7122A"/>
    <w:rsid w:val="00F71FF3"/>
    <w:rsid w:val="00F725AF"/>
    <w:rsid w:val="00F74D46"/>
    <w:rsid w:val="00F77A04"/>
    <w:rsid w:val="00F80657"/>
    <w:rsid w:val="00F81A8B"/>
    <w:rsid w:val="00F81AEA"/>
    <w:rsid w:val="00F835AC"/>
    <w:rsid w:val="00F83FF5"/>
    <w:rsid w:val="00F8547A"/>
    <w:rsid w:val="00F85BFE"/>
    <w:rsid w:val="00F907F3"/>
    <w:rsid w:val="00F90EA7"/>
    <w:rsid w:val="00F91FE1"/>
    <w:rsid w:val="00F942F2"/>
    <w:rsid w:val="00F977E6"/>
    <w:rsid w:val="00FA2817"/>
    <w:rsid w:val="00FA2DF9"/>
    <w:rsid w:val="00FA41BE"/>
    <w:rsid w:val="00FA46CF"/>
    <w:rsid w:val="00FA48F7"/>
    <w:rsid w:val="00FA690A"/>
    <w:rsid w:val="00FB02C5"/>
    <w:rsid w:val="00FB0DC8"/>
    <w:rsid w:val="00FB1760"/>
    <w:rsid w:val="00FB190D"/>
    <w:rsid w:val="00FB2F16"/>
    <w:rsid w:val="00FB38D3"/>
    <w:rsid w:val="00FB4A19"/>
    <w:rsid w:val="00FB4D99"/>
    <w:rsid w:val="00FC065F"/>
    <w:rsid w:val="00FC20D3"/>
    <w:rsid w:val="00FC212F"/>
    <w:rsid w:val="00FC2C16"/>
    <w:rsid w:val="00FC3082"/>
    <w:rsid w:val="00FC3148"/>
    <w:rsid w:val="00FC3A8B"/>
    <w:rsid w:val="00FC3F6E"/>
    <w:rsid w:val="00FC59E1"/>
    <w:rsid w:val="00FC6549"/>
    <w:rsid w:val="00FC696A"/>
    <w:rsid w:val="00FC6D94"/>
    <w:rsid w:val="00FC7002"/>
    <w:rsid w:val="00FC7193"/>
    <w:rsid w:val="00FC7D27"/>
    <w:rsid w:val="00FD0239"/>
    <w:rsid w:val="00FD15E3"/>
    <w:rsid w:val="00FD278F"/>
    <w:rsid w:val="00FD2B6B"/>
    <w:rsid w:val="00FD6597"/>
    <w:rsid w:val="00FD6668"/>
    <w:rsid w:val="00FD674B"/>
    <w:rsid w:val="00FD77A2"/>
    <w:rsid w:val="00FE28E8"/>
    <w:rsid w:val="00FE4776"/>
    <w:rsid w:val="00FE4CC6"/>
    <w:rsid w:val="00FE4D8B"/>
    <w:rsid w:val="00FE50BE"/>
    <w:rsid w:val="00FF0476"/>
    <w:rsid w:val="00FF2365"/>
    <w:rsid w:val="00FF2775"/>
    <w:rsid w:val="00FF4064"/>
    <w:rsid w:val="00FF6392"/>
    <w:rsid w:val="00FF64D8"/>
    <w:rsid w:val="00FF6A25"/>
    <w:rsid w:val="00FF6B92"/>
    <w:rsid w:val="00FF6CBB"/>
    <w:rsid w:val="00FF7287"/>
    <w:rsid w:val="00FF77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467"/>
  </w:style>
  <w:style w:type="paragraph" w:styleId="Heading1">
    <w:name w:val="heading 1"/>
    <w:basedOn w:val="Normal"/>
    <w:next w:val="Normal"/>
    <w:link w:val="Heading1Char"/>
    <w:uiPriority w:val="9"/>
    <w:qFormat/>
    <w:rsid w:val="00515467"/>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515467"/>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15467"/>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515467"/>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515467"/>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515467"/>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515467"/>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515467"/>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515467"/>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34F7"/>
    <w:pPr>
      <w:ind w:left="720"/>
      <w:contextualSpacing/>
    </w:pPr>
  </w:style>
  <w:style w:type="paragraph" w:styleId="FootnoteText">
    <w:name w:val="footnote text"/>
    <w:basedOn w:val="Normal"/>
    <w:link w:val="FootnoteTextChar"/>
    <w:uiPriority w:val="99"/>
    <w:semiHidden/>
    <w:unhideWhenUsed/>
    <w:rsid w:val="001201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0194"/>
    <w:rPr>
      <w:sz w:val="20"/>
      <w:szCs w:val="20"/>
    </w:rPr>
  </w:style>
  <w:style w:type="character" w:styleId="FootnoteReference">
    <w:name w:val="footnote reference"/>
    <w:basedOn w:val="DefaultParagraphFont"/>
    <w:uiPriority w:val="99"/>
    <w:semiHidden/>
    <w:unhideWhenUsed/>
    <w:rsid w:val="00120194"/>
    <w:rPr>
      <w:vertAlign w:val="superscript"/>
    </w:rPr>
  </w:style>
  <w:style w:type="paragraph" w:customStyle="1" w:styleId="Default">
    <w:name w:val="Default"/>
    <w:rsid w:val="008A3071"/>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783D84"/>
    <w:rPr>
      <w:color w:val="0000FF"/>
      <w:u w:val="single"/>
    </w:rPr>
  </w:style>
  <w:style w:type="table" w:styleId="TableGrid">
    <w:name w:val="Table Grid"/>
    <w:basedOn w:val="TableNormal"/>
    <w:uiPriority w:val="39"/>
    <w:rsid w:val="00783D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15467"/>
    <w:rPr>
      <w:rFonts w:asciiTheme="majorHAnsi" w:eastAsiaTheme="majorEastAsia" w:hAnsiTheme="majorHAnsi" w:cstheme="majorBidi"/>
      <w:color w:val="1F4E79" w:themeColor="accent1" w:themeShade="80"/>
      <w:sz w:val="36"/>
      <w:szCs w:val="36"/>
    </w:rPr>
  </w:style>
  <w:style w:type="paragraph" w:styleId="BodyText">
    <w:name w:val="Body Text"/>
    <w:basedOn w:val="Normal"/>
    <w:link w:val="BodyTextChar"/>
    <w:uiPriority w:val="1"/>
    <w:rsid w:val="007B368F"/>
    <w:pPr>
      <w:autoSpaceDE w:val="0"/>
      <w:autoSpaceDN w:val="0"/>
      <w:adjustRightInd w:val="0"/>
      <w:spacing w:after="0" w:line="240" w:lineRule="auto"/>
      <w:ind w:left="159"/>
    </w:pPr>
    <w:rPr>
      <w:rFonts w:ascii="Times New Roman" w:hAnsi="Times New Roman" w:cs="Times New Roman"/>
      <w:sz w:val="24"/>
      <w:szCs w:val="24"/>
    </w:rPr>
  </w:style>
  <w:style w:type="character" w:customStyle="1" w:styleId="BodyTextChar">
    <w:name w:val="Body Text Char"/>
    <w:basedOn w:val="DefaultParagraphFont"/>
    <w:link w:val="BodyText"/>
    <w:uiPriority w:val="1"/>
    <w:rsid w:val="007B368F"/>
    <w:rPr>
      <w:rFonts w:ascii="Times New Roman" w:hAnsi="Times New Roman" w:cs="Times New Roman"/>
      <w:sz w:val="24"/>
      <w:szCs w:val="24"/>
    </w:rPr>
  </w:style>
  <w:style w:type="paragraph" w:customStyle="1" w:styleId="TableParagraph">
    <w:name w:val="Table Paragraph"/>
    <w:basedOn w:val="Normal"/>
    <w:uiPriority w:val="1"/>
    <w:rsid w:val="007B368F"/>
    <w:pPr>
      <w:autoSpaceDE w:val="0"/>
      <w:autoSpaceDN w:val="0"/>
      <w:adjustRightInd w:val="0"/>
      <w:spacing w:after="0" w:line="240" w:lineRule="auto"/>
    </w:pPr>
    <w:rPr>
      <w:rFonts w:ascii="Times New Roman" w:hAnsi="Times New Roman" w:cs="Times New Roman"/>
      <w:sz w:val="24"/>
      <w:szCs w:val="24"/>
    </w:rPr>
  </w:style>
  <w:style w:type="character" w:styleId="Emphasis">
    <w:name w:val="Emphasis"/>
    <w:basedOn w:val="DefaultParagraphFont"/>
    <w:uiPriority w:val="20"/>
    <w:qFormat/>
    <w:rsid w:val="00515467"/>
    <w:rPr>
      <w:i/>
      <w:iCs/>
    </w:rPr>
  </w:style>
  <w:style w:type="paragraph" w:styleId="NormalWeb">
    <w:name w:val="Normal (Web)"/>
    <w:basedOn w:val="Normal"/>
    <w:uiPriority w:val="99"/>
    <w:semiHidden/>
    <w:unhideWhenUsed/>
    <w:rsid w:val="00BE305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15467"/>
    <w:rPr>
      <w:b/>
      <w:bCs/>
    </w:rPr>
  </w:style>
  <w:style w:type="paragraph" w:styleId="BalloonText">
    <w:name w:val="Balloon Text"/>
    <w:basedOn w:val="Normal"/>
    <w:link w:val="BalloonTextChar"/>
    <w:uiPriority w:val="99"/>
    <w:semiHidden/>
    <w:unhideWhenUsed/>
    <w:rsid w:val="005004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408"/>
    <w:rPr>
      <w:rFonts w:ascii="Tahoma" w:hAnsi="Tahoma" w:cs="Tahoma"/>
      <w:sz w:val="16"/>
      <w:szCs w:val="16"/>
    </w:rPr>
  </w:style>
  <w:style w:type="character" w:styleId="CommentReference">
    <w:name w:val="annotation reference"/>
    <w:basedOn w:val="DefaultParagraphFont"/>
    <w:uiPriority w:val="99"/>
    <w:semiHidden/>
    <w:unhideWhenUsed/>
    <w:rsid w:val="00FF0476"/>
    <w:rPr>
      <w:sz w:val="16"/>
      <w:szCs w:val="16"/>
    </w:rPr>
  </w:style>
  <w:style w:type="paragraph" w:styleId="CommentText">
    <w:name w:val="annotation text"/>
    <w:basedOn w:val="Normal"/>
    <w:link w:val="CommentTextChar"/>
    <w:uiPriority w:val="99"/>
    <w:semiHidden/>
    <w:unhideWhenUsed/>
    <w:rsid w:val="00FF0476"/>
    <w:pPr>
      <w:spacing w:line="240" w:lineRule="auto"/>
    </w:pPr>
    <w:rPr>
      <w:sz w:val="20"/>
      <w:szCs w:val="20"/>
    </w:rPr>
  </w:style>
  <w:style w:type="character" w:customStyle="1" w:styleId="CommentTextChar">
    <w:name w:val="Comment Text Char"/>
    <w:basedOn w:val="DefaultParagraphFont"/>
    <w:link w:val="CommentText"/>
    <w:uiPriority w:val="99"/>
    <w:semiHidden/>
    <w:rsid w:val="00FF0476"/>
    <w:rPr>
      <w:sz w:val="20"/>
      <w:szCs w:val="20"/>
    </w:rPr>
  </w:style>
  <w:style w:type="paragraph" w:styleId="CommentSubject">
    <w:name w:val="annotation subject"/>
    <w:basedOn w:val="CommentText"/>
    <w:next w:val="CommentText"/>
    <w:link w:val="CommentSubjectChar"/>
    <w:uiPriority w:val="99"/>
    <w:semiHidden/>
    <w:unhideWhenUsed/>
    <w:rsid w:val="00FF0476"/>
    <w:rPr>
      <w:b/>
      <w:bCs/>
    </w:rPr>
  </w:style>
  <w:style w:type="character" w:customStyle="1" w:styleId="CommentSubjectChar">
    <w:name w:val="Comment Subject Char"/>
    <w:basedOn w:val="CommentTextChar"/>
    <w:link w:val="CommentSubject"/>
    <w:uiPriority w:val="99"/>
    <w:semiHidden/>
    <w:rsid w:val="00FF0476"/>
    <w:rPr>
      <w:b/>
      <w:bCs/>
      <w:sz w:val="20"/>
      <w:szCs w:val="20"/>
    </w:rPr>
  </w:style>
  <w:style w:type="character" w:customStyle="1" w:styleId="Heading2Char">
    <w:name w:val="Heading 2 Char"/>
    <w:basedOn w:val="DefaultParagraphFont"/>
    <w:link w:val="Heading2"/>
    <w:uiPriority w:val="9"/>
    <w:semiHidden/>
    <w:rsid w:val="0051546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15467"/>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515467"/>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515467"/>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515467"/>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515467"/>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515467"/>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515467"/>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515467"/>
    <w:pPr>
      <w:spacing w:line="240" w:lineRule="auto"/>
    </w:pPr>
    <w:rPr>
      <w:b/>
      <w:bCs/>
      <w:smallCaps/>
      <w:color w:val="44546A" w:themeColor="text2"/>
    </w:rPr>
  </w:style>
  <w:style w:type="paragraph" w:styleId="Title">
    <w:name w:val="Title"/>
    <w:basedOn w:val="Normal"/>
    <w:next w:val="Normal"/>
    <w:link w:val="TitleChar"/>
    <w:uiPriority w:val="10"/>
    <w:qFormat/>
    <w:rsid w:val="0051546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15467"/>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15467"/>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515467"/>
    <w:rPr>
      <w:rFonts w:asciiTheme="majorHAnsi" w:eastAsiaTheme="majorEastAsia" w:hAnsiTheme="majorHAnsi" w:cstheme="majorBidi"/>
      <w:color w:val="5B9BD5" w:themeColor="accent1"/>
      <w:sz w:val="28"/>
      <w:szCs w:val="28"/>
    </w:rPr>
  </w:style>
  <w:style w:type="paragraph" w:styleId="NoSpacing">
    <w:name w:val="No Spacing"/>
    <w:uiPriority w:val="1"/>
    <w:qFormat/>
    <w:rsid w:val="00515467"/>
    <w:pPr>
      <w:spacing w:after="0" w:line="240" w:lineRule="auto"/>
    </w:pPr>
  </w:style>
  <w:style w:type="paragraph" w:styleId="Quote">
    <w:name w:val="Quote"/>
    <w:basedOn w:val="Normal"/>
    <w:next w:val="Normal"/>
    <w:link w:val="QuoteChar"/>
    <w:uiPriority w:val="29"/>
    <w:qFormat/>
    <w:rsid w:val="0051546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15467"/>
    <w:rPr>
      <w:color w:val="44546A" w:themeColor="text2"/>
      <w:sz w:val="24"/>
      <w:szCs w:val="24"/>
    </w:rPr>
  </w:style>
  <w:style w:type="paragraph" w:styleId="IntenseQuote">
    <w:name w:val="Intense Quote"/>
    <w:basedOn w:val="Normal"/>
    <w:next w:val="Normal"/>
    <w:link w:val="IntenseQuoteChar"/>
    <w:uiPriority w:val="30"/>
    <w:qFormat/>
    <w:rsid w:val="0051546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15467"/>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15467"/>
    <w:rPr>
      <w:i/>
      <w:iCs/>
      <w:color w:val="595959" w:themeColor="text1" w:themeTint="A6"/>
    </w:rPr>
  </w:style>
  <w:style w:type="character" w:styleId="IntenseEmphasis">
    <w:name w:val="Intense Emphasis"/>
    <w:basedOn w:val="DefaultParagraphFont"/>
    <w:uiPriority w:val="21"/>
    <w:qFormat/>
    <w:rsid w:val="00515467"/>
    <w:rPr>
      <w:b/>
      <w:bCs/>
      <w:i/>
      <w:iCs/>
    </w:rPr>
  </w:style>
  <w:style w:type="character" w:styleId="SubtleReference">
    <w:name w:val="Subtle Reference"/>
    <w:basedOn w:val="DefaultParagraphFont"/>
    <w:uiPriority w:val="31"/>
    <w:qFormat/>
    <w:rsid w:val="0051546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15467"/>
    <w:rPr>
      <w:b/>
      <w:bCs/>
      <w:smallCaps/>
      <w:color w:val="44546A" w:themeColor="text2"/>
      <w:u w:val="single"/>
    </w:rPr>
  </w:style>
  <w:style w:type="character" w:styleId="BookTitle">
    <w:name w:val="Book Title"/>
    <w:basedOn w:val="DefaultParagraphFont"/>
    <w:uiPriority w:val="33"/>
    <w:qFormat/>
    <w:rsid w:val="00515467"/>
    <w:rPr>
      <w:b/>
      <w:bCs/>
      <w:smallCaps/>
      <w:spacing w:val="10"/>
    </w:rPr>
  </w:style>
  <w:style w:type="paragraph" w:styleId="TOCHeading">
    <w:name w:val="TOC Heading"/>
    <w:basedOn w:val="Heading1"/>
    <w:next w:val="Normal"/>
    <w:uiPriority w:val="39"/>
    <w:semiHidden/>
    <w:unhideWhenUsed/>
    <w:qFormat/>
    <w:rsid w:val="00515467"/>
    <w:pPr>
      <w:outlineLvl w:val="9"/>
    </w:pPr>
  </w:style>
  <w:style w:type="character" w:styleId="PlaceholderText">
    <w:name w:val="Placeholder Text"/>
    <w:basedOn w:val="DefaultParagraphFont"/>
    <w:uiPriority w:val="99"/>
    <w:semiHidden/>
    <w:rsid w:val="00890EC5"/>
    <w:rPr>
      <w:color w:val="808080"/>
    </w:rPr>
  </w:style>
  <w:style w:type="paragraph" w:styleId="Header">
    <w:name w:val="header"/>
    <w:basedOn w:val="Normal"/>
    <w:link w:val="HeaderChar"/>
    <w:uiPriority w:val="99"/>
    <w:unhideWhenUsed/>
    <w:rsid w:val="00F71F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1FF3"/>
  </w:style>
  <w:style w:type="paragraph" w:styleId="Footer">
    <w:name w:val="footer"/>
    <w:basedOn w:val="Normal"/>
    <w:link w:val="FooterChar"/>
    <w:uiPriority w:val="99"/>
    <w:unhideWhenUsed/>
    <w:rsid w:val="00F71F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FF3"/>
  </w:style>
</w:styles>
</file>

<file path=word/webSettings.xml><?xml version="1.0" encoding="utf-8"?>
<w:webSettings xmlns:r="http://schemas.openxmlformats.org/officeDocument/2006/relationships" xmlns:w="http://schemas.openxmlformats.org/wordprocessingml/2006/main">
  <w:divs>
    <w:div w:id="226916439">
      <w:bodyDiv w:val="1"/>
      <w:marLeft w:val="0"/>
      <w:marRight w:val="0"/>
      <w:marTop w:val="0"/>
      <w:marBottom w:val="0"/>
      <w:divBdr>
        <w:top w:val="none" w:sz="0" w:space="0" w:color="auto"/>
        <w:left w:val="none" w:sz="0" w:space="0" w:color="auto"/>
        <w:bottom w:val="none" w:sz="0" w:space="0" w:color="auto"/>
        <w:right w:val="none" w:sz="0" w:space="0" w:color="auto"/>
      </w:divBdr>
    </w:div>
    <w:div w:id="229972470">
      <w:bodyDiv w:val="1"/>
      <w:marLeft w:val="0"/>
      <w:marRight w:val="0"/>
      <w:marTop w:val="0"/>
      <w:marBottom w:val="0"/>
      <w:divBdr>
        <w:top w:val="none" w:sz="0" w:space="0" w:color="auto"/>
        <w:left w:val="none" w:sz="0" w:space="0" w:color="auto"/>
        <w:bottom w:val="none" w:sz="0" w:space="0" w:color="auto"/>
        <w:right w:val="none" w:sz="0" w:space="0" w:color="auto"/>
      </w:divBdr>
    </w:div>
    <w:div w:id="282881229">
      <w:bodyDiv w:val="1"/>
      <w:marLeft w:val="0"/>
      <w:marRight w:val="0"/>
      <w:marTop w:val="0"/>
      <w:marBottom w:val="0"/>
      <w:divBdr>
        <w:top w:val="none" w:sz="0" w:space="0" w:color="auto"/>
        <w:left w:val="none" w:sz="0" w:space="0" w:color="auto"/>
        <w:bottom w:val="none" w:sz="0" w:space="0" w:color="auto"/>
        <w:right w:val="none" w:sz="0" w:space="0" w:color="auto"/>
      </w:divBdr>
    </w:div>
    <w:div w:id="292366314">
      <w:bodyDiv w:val="1"/>
      <w:marLeft w:val="0"/>
      <w:marRight w:val="0"/>
      <w:marTop w:val="0"/>
      <w:marBottom w:val="0"/>
      <w:divBdr>
        <w:top w:val="none" w:sz="0" w:space="0" w:color="auto"/>
        <w:left w:val="none" w:sz="0" w:space="0" w:color="auto"/>
        <w:bottom w:val="none" w:sz="0" w:space="0" w:color="auto"/>
        <w:right w:val="none" w:sz="0" w:space="0" w:color="auto"/>
      </w:divBdr>
    </w:div>
    <w:div w:id="318730958">
      <w:bodyDiv w:val="1"/>
      <w:marLeft w:val="0"/>
      <w:marRight w:val="0"/>
      <w:marTop w:val="0"/>
      <w:marBottom w:val="0"/>
      <w:divBdr>
        <w:top w:val="none" w:sz="0" w:space="0" w:color="auto"/>
        <w:left w:val="none" w:sz="0" w:space="0" w:color="auto"/>
        <w:bottom w:val="none" w:sz="0" w:space="0" w:color="auto"/>
        <w:right w:val="none" w:sz="0" w:space="0" w:color="auto"/>
      </w:divBdr>
    </w:div>
    <w:div w:id="576748326">
      <w:bodyDiv w:val="1"/>
      <w:marLeft w:val="0"/>
      <w:marRight w:val="0"/>
      <w:marTop w:val="0"/>
      <w:marBottom w:val="0"/>
      <w:divBdr>
        <w:top w:val="none" w:sz="0" w:space="0" w:color="auto"/>
        <w:left w:val="none" w:sz="0" w:space="0" w:color="auto"/>
        <w:bottom w:val="none" w:sz="0" w:space="0" w:color="auto"/>
        <w:right w:val="none" w:sz="0" w:space="0" w:color="auto"/>
      </w:divBdr>
    </w:div>
    <w:div w:id="636644737">
      <w:bodyDiv w:val="1"/>
      <w:marLeft w:val="0"/>
      <w:marRight w:val="0"/>
      <w:marTop w:val="0"/>
      <w:marBottom w:val="0"/>
      <w:divBdr>
        <w:top w:val="none" w:sz="0" w:space="0" w:color="auto"/>
        <w:left w:val="none" w:sz="0" w:space="0" w:color="auto"/>
        <w:bottom w:val="none" w:sz="0" w:space="0" w:color="auto"/>
        <w:right w:val="none" w:sz="0" w:space="0" w:color="auto"/>
      </w:divBdr>
    </w:div>
    <w:div w:id="716397861">
      <w:bodyDiv w:val="1"/>
      <w:marLeft w:val="0"/>
      <w:marRight w:val="0"/>
      <w:marTop w:val="0"/>
      <w:marBottom w:val="0"/>
      <w:divBdr>
        <w:top w:val="none" w:sz="0" w:space="0" w:color="auto"/>
        <w:left w:val="none" w:sz="0" w:space="0" w:color="auto"/>
        <w:bottom w:val="none" w:sz="0" w:space="0" w:color="auto"/>
        <w:right w:val="none" w:sz="0" w:space="0" w:color="auto"/>
      </w:divBdr>
    </w:div>
    <w:div w:id="827481120">
      <w:bodyDiv w:val="1"/>
      <w:marLeft w:val="0"/>
      <w:marRight w:val="0"/>
      <w:marTop w:val="0"/>
      <w:marBottom w:val="0"/>
      <w:divBdr>
        <w:top w:val="none" w:sz="0" w:space="0" w:color="auto"/>
        <w:left w:val="none" w:sz="0" w:space="0" w:color="auto"/>
        <w:bottom w:val="none" w:sz="0" w:space="0" w:color="auto"/>
        <w:right w:val="none" w:sz="0" w:space="0" w:color="auto"/>
      </w:divBdr>
    </w:div>
    <w:div w:id="938414911">
      <w:bodyDiv w:val="1"/>
      <w:marLeft w:val="0"/>
      <w:marRight w:val="0"/>
      <w:marTop w:val="0"/>
      <w:marBottom w:val="0"/>
      <w:divBdr>
        <w:top w:val="none" w:sz="0" w:space="0" w:color="auto"/>
        <w:left w:val="none" w:sz="0" w:space="0" w:color="auto"/>
        <w:bottom w:val="none" w:sz="0" w:space="0" w:color="auto"/>
        <w:right w:val="none" w:sz="0" w:space="0" w:color="auto"/>
      </w:divBdr>
    </w:div>
    <w:div w:id="973289812">
      <w:bodyDiv w:val="1"/>
      <w:marLeft w:val="0"/>
      <w:marRight w:val="0"/>
      <w:marTop w:val="0"/>
      <w:marBottom w:val="0"/>
      <w:divBdr>
        <w:top w:val="none" w:sz="0" w:space="0" w:color="auto"/>
        <w:left w:val="none" w:sz="0" w:space="0" w:color="auto"/>
        <w:bottom w:val="none" w:sz="0" w:space="0" w:color="auto"/>
        <w:right w:val="none" w:sz="0" w:space="0" w:color="auto"/>
      </w:divBdr>
    </w:div>
    <w:div w:id="1007170821">
      <w:bodyDiv w:val="1"/>
      <w:marLeft w:val="0"/>
      <w:marRight w:val="0"/>
      <w:marTop w:val="0"/>
      <w:marBottom w:val="0"/>
      <w:divBdr>
        <w:top w:val="none" w:sz="0" w:space="0" w:color="auto"/>
        <w:left w:val="none" w:sz="0" w:space="0" w:color="auto"/>
        <w:bottom w:val="none" w:sz="0" w:space="0" w:color="auto"/>
        <w:right w:val="none" w:sz="0" w:space="0" w:color="auto"/>
      </w:divBdr>
    </w:div>
    <w:div w:id="1030912155">
      <w:bodyDiv w:val="1"/>
      <w:marLeft w:val="0"/>
      <w:marRight w:val="0"/>
      <w:marTop w:val="0"/>
      <w:marBottom w:val="0"/>
      <w:divBdr>
        <w:top w:val="none" w:sz="0" w:space="0" w:color="auto"/>
        <w:left w:val="none" w:sz="0" w:space="0" w:color="auto"/>
        <w:bottom w:val="none" w:sz="0" w:space="0" w:color="auto"/>
        <w:right w:val="none" w:sz="0" w:space="0" w:color="auto"/>
      </w:divBdr>
    </w:div>
    <w:div w:id="1059477545">
      <w:bodyDiv w:val="1"/>
      <w:marLeft w:val="0"/>
      <w:marRight w:val="0"/>
      <w:marTop w:val="0"/>
      <w:marBottom w:val="0"/>
      <w:divBdr>
        <w:top w:val="none" w:sz="0" w:space="0" w:color="auto"/>
        <w:left w:val="none" w:sz="0" w:space="0" w:color="auto"/>
        <w:bottom w:val="none" w:sz="0" w:space="0" w:color="auto"/>
        <w:right w:val="none" w:sz="0" w:space="0" w:color="auto"/>
      </w:divBdr>
    </w:div>
    <w:div w:id="1192575782">
      <w:bodyDiv w:val="1"/>
      <w:marLeft w:val="0"/>
      <w:marRight w:val="0"/>
      <w:marTop w:val="0"/>
      <w:marBottom w:val="0"/>
      <w:divBdr>
        <w:top w:val="none" w:sz="0" w:space="0" w:color="auto"/>
        <w:left w:val="none" w:sz="0" w:space="0" w:color="auto"/>
        <w:bottom w:val="none" w:sz="0" w:space="0" w:color="auto"/>
        <w:right w:val="none" w:sz="0" w:space="0" w:color="auto"/>
      </w:divBdr>
    </w:div>
    <w:div w:id="1195189538">
      <w:bodyDiv w:val="1"/>
      <w:marLeft w:val="0"/>
      <w:marRight w:val="0"/>
      <w:marTop w:val="0"/>
      <w:marBottom w:val="0"/>
      <w:divBdr>
        <w:top w:val="none" w:sz="0" w:space="0" w:color="auto"/>
        <w:left w:val="none" w:sz="0" w:space="0" w:color="auto"/>
        <w:bottom w:val="none" w:sz="0" w:space="0" w:color="auto"/>
        <w:right w:val="none" w:sz="0" w:space="0" w:color="auto"/>
      </w:divBdr>
    </w:div>
    <w:div w:id="1273785483">
      <w:bodyDiv w:val="1"/>
      <w:marLeft w:val="0"/>
      <w:marRight w:val="0"/>
      <w:marTop w:val="0"/>
      <w:marBottom w:val="0"/>
      <w:divBdr>
        <w:top w:val="none" w:sz="0" w:space="0" w:color="auto"/>
        <w:left w:val="none" w:sz="0" w:space="0" w:color="auto"/>
        <w:bottom w:val="none" w:sz="0" w:space="0" w:color="auto"/>
        <w:right w:val="none" w:sz="0" w:space="0" w:color="auto"/>
      </w:divBdr>
    </w:div>
    <w:div w:id="1308976533">
      <w:bodyDiv w:val="1"/>
      <w:marLeft w:val="0"/>
      <w:marRight w:val="0"/>
      <w:marTop w:val="0"/>
      <w:marBottom w:val="0"/>
      <w:divBdr>
        <w:top w:val="none" w:sz="0" w:space="0" w:color="auto"/>
        <w:left w:val="none" w:sz="0" w:space="0" w:color="auto"/>
        <w:bottom w:val="none" w:sz="0" w:space="0" w:color="auto"/>
        <w:right w:val="none" w:sz="0" w:space="0" w:color="auto"/>
      </w:divBdr>
    </w:div>
    <w:div w:id="1332609584">
      <w:bodyDiv w:val="1"/>
      <w:marLeft w:val="0"/>
      <w:marRight w:val="0"/>
      <w:marTop w:val="0"/>
      <w:marBottom w:val="0"/>
      <w:divBdr>
        <w:top w:val="none" w:sz="0" w:space="0" w:color="auto"/>
        <w:left w:val="none" w:sz="0" w:space="0" w:color="auto"/>
        <w:bottom w:val="none" w:sz="0" w:space="0" w:color="auto"/>
        <w:right w:val="none" w:sz="0" w:space="0" w:color="auto"/>
      </w:divBdr>
    </w:div>
    <w:div w:id="1366179642">
      <w:bodyDiv w:val="1"/>
      <w:marLeft w:val="0"/>
      <w:marRight w:val="0"/>
      <w:marTop w:val="0"/>
      <w:marBottom w:val="0"/>
      <w:divBdr>
        <w:top w:val="none" w:sz="0" w:space="0" w:color="auto"/>
        <w:left w:val="none" w:sz="0" w:space="0" w:color="auto"/>
        <w:bottom w:val="none" w:sz="0" w:space="0" w:color="auto"/>
        <w:right w:val="none" w:sz="0" w:space="0" w:color="auto"/>
      </w:divBdr>
    </w:div>
    <w:div w:id="1369336514">
      <w:bodyDiv w:val="1"/>
      <w:marLeft w:val="0"/>
      <w:marRight w:val="0"/>
      <w:marTop w:val="0"/>
      <w:marBottom w:val="0"/>
      <w:divBdr>
        <w:top w:val="none" w:sz="0" w:space="0" w:color="auto"/>
        <w:left w:val="none" w:sz="0" w:space="0" w:color="auto"/>
        <w:bottom w:val="none" w:sz="0" w:space="0" w:color="auto"/>
        <w:right w:val="none" w:sz="0" w:space="0" w:color="auto"/>
      </w:divBdr>
    </w:div>
    <w:div w:id="1435829144">
      <w:bodyDiv w:val="1"/>
      <w:marLeft w:val="0"/>
      <w:marRight w:val="0"/>
      <w:marTop w:val="0"/>
      <w:marBottom w:val="0"/>
      <w:divBdr>
        <w:top w:val="none" w:sz="0" w:space="0" w:color="auto"/>
        <w:left w:val="none" w:sz="0" w:space="0" w:color="auto"/>
        <w:bottom w:val="none" w:sz="0" w:space="0" w:color="auto"/>
        <w:right w:val="none" w:sz="0" w:space="0" w:color="auto"/>
      </w:divBdr>
    </w:div>
    <w:div w:id="1450078926">
      <w:bodyDiv w:val="1"/>
      <w:marLeft w:val="0"/>
      <w:marRight w:val="0"/>
      <w:marTop w:val="0"/>
      <w:marBottom w:val="0"/>
      <w:divBdr>
        <w:top w:val="none" w:sz="0" w:space="0" w:color="auto"/>
        <w:left w:val="none" w:sz="0" w:space="0" w:color="auto"/>
        <w:bottom w:val="none" w:sz="0" w:space="0" w:color="auto"/>
        <w:right w:val="none" w:sz="0" w:space="0" w:color="auto"/>
      </w:divBdr>
    </w:div>
    <w:div w:id="1505707841">
      <w:bodyDiv w:val="1"/>
      <w:marLeft w:val="0"/>
      <w:marRight w:val="0"/>
      <w:marTop w:val="0"/>
      <w:marBottom w:val="0"/>
      <w:divBdr>
        <w:top w:val="none" w:sz="0" w:space="0" w:color="auto"/>
        <w:left w:val="none" w:sz="0" w:space="0" w:color="auto"/>
        <w:bottom w:val="none" w:sz="0" w:space="0" w:color="auto"/>
        <w:right w:val="none" w:sz="0" w:space="0" w:color="auto"/>
      </w:divBdr>
    </w:div>
    <w:div w:id="1526678494">
      <w:bodyDiv w:val="1"/>
      <w:marLeft w:val="0"/>
      <w:marRight w:val="0"/>
      <w:marTop w:val="0"/>
      <w:marBottom w:val="0"/>
      <w:divBdr>
        <w:top w:val="none" w:sz="0" w:space="0" w:color="auto"/>
        <w:left w:val="none" w:sz="0" w:space="0" w:color="auto"/>
        <w:bottom w:val="none" w:sz="0" w:space="0" w:color="auto"/>
        <w:right w:val="none" w:sz="0" w:space="0" w:color="auto"/>
      </w:divBdr>
    </w:div>
    <w:div w:id="1535649625">
      <w:bodyDiv w:val="1"/>
      <w:marLeft w:val="0"/>
      <w:marRight w:val="0"/>
      <w:marTop w:val="0"/>
      <w:marBottom w:val="0"/>
      <w:divBdr>
        <w:top w:val="none" w:sz="0" w:space="0" w:color="auto"/>
        <w:left w:val="none" w:sz="0" w:space="0" w:color="auto"/>
        <w:bottom w:val="none" w:sz="0" w:space="0" w:color="auto"/>
        <w:right w:val="none" w:sz="0" w:space="0" w:color="auto"/>
      </w:divBdr>
    </w:div>
    <w:div w:id="1549416883">
      <w:bodyDiv w:val="1"/>
      <w:marLeft w:val="0"/>
      <w:marRight w:val="0"/>
      <w:marTop w:val="0"/>
      <w:marBottom w:val="0"/>
      <w:divBdr>
        <w:top w:val="none" w:sz="0" w:space="0" w:color="auto"/>
        <w:left w:val="none" w:sz="0" w:space="0" w:color="auto"/>
        <w:bottom w:val="none" w:sz="0" w:space="0" w:color="auto"/>
        <w:right w:val="none" w:sz="0" w:space="0" w:color="auto"/>
      </w:divBdr>
    </w:div>
    <w:div w:id="1762875759">
      <w:bodyDiv w:val="1"/>
      <w:marLeft w:val="0"/>
      <w:marRight w:val="0"/>
      <w:marTop w:val="0"/>
      <w:marBottom w:val="0"/>
      <w:divBdr>
        <w:top w:val="none" w:sz="0" w:space="0" w:color="auto"/>
        <w:left w:val="none" w:sz="0" w:space="0" w:color="auto"/>
        <w:bottom w:val="none" w:sz="0" w:space="0" w:color="auto"/>
        <w:right w:val="none" w:sz="0" w:space="0" w:color="auto"/>
      </w:divBdr>
      <w:divsChild>
        <w:div w:id="2115007908">
          <w:marLeft w:val="0"/>
          <w:marRight w:val="0"/>
          <w:marTop w:val="0"/>
          <w:marBottom w:val="0"/>
          <w:divBdr>
            <w:top w:val="none" w:sz="0" w:space="0" w:color="auto"/>
            <w:left w:val="none" w:sz="0" w:space="0" w:color="auto"/>
            <w:bottom w:val="none" w:sz="0" w:space="0" w:color="auto"/>
            <w:right w:val="none" w:sz="0" w:space="0" w:color="auto"/>
          </w:divBdr>
        </w:div>
        <w:div w:id="1358970728">
          <w:marLeft w:val="0"/>
          <w:marRight w:val="0"/>
          <w:marTop w:val="0"/>
          <w:marBottom w:val="0"/>
          <w:divBdr>
            <w:top w:val="none" w:sz="0" w:space="0" w:color="auto"/>
            <w:left w:val="none" w:sz="0" w:space="0" w:color="auto"/>
            <w:bottom w:val="none" w:sz="0" w:space="0" w:color="auto"/>
            <w:right w:val="none" w:sz="0" w:space="0" w:color="auto"/>
          </w:divBdr>
        </w:div>
        <w:div w:id="297079579">
          <w:marLeft w:val="0"/>
          <w:marRight w:val="0"/>
          <w:marTop w:val="0"/>
          <w:marBottom w:val="0"/>
          <w:divBdr>
            <w:top w:val="none" w:sz="0" w:space="0" w:color="auto"/>
            <w:left w:val="none" w:sz="0" w:space="0" w:color="auto"/>
            <w:bottom w:val="none" w:sz="0" w:space="0" w:color="auto"/>
            <w:right w:val="none" w:sz="0" w:space="0" w:color="auto"/>
          </w:divBdr>
        </w:div>
        <w:div w:id="59524752">
          <w:marLeft w:val="0"/>
          <w:marRight w:val="0"/>
          <w:marTop w:val="0"/>
          <w:marBottom w:val="0"/>
          <w:divBdr>
            <w:top w:val="none" w:sz="0" w:space="0" w:color="auto"/>
            <w:left w:val="none" w:sz="0" w:space="0" w:color="auto"/>
            <w:bottom w:val="none" w:sz="0" w:space="0" w:color="auto"/>
            <w:right w:val="none" w:sz="0" w:space="0" w:color="auto"/>
          </w:divBdr>
        </w:div>
        <w:div w:id="467749573">
          <w:marLeft w:val="0"/>
          <w:marRight w:val="0"/>
          <w:marTop w:val="0"/>
          <w:marBottom w:val="0"/>
          <w:divBdr>
            <w:top w:val="none" w:sz="0" w:space="0" w:color="auto"/>
            <w:left w:val="none" w:sz="0" w:space="0" w:color="auto"/>
            <w:bottom w:val="none" w:sz="0" w:space="0" w:color="auto"/>
            <w:right w:val="none" w:sz="0" w:space="0" w:color="auto"/>
          </w:divBdr>
        </w:div>
        <w:div w:id="219171872">
          <w:marLeft w:val="0"/>
          <w:marRight w:val="0"/>
          <w:marTop w:val="0"/>
          <w:marBottom w:val="0"/>
          <w:divBdr>
            <w:top w:val="none" w:sz="0" w:space="0" w:color="auto"/>
            <w:left w:val="none" w:sz="0" w:space="0" w:color="auto"/>
            <w:bottom w:val="none" w:sz="0" w:space="0" w:color="auto"/>
            <w:right w:val="none" w:sz="0" w:space="0" w:color="auto"/>
          </w:divBdr>
        </w:div>
        <w:div w:id="2098863290">
          <w:marLeft w:val="0"/>
          <w:marRight w:val="0"/>
          <w:marTop w:val="0"/>
          <w:marBottom w:val="0"/>
          <w:divBdr>
            <w:top w:val="none" w:sz="0" w:space="0" w:color="auto"/>
            <w:left w:val="none" w:sz="0" w:space="0" w:color="auto"/>
            <w:bottom w:val="none" w:sz="0" w:space="0" w:color="auto"/>
            <w:right w:val="none" w:sz="0" w:space="0" w:color="auto"/>
          </w:divBdr>
        </w:div>
        <w:div w:id="280035715">
          <w:marLeft w:val="0"/>
          <w:marRight w:val="0"/>
          <w:marTop w:val="0"/>
          <w:marBottom w:val="0"/>
          <w:divBdr>
            <w:top w:val="none" w:sz="0" w:space="0" w:color="auto"/>
            <w:left w:val="none" w:sz="0" w:space="0" w:color="auto"/>
            <w:bottom w:val="none" w:sz="0" w:space="0" w:color="auto"/>
            <w:right w:val="none" w:sz="0" w:space="0" w:color="auto"/>
          </w:divBdr>
        </w:div>
        <w:div w:id="1098404178">
          <w:marLeft w:val="0"/>
          <w:marRight w:val="0"/>
          <w:marTop w:val="0"/>
          <w:marBottom w:val="0"/>
          <w:divBdr>
            <w:top w:val="none" w:sz="0" w:space="0" w:color="auto"/>
            <w:left w:val="none" w:sz="0" w:space="0" w:color="auto"/>
            <w:bottom w:val="none" w:sz="0" w:space="0" w:color="auto"/>
            <w:right w:val="none" w:sz="0" w:space="0" w:color="auto"/>
          </w:divBdr>
          <w:divsChild>
            <w:div w:id="1339577782">
              <w:marLeft w:val="0"/>
              <w:marRight w:val="0"/>
              <w:marTop w:val="0"/>
              <w:marBottom w:val="0"/>
              <w:divBdr>
                <w:top w:val="none" w:sz="0" w:space="0" w:color="auto"/>
                <w:left w:val="none" w:sz="0" w:space="0" w:color="auto"/>
                <w:bottom w:val="none" w:sz="0" w:space="0" w:color="auto"/>
                <w:right w:val="none" w:sz="0" w:space="0" w:color="auto"/>
              </w:divBdr>
              <w:divsChild>
                <w:div w:id="27029696">
                  <w:marLeft w:val="0"/>
                  <w:marRight w:val="0"/>
                  <w:marTop w:val="0"/>
                  <w:marBottom w:val="0"/>
                  <w:divBdr>
                    <w:top w:val="none" w:sz="0" w:space="0" w:color="auto"/>
                    <w:left w:val="none" w:sz="0" w:space="0" w:color="auto"/>
                    <w:bottom w:val="none" w:sz="0" w:space="0" w:color="auto"/>
                    <w:right w:val="none" w:sz="0" w:space="0" w:color="auto"/>
                  </w:divBdr>
                </w:div>
                <w:div w:id="315039598">
                  <w:marLeft w:val="0"/>
                  <w:marRight w:val="0"/>
                  <w:marTop w:val="0"/>
                  <w:marBottom w:val="0"/>
                  <w:divBdr>
                    <w:top w:val="none" w:sz="0" w:space="0" w:color="auto"/>
                    <w:left w:val="none" w:sz="0" w:space="0" w:color="auto"/>
                    <w:bottom w:val="none" w:sz="0" w:space="0" w:color="auto"/>
                    <w:right w:val="none" w:sz="0" w:space="0" w:color="auto"/>
                  </w:divBdr>
                  <w:divsChild>
                    <w:div w:id="510336999">
                      <w:marLeft w:val="0"/>
                      <w:marRight w:val="0"/>
                      <w:marTop w:val="0"/>
                      <w:marBottom w:val="0"/>
                      <w:divBdr>
                        <w:top w:val="none" w:sz="0" w:space="0" w:color="auto"/>
                        <w:left w:val="none" w:sz="0" w:space="0" w:color="auto"/>
                        <w:bottom w:val="none" w:sz="0" w:space="0" w:color="auto"/>
                        <w:right w:val="none" w:sz="0" w:space="0" w:color="auto"/>
                      </w:divBdr>
                    </w:div>
                    <w:div w:id="1614557156">
                      <w:marLeft w:val="0"/>
                      <w:marRight w:val="0"/>
                      <w:marTop w:val="0"/>
                      <w:marBottom w:val="0"/>
                      <w:divBdr>
                        <w:top w:val="none" w:sz="0" w:space="0" w:color="auto"/>
                        <w:left w:val="none" w:sz="0" w:space="0" w:color="auto"/>
                        <w:bottom w:val="none" w:sz="0" w:space="0" w:color="auto"/>
                        <w:right w:val="none" w:sz="0" w:space="0" w:color="auto"/>
                      </w:divBdr>
                    </w:div>
                    <w:div w:id="1541431537">
                      <w:marLeft w:val="0"/>
                      <w:marRight w:val="0"/>
                      <w:marTop w:val="0"/>
                      <w:marBottom w:val="0"/>
                      <w:divBdr>
                        <w:top w:val="none" w:sz="0" w:space="0" w:color="auto"/>
                        <w:left w:val="none" w:sz="0" w:space="0" w:color="auto"/>
                        <w:bottom w:val="none" w:sz="0" w:space="0" w:color="auto"/>
                        <w:right w:val="none" w:sz="0" w:space="0" w:color="auto"/>
                      </w:divBdr>
                    </w:div>
                    <w:div w:id="548884321">
                      <w:marLeft w:val="0"/>
                      <w:marRight w:val="0"/>
                      <w:marTop w:val="0"/>
                      <w:marBottom w:val="0"/>
                      <w:divBdr>
                        <w:top w:val="none" w:sz="0" w:space="0" w:color="auto"/>
                        <w:left w:val="none" w:sz="0" w:space="0" w:color="auto"/>
                        <w:bottom w:val="none" w:sz="0" w:space="0" w:color="auto"/>
                        <w:right w:val="none" w:sz="0" w:space="0" w:color="auto"/>
                      </w:divBdr>
                    </w:div>
                    <w:div w:id="1337536639">
                      <w:marLeft w:val="0"/>
                      <w:marRight w:val="0"/>
                      <w:marTop w:val="0"/>
                      <w:marBottom w:val="0"/>
                      <w:divBdr>
                        <w:top w:val="none" w:sz="0" w:space="0" w:color="auto"/>
                        <w:left w:val="none" w:sz="0" w:space="0" w:color="auto"/>
                        <w:bottom w:val="none" w:sz="0" w:space="0" w:color="auto"/>
                        <w:right w:val="none" w:sz="0" w:space="0" w:color="auto"/>
                      </w:divBdr>
                    </w:div>
                    <w:div w:id="87314493">
                      <w:marLeft w:val="0"/>
                      <w:marRight w:val="0"/>
                      <w:marTop w:val="0"/>
                      <w:marBottom w:val="0"/>
                      <w:divBdr>
                        <w:top w:val="none" w:sz="0" w:space="0" w:color="auto"/>
                        <w:left w:val="none" w:sz="0" w:space="0" w:color="auto"/>
                        <w:bottom w:val="none" w:sz="0" w:space="0" w:color="auto"/>
                        <w:right w:val="none" w:sz="0" w:space="0" w:color="auto"/>
                      </w:divBdr>
                    </w:div>
                    <w:div w:id="1272930453">
                      <w:marLeft w:val="0"/>
                      <w:marRight w:val="0"/>
                      <w:marTop w:val="0"/>
                      <w:marBottom w:val="0"/>
                      <w:divBdr>
                        <w:top w:val="none" w:sz="0" w:space="0" w:color="auto"/>
                        <w:left w:val="none" w:sz="0" w:space="0" w:color="auto"/>
                        <w:bottom w:val="none" w:sz="0" w:space="0" w:color="auto"/>
                        <w:right w:val="none" w:sz="0" w:space="0" w:color="auto"/>
                      </w:divBdr>
                    </w:div>
                    <w:div w:id="1473669088">
                      <w:marLeft w:val="0"/>
                      <w:marRight w:val="0"/>
                      <w:marTop w:val="0"/>
                      <w:marBottom w:val="0"/>
                      <w:divBdr>
                        <w:top w:val="none" w:sz="0" w:space="0" w:color="auto"/>
                        <w:left w:val="none" w:sz="0" w:space="0" w:color="auto"/>
                        <w:bottom w:val="none" w:sz="0" w:space="0" w:color="auto"/>
                        <w:right w:val="none" w:sz="0" w:space="0" w:color="auto"/>
                      </w:divBdr>
                    </w:div>
                    <w:div w:id="546720923">
                      <w:marLeft w:val="0"/>
                      <w:marRight w:val="0"/>
                      <w:marTop w:val="0"/>
                      <w:marBottom w:val="0"/>
                      <w:divBdr>
                        <w:top w:val="none" w:sz="0" w:space="0" w:color="auto"/>
                        <w:left w:val="none" w:sz="0" w:space="0" w:color="auto"/>
                        <w:bottom w:val="none" w:sz="0" w:space="0" w:color="auto"/>
                        <w:right w:val="none" w:sz="0" w:space="0" w:color="auto"/>
                      </w:divBdr>
                    </w:div>
                    <w:div w:id="1735277779">
                      <w:marLeft w:val="0"/>
                      <w:marRight w:val="0"/>
                      <w:marTop w:val="0"/>
                      <w:marBottom w:val="0"/>
                      <w:divBdr>
                        <w:top w:val="none" w:sz="0" w:space="0" w:color="auto"/>
                        <w:left w:val="none" w:sz="0" w:space="0" w:color="auto"/>
                        <w:bottom w:val="none" w:sz="0" w:space="0" w:color="auto"/>
                        <w:right w:val="none" w:sz="0" w:space="0" w:color="auto"/>
                      </w:divBdr>
                    </w:div>
                    <w:div w:id="2128505877">
                      <w:marLeft w:val="0"/>
                      <w:marRight w:val="0"/>
                      <w:marTop w:val="0"/>
                      <w:marBottom w:val="0"/>
                      <w:divBdr>
                        <w:top w:val="none" w:sz="0" w:space="0" w:color="auto"/>
                        <w:left w:val="none" w:sz="0" w:space="0" w:color="auto"/>
                        <w:bottom w:val="none" w:sz="0" w:space="0" w:color="auto"/>
                        <w:right w:val="none" w:sz="0" w:space="0" w:color="auto"/>
                      </w:divBdr>
                    </w:div>
                    <w:div w:id="2132286131">
                      <w:marLeft w:val="0"/>
                      <w:marRight w:val="0"/>
                      <w:marTop w:val="0"/>
                      <w:marBottom w:val="0"/>
                      <w:divBdr>
                        <w:top w:val="none" w:sz="0" w:space="0" w:color="auto"/>
                        <w:left w:val="none" w:sz="0" w:space="0" w:color="auto"/>
                        <w:bottom w:val="none" w:sz="0" w:space="0" w:color="auto"/>
                        <w:right w:val="none" w:sz="0" w:space="0" w:color="auto"/>
                      </w:divBdr>
                    </w:div>
                    <w:div w:id="1381400286">
                      <w:marLeft w:val="0"/>
                      <w:marRight w:val="0"/>
                      <w:marTop w:val="0"/>
                      <w:marBottom w:val="0"/>
                      <w:divBdr>
                        <w:top w:val="none" w:sz="0" w:space="0" w:color="auto"/>
                        <w:left w:val="none" w:sz="0" w:space="0" w:color="auto"/>
                        <w:bottom w:val="none" w:sz="0" w:space="0" w:color="auto"/>
                        <w:right w:val="none" w:sz="0" w:space="0" w:color="auto"/>
                      </w:divBdr>
                    </w:div>
                    <w:div w:id="1249583987">
                      <w:marLeft w:val="0"/>
                      <w:marRight w:val="0"/>
                      <w:marTop w:val="0"/>
                      <w:marBottom w:val="0"/>
                      <w:divBdr>
                        <w:top w:val="none" w:sz="0" w:space="0" w:color="auto"/>
                        <w:left w:val="none" w:sz="0" w:space="0" w:color="auto"/>
                        <w:bottom w:val="none" w:sz="0" w:space="0" w:color="auto"/>
                        <w:right w:val="none" w:sz="0" w:space="0" w:color="auto"/>
                      </w:divBdr>
                    </w:div>
                    <w:div w:id="2144303076">
                      <w:marLeft w:val="0"/>
                      <w:marRight w:val="0"/>
                      <w:marTop w:val="0"/>
                      <w:marBottom w:val="0"/>
                      <w:divBdr>
                        <w:top w:val="none" w:sz="0" w:space="0" w:color="auto"/>
                        <w:left w:val="none" w:sz="0" w:space="0" w:color="auto"/>
                        <w:bottom w:val="none" w:sz="0" w:space="0" w:color="auto"/>
                        <w:right w:val="none" w:sz="0" w:space="0" w:color="auto"/>
                      </w:divBdr>
                    </w:div>
                  </w:divsChild>
                </w:div>
                <w:div w:id="131407075">
                  <w:marLeft w:val="0"/>
                  <w:marRight w:val="0"/>
                  <w:marTop w:val="0"/>
                  <w:marBottom w:val="0"/>
                  <w:divBdr>
                    <w:top w:val="none" w:sz="0" w:space="0" w:color="auto"/>
                    <w:left w:val="none" w:sz="0" w:space="0" w:color="auto"/>
                    <w:bottom w:val="none" w:sz="0" w:space="0" w:color="auto"/>
                    <w:right w:val="none" w:sz="0" w:space="0" w:color="auto"/>
                  </w:divBdr>
                  <w:divsChild>
                    <w:div w:id="1219974403">
                      <w:marLeft w:val="0"/>
                      <w:marRight w:val="0"/>
                      <w:marTop w:val="0"/>
                      <w:marBottom w:val="0"/>
                      <w:divBdr>
                        <w:top w:val="none" w:sz="0" w:space="0" w:color="auto"/>
                        <w:left w:val="none" w:sz="0" w:space="0" w:color="auto"/>
                        <w:bottom w:val="none" w:sz="0" w:space="0" w:color="auto"/>
                        <w:right w:val="none" w:sz="0" w:space="0" w:color="auto"/>
                      </w:divBdr>
                    </w:div>
                    <w:div w:id="1040785754">
                      <w:blockQuote w:val="1"/>
                      <w:marLeft w:val="96"/>
                      <w:marRight w:val="0"/>
                      <w:marTop w:val="0"/>
                      <w:marBottom w:val="0"/>
                      <w:divBdr>
                        <w:top w:val="none" w:sz="0" w:space="0" w:color="auto"/>
                        <w:left w:val="none" w:sz="0" w:space="0" w:color="auto"/>
                        <w:bottom w:val="none" w:sz="0" w:space="0" w:color="auto"/>
                        <w:right w:val="none" w:sz="0" w:space="0" w:color="auto"/>
                      </w:divBdr>
                      <w:divsChild>
                        <w:div w:id="1969125202">
                          <w:marLeft w:val="0"/>
                          <w:marRight w:val="0"/>
                          <w:marTop w:val="0"/>
                          <w:marBottom w:val="0"/>
                          <w:divBdr>
                            <w:top w:val="none" w:sz="0" w:space="0" w:color="auto"/>
                            <w:left w:val="none" w:sz="0" w:space="0" w:color="auto"/>
                            <w:bottom w:val="none" w:sz="0" w:space="0" w:color="auto"/>
                            <w:right w:val="none" w:sz="0" w:space="0" w:color="auto"/>
                          </w:divBdr>
                          <w:divsChild>
                            <w:div w:id="1870291802">
                              <w:marLeft w:val="0"/>
                              <w:marRight w:val="0"/>
                              <w:marTop w:val="0"/>
                              <w:marBottom w:val="0"/>
                              <w:divBdr>
                                <w:top w:val="none" w:sz="0" w:space="0" w:color="auto"/>
                                <w:left w:val="none" w:sz="0" w:space="0" w:color="auto"/>
                                <w:bottom w:val="none" w:sz="0" w:space="0" w:color="auto"/>
                                <w:right w:val="none" w:sz="0" w:space="0" w:color="auto"/>
                              </w:divBdr>
                            </w:div>
                            <w:div w:id="426655993">
                              <w:marLeft w:val="0"/>
                              <w:marRight w:val="0"/>
                              <w:marTop w:val="0"/>
                              <w:marBottom w:val="0"/>
                              <w:divBdr>
                                <w:top w:val="none" w:sz="0" w:space="0" w:color="auto"/>
                                <w:left w:val="none" w:sz="0" w:space="0" w:color="auto"/>
                                <w:bottom w:val="none" w:sz="0" w:space="0" w:color="auto"/>
                                <w:right w:val="none" w:sz="0" w:space="0" w:color="auto"/>
                              </w:divBdr>
                            </w:div>
                            <w:div w:id="615792532">
                              <w:marLeft w:val="0"/>
                              <w:marRight w:val="0"/>
                              <w:marTop w:val="0"/>
                              <w:marBottom w:val="0"/>
                              <w:divBdr>
                                <w:top w:val="none" w:sz="0" w:space="0" w:color="auto"/>
                                <w:left w:val="none" w:sz="0" w:space="0" w:color="auto"/>
                                <w:bottom w:val="none" w:sz="0" w:space="0" w:color="auto"/>
                                <w:right w:val="none" w:sz="0" w:space="0" w:color="auto"/>
                              </w:divBdr>
                            </w:div>
                            <w:div w:id="577909823">
                              <w:marLeft w:val="0"/>
                              <w:marRight w:val="0"/>
                              <w:marTop w:val="0"/>
                              <w:marBottom w:val="0"/>
                              <w:divBdr>
                                <w:top w:val="none" w:sz="0" w:space="0" w:color="auto"/>
                                <w:left w:val="none" w:sz="0" w:space="0" w:color="auto"/>
                                <w:bottom w:val="none" w:sz="0" w:space="0" w:color="auto"/>
                                <w:right w:val="none" w:sz="0" w:space="0" w:color="auto"/>
                              </w:divBdr>
                            </w:div>
                            <w:div w:id="1650086521">
                              <w:marLeft w:val="0"/>
                              <w:marRight w:val="0"/>
                              <w:marTop w:val="0"/>
                              <w:marBottom w:val="0"/>
                              <w:divBdr>
                                <w:top w:val="none" w:sz="0" w:space="0" w:color="auto"/>
                                <w:left w:val="none" w:sz="0" w:space="0" w:color="auto"/>
                                <w:bottom w:val="none" w:sz="0" w:space="0" w:color="auto"/>
                                <w:right w:val="none" w:sz="0" w:space="0" w:color="auto"/>
                              </w:divBdr>
                            </w:div>
                            <w:div w:id="1305549622">
                              <w:marLeft w:val="0"/>
                              <w:marRight w:val="0"/>
                              <w:marTop w:val="0"/>
                              <w:marBottom w:val="0"/>
                              <w:divBdr>
                                <w:top w:val="none" w:sz="0" w:space="0" w:color="auto"/>
                                <w:left w:val="none" w:sz="0" w:space="0" w:color="auto"/>
                                <w:bottom w:val="none" w:sz="0" w:space="0" w:color="auto"/>
                                <w:right w:val="none" w:sz="0" w:space="0" w:color="auto"/>
                              </w:divBdr>
                              <w:divsChild>
                                <w:div w:id="199323271">
                                  <w:marLeft w:val="0"/>
                                  <w:marRight w:val="0"/>
                                  <w:marTop w:val="0"/>
                                  <w:marBottom w:val="0"/>
                                  <w:divBdr>
                                    <w:top w:val="none" w:sz="0" w:space="0" w:color="auto"/>
                                    <w:left w:val="none" w:sz="0" w:space="0" w:color="auto"/>
                                    <w:bottom w:val="none" w:sz="0" w:space="0" w:color="auto"/>
                                    <w:right w:val="none" w:sz="0" w:space="0" w:color="auto"/>
                                  </w:divBdr>
                                  <w:divsChild>
                                    <w:div w:id="21551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4952495">
      <w:bodyDiv w:val="1"/>
      <w:marLeft w:val="0"/>
      <w:marRight w:val="0"/>
      <w:marTop w:val="0"/>
      <w:marBottom w:val="0"/>
      <w:divBdr>
        <w:top w:val="none" w:sz="0" w:space="0" w:color="auto"/>
        <w:left w:val="none" w:sz="0" w:space="0" w:color="auto"/>
        <w:bottom w:val="none" w:sz="0" w:space="0" w:color="auto"/>
        <w:right w:val="none" w:sz="0" w:space="0" w:color="auto"/>
      </w:divBdr>
    </w:div>
    <w:div w:id="189072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2.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hyperlink" Target="http://www.es-partnership.org/esp/80763/5/0/50" TargetMode="External"/><Relationship Id="rId76" Type="http://schemas.openxmlformats.org/officeDocument/2006/relationships/hyperlink" Target="http://pages.stern.nyu.edu/~adamodar/New_Home_Page/datafile/ctryprem.html" TargetMode="External"/><Relationship Id="rId7" Type="http://schemas.openxmlformats.org/officeDocument/2006/relationships/endnotes" Target="endnotes.xml"/><Relationship Id="rId71" Type="http://schemas.openxmlformats.org/officeDocument/2006/relationships/hyperlink" Target="https://www.data.gov/ecosystems/" TargetMode="Externa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9.emf"/><Relationship Id="rId11" Type="http://schemas.openxmlformats.org/officeDocument/2006/relationships/image" Target="media/image2.emf"/><Relationship Id="rId24" Type="http://schemas.openxmlformats.org/officeDocument/2006/relationships/footer" Target="footer3.xml"/><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png"/><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hyperlink" Target="http://innge.net/wiki/index.php/Ecological_Databases"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png"/><Relationship Id="rId61" Type="http://schemas.openxmlformats.org/officeDocument/2006/relationships/image" Target="media/image51.emf"/><Relationship Id="rId10" Type="http://schemas.openxmlformats.org/officeDocument/2006/relationships/footer" Target="footer2.xml"/><Relationship Id="rId19" Type="http://schemas.openxmlformats.org/officeDocument/2006/relationships/image" Target="media/image10.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hyperlink" Target="http://www.gecoserv.org/"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hyperlink" Target="http://www.globalvaluexchange.org/news/0ad95653e1"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1.emf"/><Relationship Id="rId72" Type="http://schemas.openxmlformats.org/officeDocument/2006/relationships/hyperlink" Target="http://www.teebweb.org/publication/tthe-economics-of-ecosystems-and-biodiversity-valuation-database-manual/"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image" Target="media/image11.emf"/><Relationship Id="rId41" Type="http://schemas.openxmlformats.org/officeDocument/2006/relationships/image" Target="media/image31.emf"/><Relationship Id="rId54" Type="http://schemas.openxmlformats.org/officeDocument/2006/relationships/image" Target="media/image44.png"/><Relationship Id="rId62" Type="http://schemas.openxmlformats.org/officeDocument/2006/relationships/image" Target="media/image52.emf"/><Relationship Id="rId70" Type="http://schemas.openxmlformats.org/officeDocument/2006/relationships/hyperlink" Target="https://www.es-partnership.org/services/data-knowledge-sharing/ecosystem-service-valuation-database/" TargetMode="External"/><Relationship Id="rId75" Type="http://schemas.openxmlformats.org/officeDocument/2006/relationships/hyperlink" Target="http://www.monstat.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pages.stern.nyu.edu/~adamodar/New_Home_Page/datafile/ctrypre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855EF-EA61-4444-B154-695D15FD1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117</Pages>
  <Words>35445</Words>
  <Characters>202040</Characters>
  <Application>Microsoft Office Word</Application>
  <DocSecurity>0</DocSecurity>
  <Lines>1683</Lines>
  <Paragraphs>474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237011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3</cp:revision>
  <cp:lastPrinted>2019-10-07T16:21:00Z</cp:lastPrinted>
  <dcterms:created xsi:type="dcterms:W3CDTF">2019-10-08T12:52:00Z</dcterms:created>
  <dcterms:modified xsi:type="dcterms:W3CDTF">2019-10-08T12:54:00Z</dcterms:modified>
</cp:coreProperties>
</file>