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EE4E" w14:textId="77777777" w:rsidR="00FB695A" w:rsidRPr="00FB695A" w:rsidRDefault="00FB695A" w:rsidP="00FB695A">
      <w:pPr>
        <w:shd w:val="clear" w:color="auto" w:fill="FFFFFF"/>
        <w:spacing w:before="100" w:beforeAutospacing="1" w:after="100" w:afterAutospacing="1" w:line="240" w:lineRule="auto"/>
        <w:outlineLvl w:val="0"/>
        <w:rPr>
          <w:rFonts w:ascii="Open Sans" w:eastAsia="Times New Roman" w:hAnsi="Open Sans" w:cs="Open Sans"/>
          <w:b/>
          <w:bCs/>
          <w:color w:val="132E57"/>
          <w:kern w:val="36"/>
          <w:sz w:val="48"/>
          <w:szCs w:val="48"/>
        </w:rPr>
      </w:pPr>
      <w:r w:rsidRPr="00FB695A">
        <w:rPr>
          <w:rFonts w:ascii="Open Sans" w:eastAsia="Times New Roman" w:hAnsi="Open Sans" w:cs="Open Sans"/>
          <w:b/>
          <w:bCs/>
          <w:color w:val="132E57"/>
          <w:kern w:val="36"/>
          <w:sz w:val="48"/>
          <w:szCs w:val="48"/>
        </w:rPr>
        <w:t>EVA – Economic Value Added</w:t>
      </w:r>
    </w:p>
    <w:p w14:paraId="60DF03C5"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b/>
          <w:bCs/>
          <w:color w:val="132E57"/>
          <w:sz w:val="24"/>
          <w:szCs w:val="24"/>
        </w:rPr>
      </w:pPr>
      <w:r w:rsidRPr="00FB695A">
        <w:rPr>
          <w:rFonts w:ascii="Arial" w:eastAsia="Times New Roman" w:hAnsi="Arial" w:cs="Arial"/>
          <w:b/>
          <w:bCs/>
          <w:color w:val="132E57"/>
          <w:sz w:val="24"/>
          <w:szCs w:val="24"/>
        </w:rPr>
        <w:t>Returns generated above investors' required rate</w:t>
      </w:r>
    </w:p>
    <w:p w14:paraId="66A089CF" w14:textId="77777777" w:rsidR="00FB695A" w:rsidRPr="00FB695A" w:rsidRDefault="00FB695A" w:rsidP="00FB695A">
      <w:pPr>
        <w:shd w:val="clear" w:color="auto" w:fill="FFFFFF"/>
        <w:spacing w:after="0" w:line="240" w:lineRule="auto"/>
        <w:rPr>
          <w:rFonts w:ascii="Arial" w:eastAsia="Times New Roman" w:hAnsi="Arial" w:cs="Arial"/>
          <w:color w:val="727477"/>
          <w:sz w:val="24"/>
          <w:szCs w:val="24"/>
        </w:rPr>
      </w:pPr>
      <w:r w:rsidRPr="00FB695A">
        <w:rPr>
          <w:rFonts w:ascii="Arial" w:eastAsia="Times New Roman" w:hAnsi="Arial" w:cs="Arial"/>
          <w:color w:val="727477"/>
          <w:sz w:val="24"/>
          <w:szCs w:val="24"/>
        </w:rPr>
        <w:t xml:space="preserve">Written </w:t>
      </w:r>
      <w:r w:rsidRPr="00FB695A">
        <w:rPr>
          <w:rFonts w:ascii="Arial" w:eastAsia="Times New Roman" w:hAnsi="Arial" w:cs="Arial"/>
          <w:color w:val="57595D"/>
          <w:sz w:val="24"/>
          <w:szCs w:val="24"/>
        </w:rPr>
        <w:t>by </w:t>
      </w:r>
      <w:hyperlink r:id="rId5" w:history="1">
        <w:r w:rsidRPr="00FB695A">
          <w:rPr>
            <w:rFonts w:ascii="Arial" w:eastAsia="Times New Roman" w:hAnsi="Arial" w:cs="Arial"/>
            <w:color w:val="57595D"/>
            <w:sz w:val="24"/>
            <w:szCs w:val="24"/>
          </w:rPr>
          <w:t>CFI Team</w:t>
        </w:r>
      </w:hyperlink>
    </w:p>
    <w:p w14:paraId="37D3C3F5" w14:textId="77777777" w:rsidR="00FB695A" w:rsidRPr="00FB695A" w:rsidRDefault="00FB695A" w:rsidP="00FB695A">
      <w:pPr>
        <w:shd w:val="clear" w:color="auto" w:fill="FFFFFF"/>
        <w:spacing w:after="0" w:line="240" w:lineRule="auto"/>
        <w:rPr>
          <w:rFonts w:ascii="Arial" w:eastAsia="Times New Roman" w:hAnsi="Arial" w:cs="Arial"/>
          <w:color w:val="727477"/>
          <w:sz w:val="24"/>
          <w:szCs w:val="24"/>
        </w:rPr>
      </w:pPr>
      <w:r w:rsidRPr="00FB695A">
        <w:rPr>
          <w:rFonts w:ascii="Arial" w:eastAsia="Times New Roman" w:hAnsi="Arial" w:cs="Arial"/>
          <w:color w:val="727477"/>
          <w:sz w:val="24"/>
          <w:szCs w:val="24"/>
        </w:rPr>
        <w:t>Updated March 28, 2022</w:t>
      </w:r>
    </w:p>
    <w:p w14:paraId="52116E36" w14:textId="77777777" w:rsidR="00FB695A" w:rsidRPr="00FB695A" w:rsidRDefault="00FB695A" w:rsidP="00FB695A">
      <w:pPr>
        <w:shd w:val="clear" w:color="auto" w:fill="FFFFFF"/>
        <w:spacing w:before="100" w:beforeAutospacing="1" w:after="100" w:afterAutospacing="1" w:line="240" w:lineRule="auto"/>
        <w:outlineLvl w:val="1"/>
        <w:rPr>
          <w:rFonts w:ascii="Arial" w:eastAsia="Times New Roman" w:hAnsi="Arial" w:cs="Arial"/>
          <w:b/>
          <w:bCs/>
          <w:color w:val="132E57"/>
          <w:sz w:val="24"/>
          <w:szCs w:val="24"/>
        </w:rPr>
      </w:pPr>
      <w:r w:rsidRPr="00FB695A">
        <w:rPr>
          <w:rFonts w:ascii="Arial" w:eastAsia="Times New Roman" w:hAnsi="Arial" w:cs="Arial"/>
          <w:b/>
          <w:bCs/>
          <w:color w:val="132E57"/>
          <w:sz w:val="24"/>
          <w:szCs w:val="24"/>
        </w:rPr>
        <w:t>What is Economic Value Added (EVA)?</w:t>
      </w:r>
    </w:p>
    <w:p w14:paraId="01BDF027"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Economic Value Added (EVA) is a measure based on the residual Income technique, which measures the return generated over and above investors’ required rate of return (</w:t>
      </w:r>
      <w:hyperlink r:id="rId6" w:history="1">
        <w:r w:rsidRPr="00FB695A">
          <w:rPr>
            <w:rFonts w:ascii="Arial" w:eastAsia="Times New Roman" w:hAnsi="Arial" w:cs="Arial"/>
            <w:color w:val="57595D"/>
            <w:sz w:val="24"/>
            <w:szCs w:val="24"/>
          </w:rPr>
          <w:t>hurdle rate</w:t>
        </w:r>
      </w:hyperlink>
      <w:r w:rsidRPr="00FB695A">
        <w:rPr>
          <w:rFonts w:ascii="Arial" w:eastAsia="Times New Roman" w:hAnsi="Arial" w:cs="Arial"/>
          <w:color w:val="57595D"/>
          <w:sz w:val="24"/>
          <w:szCs w:val="24"/>
        </w:rPr>
        <w:t>).  The metric serves as an indicator of the </w:t>
      </w:r>
      <w:hyperlink r:id="rId7" w:history="1">
        <w:r w:rsidRPr="00FB695A">
          <w:rPr>
            <w:rFonts w:ascii="Arial" w:eastAsia="Times New Roman" w:hAnsi="Arial" w:cs="Arial"/>
            <w:color w:val="57595D"/>
            <w:sz w:val="24"/>
            <w:szCs w:val="24"/>
          </w:rPr>
          <w:t>profitability</w:t>
        </w:r>
      </w:hyperlink>
      <w:r w:rsidRPr="00FB695A">
        <w:rPr>
          <w:rFonts w:ascii="Arial" w:eastAsia="Times New Roman" w:hAnsi="Arial" w:cs="Arial"/>
          <w:color w:val="57595D"/>
          <w:sz w:val="24"/>
          <w:szCs w:val="24"/>
        </w:rPr>
        <w:t> of projects undertaken and its underlying premise consists of the ideas that (1) real profitability occurs when additional wealth is created for the </w:t>
      </w:r>
      <w:hyperlink r:id="rId8" w:tgtFrame="_blank" w:history="1">
        <w:r w:rsidRPr="00FB695A">
          <w:rPr>
            <w:rFonts w:ascii="Arial" w:eastAsia="Times New Roman" w:hAnsi="Arial" w:cs="Arial"/>
            <w:color w:val="57595D"/>
            <w:sz w:val="24"/>
            <w:szCs w:val="24"/>
          </w:rPr>
          <w:t>shareholders</w:t>
        </w:r>
      </w:hyperlink>
      <w:r w:rsidRPr="00FB695A">
        <w:rPr>
          <w:rFonts w:ascii="Arial" w:eastAsia="Times New Roman" w:hAnsi="Arial" w:cs="Arial"/>
          <w:color w:val="57595D"/>
          <w:sz w:val="24"/>
          <w:szCs w:val="24"/>
        </w:rPr>
        <w:t>, and (2) that projects create value when they generate returns above their </w:t>
      </w:r>
      <w:hyperlink r:id="rId9" w:history="1">
        <w:r w:rsidRPr="00FB695A">
          <w:rPr>
            <w:rFonts w:ascii="Arial" w:eastAsia="Times New Roman" w:hAnsi="Arial" w:cs="Arial"/>
            <w:color w:val="57595D"/>
            <w:sz w:val="24"/>
            <w:szCs w:val="24"/>
          </w:rPr>
          <w:t>cost of capital</w:t>
        </w:r>
      </w:hyperlink>
      <w:r w:rsidRPr="00FB695A">
        <w:rPr>
          <w:rFonts w:ascii="Arial" w:eastAsia="Times New Roman" w:hAnsi="Arial" w:cs="Arial"/>
          <w:color w:val="57595D"/>
          <w:sz w:val="24"/>
          <w:szCs w:val="24"/>
        </w:rPr>
        <w:t>.</w:t>
      </w:r>
    </w:p>
    <w:p w14:paraId="5903A40E" w14:textId="77777777" w:rsidR="00FB695A" w:rsidRPr="00FB695A" w:rsidRDefault="00FB695A" w:rsidP="00FB695A">
      <w:pPr>
        <w:shd w:val="clear" w:color="auto" w:fill="FFFFFF"/>
        <w:spacing w:before="100" w:beforeAutospacing="1" w:after="100" w:afterAutospacing="1" w:line="240" w:lineRule="auto"/>
        <w:outlineLvl w:val="2"/>
        <w:rPr>
          <w:rFonts w:ascii="Arial" w:eastAsia="Times New Roman" w:hAnsi="Arial" w:cs="Arial"/>
          <w:b/>
          <w:bCs/>
          <w:color w:val="132E57"/>
          <w:sz w:val="24"/>
          <w:szCs w:val="24"/>
        </w:rPr>
      </w:pPr>
      <w:r w:rsidRPr="00FB695A">
        <w:rPr>
          <w:rFonts w:ascii="Arial" w:eastAsia="Times New Roman" w:hAnsi="Arial" w:cs="Arial"/>
          <w:b/>
          <w:bCs/>
          <w:color w:val="132E57"/>
          <w:sz w:val="24"/>
          <w:szCs w:val="24"/>
        </w:rPr>
        <w:t>EVA Formula</w:t>
      </w:r>
    </w:p>
    <w:p w14:paraId="7BB99768"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EVA adopts almost the same form as residual income and can be expressed as follows:</w:t>
      </w:r>
    </w:p>
    <w:p w14:paraId="19F26752"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b/>
          <w:bCs/>
          <w:color w:val="57595D"/>
          <w:sz w:val="24"/>
          <w:szCs w:val="24"/>
        </w:rPr>
        <w:t>EVA = NOPAT – (WACC * capital invested)</w:t>
      </w:r>
    </w:p>
    <w:p w14:paraId="0372760E"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Where:</w:t>
      </w:r>
      <w:r w:rsidRPr="00FB695A">
        <w:rPr>
          <w:rFonts w:ascii="Arial" w:eastAsia="Times New Roman" w:hAnsi="Arial" w:cs="Arial"/>
          <w:b/>
          <w:bCs/>
          <w:color w:val="57595D"/>
          <w:sz w:val="24"/>
          <w:szCs w:val="24"/>
        </w:rPr>
        <w:t>     </w:t>
      </w:r>
    </w:p>
    <w:p w14:paraId="5927B294" w14:textId="77777777" w:rsidR="00FB695A" w:rsidRPr="00FB695A" w:rsidRDefault="00FB695A" w:rsidP="00FB695A">
      <w:pPr>
        <w:numPr>
          <w:ilvl w:val="0"/>
          <w:numId w:val="1"/>
        </w:num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b/>
          <w:bCs/>
          <w:color w:val="57595D"/>
          <w:sz w:val="24"/>
          <w:szCs w:val="24"/>
        </w:rPr>
        <w:t>NOPAT</w:t>
      </w:r>
      <w:r w:rsidRPr="00FB695A">
        <w:rPr>
          <w:rFonts w:ascii="Arial" w:eastAsia="Times New Roman" w:hAnsi="Arial" w:cs="Arial"/>
          <w:color w:val="57595D"/>
          <w:sz w:val="24"/>
          <w:szCs w:val="24"/>
        </w:rPr>
        <w:t> = Net operating profits after tax</w:t>
      </w:r>
    </w:p>
    <w:p w14:paraId="62FABA25" w14:textId="77777777" w:rsidR="00FB695A" w:rsidRPr="00FB695A" w:rsidRDefault="00FB695A" w:rsidP="00FB695A">
      <w:pPr>
        <w:numPr>
          <w:ilvl w:val="0"/>
          <w:numId w:val="1"/>
        </w:num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b/>
          <w:bCs/>
          <w:color w:val="57595D"/>
          <w:sz w:val="24"/>
          <w:szCs w:val="24"/>
        </w:rPr>
        <w:t xml:space="preserve">WACC </w:t>
      </w:r>
      <w:r w:rsidRPr="00FB695A">
        <w:rPr>
          <w:rFonts w:ascii="Arial" w:eastAsia="Times New Roman" w:hAnsi="Arial" w:cs="Arial"/>
          <w:color w:val="57595D"/>
          <w:sz w:val="24"/>
          <w:szCs w:val="24"/>
        </w:rPr>
        <w:t>= </w:t>
      </w:r>
      <w:hyperlink r:id="rId10" w:history="1">
        <w:r w:rsidRPr="00FB695A">
          <w:rPr>
            <w:rFonts w:ascii="Arial" w:eastAsia="Times New Roman" w:hAnsi="Arial" w:cs="Arial"/>
            <w:color w:val="57595D"/>
            <w:sz w:val="24"/>
            <w:szCs w:val="24"/>
          </w:rPr>
          <w:t>Weighted Average Cost of Capital</w:t>
        </w:r>
      </w:hyperlink>
    </w:p>
    <w:p w14:paraId="47C40A3D" w14:textId="77777777" w:rsidR="00FB695A" w:rsidRPr="00FB695A" w:rsidRDefault="00FB695A" w:rsidP="00FB695A">
      <w:pPr>
        <w:numPr>
          <w:ilvl w:val="0"/>
          <w:numId w:val="1"/>
        </w:num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Capital invested = Equity + long-term debt at the beginning of the period</w:t>
      </w:r>
    </w:p>
    <w:p w14:paraId="46C9961C" w14:textId="77777777" w:rsidR="00FB695A" w:rsidRPr="00FB695A" w:rsidRDefault="00FB695A" w:rsidP="00FB695A">
      <w:pPr>
        <w:numPr>
          <w:ilvl w:val="0"/>
          <w:numId w:val="1"/>
        </w:numPr>
        <w:shd w:val="clear" w:color="auto" w:fill="FFFFFF"/>
        <w:spacing w:before="100" w:beforeAutospacing="1" w:after="0" w:line="240" w:lineRule="auto"/>
        <w:rPr>
          <w:rFonts w:ascii="Arial" w:eastAsia="Times New Roman" w:hAnsi="Arial" w:cs="Arial"/>
          <w:color w:val="57595D"/>
          <w:sz w:val="24"/>
          <w:szCs w:val="24"/>
        </w:rPr>
      </w:pPr>
      <w:r w:rsidRPr="00FB695A">
        <w:rPr>
          <w:rFonts w:ascii="Arial" w:eastAsia="Times New Roman" w:hAnsi="Arial" w:cs="Arial"/>
          <w:b/>
          <w:bCs/>
          <w:color w:val="57595D"/>
          <w:sz w:val="24"/>
          <w:szCs w:val="24"/>
        </w:rPr>
        <w:t>(WACC* capital invested)</w:t>
      </w:r>
      <w:r w:rsidRPr="00FB695A">
        <w:rPr>
          <w:rFonts w:ascii="Arial" w:eastAsia="Times New Roman" w:hAnsi="Arial" w:cs="Arial"/>
          <w:color w:val="57595D"/>
          <w:sz w:val="24"/>
          <w:szCs w:val="24"/>
        </w:rPr>
        <w:t> is also known as a </w:t>
      </w:r>
      <w:r w:rsidRPr="00FB695A">
        <w:rPr>
          <w:rFonts w:ascii="Arial" w:eastAsia="Times New Roman" w:hAnsi="Arial" w:cs="Arial"/>
          <w:b/>
          <w:bCs/>
          <w:color w:val="57595D"/>
          <w:sz w:val="24"/>
          <w:szCs w:val="24"/>
        </w:rPr>
        <w:t>finance charge</w:t>
      </w:r>
    </w:p>
    <w:p w14:paraId="69C400D5" w14:textId="77777777" w:rsidR="00FB695A" w:rsidRPr="00FB695A" w:rsidRDefault="00FB695A" w:rsidP="00FB695A">
      <w:pPr>
        <w:pBdr>
          <w:bottom w:val="single" w:sz="6" w:space="1" w:color="auto"/>
        </w:pBdr>
        <w:spacing w:after="0" w:line="240" w:lineRule="auto"/>
        <w:jc w:val="center"/>
        <w:rPr>
          <w:rFonts w:ascii="Arial" w:eastAsia="Times New Roman" w:hAnsi="Arial" w:cs="Arial"/>
          <w:vanish/>
          <w:sz w:val="24"/>
          <w:szCs w:val="24"/>
        </w:rPr>
      </w:pPr>
      <w:r w:rsidRPr="00FB695A">
        <w:rPr>
          <w:rFonts w:ascii="Arial" w:eastAsia="Times New Roman" w:hAnsi="Arial" w:cs="Arial"/>
          <w:vanish/>
          <w:sz w:val="24"/>
          <w:szCs w:val="24"/>
        </w:rPr>
        <w:t>Top of Form</w:t>
      </w:r>
    </w:p>
    <w:p w14:paraId="04D0B90A" w14:textId="77777777" w:rsidR="00FB695A" w:rsidRPr="00FB695A" w:rsidRDefault="00FB695A" w:rsidP="00FB695A">
      <w:pPr>
        <w:pBdr>
          <w:top w:val="single" w:sz="6" w:space="1" w:color="auto"/>
        </w:pBdr>
        <w:spacing w:after="0" w:line="240" w:lineRule="auto"/>
        <w:jc w:val="center"/>
        <w:rPr>
          <w:rFonts w:ascii="Arial" w:eastAsia="Times New Roman" w:hAnsi="Arial" w:cs="Arial"/>
          <w:vanish/>
          <w:sz w:val="24"/>
          <w:szCs w:val="24"/>
        </w:rPr>
      </w:pPr>
      <w:r w:rsidRPr="00FB695A">
        <w:rPr>
          <w:rFonts w:ascii="Arial" w:eastAsia="Times New Roman" w:hAnsi="Arial" w:cs="Arial"/>
          <w:vanish/>
          <w:sz w:val="24"/>
          <w:szCs w:val="24"/>
        </w:rPr>
        <w:t>Bottom of Form</w:t>
      </w:r>
    </w:p>
    <w:p w14:paraId="5657602A" w14:textId="77777777" w:rsidR="00FB695A" w:rsidRPr="00FB695A" w:rsidRDefault="00FB695A" w:rsidP="00FB695A">
      <w:pPr>
        <w:shd w:val="clear" w:color="auto" w:fill="FFFFFF"/>
        <w:spacing w:before="100" w:beforeAutospacing="1" w:after="100" w:afterAutospacing="1" w:line="240" w:lineRule="auto"/>
        <w:outlineLvl w:val="2"/>
        <w:rPr>
          <w:rFonts w:ascii="Arial" w:eastAsia="Times New Roman" w:hAnsi="Arial" w:cs="Arial"/>
          <w:b/>
          <w:bCs/>
          <w:color w:val="132E57"/>
          <w:sz w:val="24"/>
          <w:szCs w:val="24"/>
        </w:rPr>
      </w:pPr>
      <w:r w:rsidRPr="00FB695A">
        <w:rPr>
          <w:rFonts w:ascii="Arial" w:eastAsia="Times New Roman" w:hAnsi="Arial" w:cs="Arial"/>
          <w:b/>
          <w:bCs/>
          <w:color w:val="132E57"/>
          <w:sz w:val="24"/>
          <w:szCs w:val="24"/>
        </w:rPr>
        <w:t>Calculating Net Operating Profits After Tax (NOPAT)</w:t>
      </w:r>
    </w:p>
    <w:p w14:paraId="7111198D"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One key consideration for this item is the adjustment of the cost of interest. The cost of interest is included in the finance charge (WACC*capital) that is deducted from </w:t>
      </w:r>
      <w:hyperlink r:id="rId11" w:history="1">
        <w:r w:rsidRPr="00FB695A">
          <w:rPr>
            <w:rFonts w:ascii="Arial" w:eastAsia="Times New Roman" w:hAnsi="Arial" w:cs="Arial"/>
            <w:color w:val="57595D"/>
            <w:sz w:val="24"/>
            <w:szCs w:val="24"/>
          </w:rPr>
          <w:t>NOPAT</w:t>
        </w:r>
      </w:hyperlink>
      <w:r w:rsidRPr="00FB695A">
        <w:rPr>
          <w:rFonts w:ascii="Arial" w:eastAsia="Times New Roman" w:hAnsi="Arial" w:cs="Arial"/>
          <w:color w:val="57595D"/>
          <w:sz w:val="24"/>
          <w:szCs w:val="24"/>
        </w:rPr>
        <w:t> in the EVA calculation and can be approached in two ways:</w:t>
      </w:r>
    </w:p>
    <w:p w14:paraId="380E1E73" w14:textId="77777777" w:rsidR="00FB695A" w:rsidRPr="00FB695A" w:rsidRDefault="00FB695A" w:rsidP="00FB695A">
      <w:pPr>
        <w:numPr>
          <w:ilvl w:val="0"/>
          <w:numId w:val="2"/>
        </w:num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Starting with operating profit, then deducting the adjusted tax charge (because tax charge includes the tax benefit of interest). Therefore, we should multiply the interest by the tax rate and add this to the tax charge; or</w:t>
      </w:r>
    </w:p>
    <w:p w14:paraId="10B2EEBB" w14:textId="77777777" w:rsidR="00FB695A" w:rsidRPr="00FB695A" w:rsidRDefault="00FB695A" w:rsidP="00FB695A">
      <w:pPr>
        <w:numPr>
          <w:ilvl w:val="0"/>
          <w:numId w:val="2"/>
        </w:numPr>
        <w:shd w:val="clear" w:color="auto" w:fill="FFFFFF"/>
        <w:spacing w:before="100" w:beforeAutospacing="1" w:after="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Start with profit after tax and adding back the net cost of </w:t>
      </w:r>
      <w:hyperlink r:id="rId12" w:history="1">
        <w:r w:rsidRPr="00FB695A">
          <w:rPr>
            <w:rFonts w:ascii="Arial" w:eastAsia="Times New Roman" w:hAnsi="Arial" w:cs="Arial"/>
            <w:color w:val="57595D"/>
            <w:sz w:val="24"/>
            <w:szCs w:val="24"/>
          </w:rPr>
          <w:t>interest</w:t>
        </w:r>
      </w:hyperlink>
      <w:r w:rsidRPr="00FB695A">
        <w:rPr>
          <w:rFonts w:ascii="Arial" w:eastAsia="Times New Roman" w:hAnsi="Arial" w:cs="Arial"/>
          <w:color w:val="57595D"/>
          <w:sz w:val="24"/>
          <w:szCs w:val="24"/>
        </w:rPr>
        <w:t>. Therefore, we should multiply the interest charge by (1-tax rate).</w:t>
      </w:r>
    </w:p>
    <w:p w14:paraId="3B7D4451" w14:textId="77777777" w:rsidR="00FB695A" w:rsidRPr="00FB695A" w:rsidRDefault="00FB695A" w:rsidP="00FB695A">
      <w:pPr>
        <w:shd w:val="clear" w:color="auto" w:fill="FFFFFF"/>
        <w:spacing w:before="100" w:beforeAutospacing="1" w:after="100" w:afterAutospacing="1" w:line="240" w:lineRule="auto"/>
        <w:outlineLvl w:val="2"/>
        <w:rPr>
          <w:rFonts w:ascii="Arial" w:eastAsia="Times New Roman" w:hAnsi="Arial" w:cs="Arial"/>
          <w:b/>
          <w:bCs/>
          <w:color w:val="132E57"/>
          <w:sz w:val="24"/>
          <w:szCs w:val="24"/>
        </w:rPr>
      </w:pPr>
      <w:r w:rsidRPr="00FB695A">
        <w:rPr>
          <w:rFonts w:ascii="Arial" w:eastAsia="Times New Roman" w:hAnsi="Arial" w:cs="Arial"/>
          <w:b/>
          <w:bCs/>
          <w:color w:val="132E57"/>
          <w:sz w:val="24"/>
          <w:szCs w:val="24"/>
        </w:rPr>
        <w:t>Adjusting for Calculations in EVA</w:t>
      </w:r>
    </w:p>
    <w:p w14:paraId="4FB29CBC"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Three main accounting adjustments should be made; amongst the most common and important, are:</w:t>
      </w:r>
    </w:p>
    <w:p w14:paraId="1233B2D0" w14:textId="77777777" w:rsidR="00FB695A" w:rsidRPr="00FB695A" w:rsidRDefault="00FB695A" w:rsidP="00FB695A">
      <w:pPr>
        <w:numPr>
          <w:ilvl w:val="0"/>
          <w:numId w:val="3"/>
        </w:num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Expenditures on R&amp;D, promotion, and employee training should be capitalized.</w:t>
      </w:r>
    </w:p>
    <w:p w14:paraId="645F9939" w14:textId="77777777" w:rsidR="00FB695A" w:rsidRPr="00FB695A" w:rsidRDefault="00FB695A" w:rsidP="00FB695A">
      <w:pPr>
        <w:numPr>
          <w:ilvl w:val="0"/>
          <w:numId w:val="3"/>
        </w:numPr>
        <w:shd w:val="clear" w:color="auto" w:fill="FFFFFF"/>
        <w:spacing w:before="100" w:beforeAutospacing="1" w:after="100" w:afterAutospacing="1" w:line="240" w:lineRule="auto"/>
        <w:rPr>
          <w:rFonts w:ascii="Arial" w:eastAsia="Times New Roman" w:hAnsi="Arial" w:cs="Arial"/>
          <w:color w:val="57595D"/>
          <w:sz w:val="24"/>
          <w:szCs w:val="24"/>
        </w:rPr>
      </w:pPr>
      <w:hyperlink r:id="rId13" w:history="1">
        <w:r w:rsidRPr="00FB695A">
          <w:rPr>
            <w:rFonts w:ascii="Arial" w:eastAsia="Times New Roman" w:hAnsi="Arial" w:cs="Arial"/>
            <w:color w:val="57595D"/>
            <w:sz w:val="24"/>
            <w:szCs w:val="24"/>
          </w:rPr>
          <w:t>Depreciation charge</w:t>
        </w:r>
      </w:hyperlink>
      <w:r w:rsidRPr="00FB695A">
        <w:rPr>
          <w:rFonts w:ascii="Arial" w:eastAsia="Times New Roman" w:hAnsi="Arial" w:cs="Arial"/>
          <w:color w:val="57595D"/>
          <w:sz w:val="24"/>
          <w:szCs w:val="24"/>
        </w:rPr>
        <w:t> is added back to profit and, instead, a charge for economic depreciation is made. This reflects the true change in the value of assets during the period, unlike accounting depreciation.</w:t>
      </w:r>
    </w:p>
    <w:p w14:paraId="4285FA5F" w14:textId="77777777" w:rsidR="00FB695A" w:rsidRPr="00FB695A" w:rsidRDefault="00FB695A" w:rsidP="00FB695A">
      <w:pPr>
        <w:numPr>
          <w:ilvl w:val="0"/>
          <w:numId w:val="3"/>
        </w:num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Accounts such as provisions, allowances for doubtful debts, deferred tax provisions, and allowances for inventory should be added back to capital implied.</w:t>
      </w:r>
    </w:p>
    <w:p w14:paraId="28E2E01C" w14:textId="77777777" w:rsidR="00FB695A" w:rsidRPr="00FB695A" w:rsidRDefault="00FB695A" w:rsidP="00FB695A">
      <w:pPr>
        <w:numPr>
          <w:ilvl w:val="0"/>
          <w:numId w:val="3"/>
        </w:num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Non-cash expenses should be added back to profits and to capital employed.</w:t>
      </w:r>
    </w:p>
    <w:p w14:paraId="22BC6498" w14:textId="77777777" w:rsidR="00FB695A" w:rsidRPr="00FB695A" w:rsidRDefault="00FB695A" w:rsidP="00FB695A">
      <w:pPr>
        <w:numPr>
          <w:ilvl w:val="0"/>
          <w:numId w:val="3"/>
        </w:num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Operating leases should be capitalized and added back to capital employed.</w:t>
      </w:r>
    </w:p>
    <w:p w14:paraId="306BED91" w14:textId="77777777" w:rsidR="00FB695A" w:rsidRPr="00FB695A" w:rsidRDefault="00FB695A" w:rsidP="00FB695A">
      <w:pPr>
        <w:numPr>
          <w:ilvl w:val="0"/>
          <w:numId w:val="3"/>
        </w:numPr>
        <w:shd w:val="clear" w:color="auto" w:fill="FFFFFF"/>
        <w:spacing w:before="100" w:beforeAutospacing="1" w:after="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 xml:space="preserve">Tax charges will be based on cash taxes, rather than the accruals-based methods used in financial </w:t>
      </w:r>
      <w:proofErr w:type="gramStart"/>
      <w:r w:rsidRPr="00FB695A">
        <w:rPr>
          <w:rFonts w:ascii="Arial" w:eastAsia="Times New Roman" w:hAnsi="Arial" w:cs="Arial"/>
          <w:color w:val="57595D"/>
          <w:sz w:val="24"/>
          <w:szCs w:val="24"/>
        </w:rPr>
        <w:t>reporting</w:t>
      </w:r>
      <w:proofErr w:type="gramEnd"/>
      <w:r w:rsidRPr="00FB695A">
        <w:rPr>
          <w:rFonts w:ascii="Arial" w:eastAsia="Times New Roman" w:hAnsi="Arial" w:cs="Arial"/>
          <w:color w:val="57595D"/>
          <w:sz w:val="24"/>
          <w:szCs w:val="24"/>
        </w:rPr>
        <w:t xml:space="preserve"> and will be calculated as follows:</w:t>
      </w:r>
    </w:p>
    <w:p w14:paraId="37859F0E"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b/>
          <w:bCs/>
          <w:color w:val="57595D"/>
          <w:sz w:val="24"/>
          <w:szCs w:val="24"/>
        </w:rPr>
        <w:t>Tax charge per income statement – Increase (or + if reduction) in deferred tax provision + Tax benefit of interest = Cash taxes</w:t>
      </w:r>
    </w:p>
    <w:p w14:paraId="1C33AB96" w14:textId="77777777" w:rsidR="00FB695A" w:rsidRPr="00FB695A" w:rsidRDefault="00FB695A" w:rsidP="00FB695A">
      <w:pPr>
        <w:shd w:val="clear" w:color="auto" w:fill="FFFFFF"/>
        <w:spacing w:before="100" w:beforeAutospacing="1" w:after="100" w:afterAutospacing="1" w:line="240" w:lineRule="auto"/>
        <w:outlineLvl w:val="2"/>
        <w:rPr>
          <w:rFonts w:ascii="Arial" w:eastAsia="Times New Roman" w:hAnsi="Arial" w:cs="Arial"/>
          <w:b/>
          <w:bCs/>
          <w:color w:val="132E57"/>
          <w:sz w:val="24"/>
          <w:szCs w:val="24"/>
        </w:rPr>
      </w:pPr>
      <w:r w:rsidRPr="00FB695A">
        <w:rPr>
          <w:rFonts w:ascii="Arial" w:eastAsia="Times New Roman" w:hAnsi="Arial" w:cs="Arial"/>
          <w:b/>
          <w:bCs/>
          <w:color w:val="132E57"/>
          <w:sz w:val="24"/>
          <w:szCs w:val="24"/>
        </w:rPr>
        <w:t>Calculating Finance Charge</w:t>
      </w:r>
    </w:p>
    <w:p w14:paraId="054A689F"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b/>
          <w:bCs/>
          <w:color w:val="57595D"/>
          <w:sz w:val="24"/>
          <w:szCs w:val="24"/>
        </w:rPr>
        <w:t>Capital invested * WACC</w:t>
      </w:r>
    </w:p>
    <w:p w14:paraId="129C480C"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and</w:t>
      </w:r>
      <w:r w:rsidRPr="00FB695A">
        <w:rPr>
          <w:rFonts w:ascii="Arial" w:eastAsia="Times New Roman" w:hAnsi="Arial" w:cs="Arial"/>
          <w:b/>
          <w:bCs/>
          <w:color w:val="57595D"/>
          <w:sz w:val="24"/>
          <w:szCs w:val="24"/>
        </w:rPr>
        <w:t xml:space="preserve"> WACC = </w:t>
      </w:r>
      <w:proofErr w:type="spellStart"/>
      <w:r w:rsidRPr="00FB695A">
        <w:rPr>
          <w:rFonts w:ascii="Arial" w:eastAsia="Times New Roman" w:hAnsi="Arial" w:cs="Arial"/>
          <w:b/>
          <w:bCs/>
          <w:color w:val="57595D"/>
          <w:sz w:val="24"/>
          <w:szCs w:val="24"/>
        </w:rPr>
        <w:t>Ke</w:t>
      </w:r>
      <w:proofErr w:type="spellEnd"/>
      <w:r w:rsidRPr="00FB695A">
        <w:rPr>
          <w:rFonts w:ascii="Arial" w:eastAsia="Times New Roman" w:hAnsi="Arial" w:cs="Arial"/>
          <w:b/>
          <w:bCs/>
          <w:color w:val="57595D"/>
          <w:sz w:val="24"/>
          <w:szCs w:val="24"/>
        </w:rPr>
        <w:t xml:space="preserve">*E/ (E+D) + </w:t>
      </w:r>
      <w:proofErr w:type="spellStart"/>
      <w:r w:rsidRPr="00FB695A">
        <w:rPr>
          <w:rFonts w:ascii="Arial" w:eastAsia="Times New Roman" w:hAnsi="Arial" w:cs="Arial"/>
          <w:b/>
          <w:bCs/>
          <w:color w:val="57595D"/>
          <w:sz w:val="24"/>
          <w:szCs w:val="24"/>
        </w:rPr>
        <w:t>Kd</w:t>
      </w:r>
      <w:proofErr w:type="spellEnd"/>
      <w:r w:rsidRPr="00FB695A">
        <w:rPr>
          <w:rFonts w:ascii="Arial" w:eastAsia="Times New Roman" w:hAnsi="Arial" w:cs="Arial"/>
          <w:b/>
          <w:bCs/>
          <w:color w:val="57595D"/>
          <w:sz w:val="24"/>
          <w:szCs w:val="24"/>
        </w:rPr>
        <w:t xml:space="preserve"> (1-</w:t>
      </w:r>
      <w:proofErr w:type="gramStart"/>
      <w:r w:rsidRPr="00FB695A">
        <w:rPr>
          <w:rFonts w:ascii="Arial" w:eastAsia="Times New Roman" w:hAnsi="Arial" w:cs="Arial"/>
          <w:color w:val="57595D"/>
          <w:sz w:val="24"/>
          <w:szCs w:val="24"/>
        </w:rPr>
        <w:t>t)*</w:t>
      </w:r>
      <w:proofErr w:type="gramEnd"/>
      <w:r w:rsidRPr="00FB695A">
        <w:rPr>
          <w:rFonts w:ascii="Arial" w:eastAsia="Times New Roman" w:hAnsi="Arial" w:cs="Arial"/>
          <w:color w:val="57595D"/>
          <w:sz w:val="24"/>
          <w:szCs w:val="24"/>
        </w:rPr>
        <w:t>D/</w:t>
      </w:r>
      <w:r w:rsidRPr="00FB695A">
        <w:rPr>
          <w:rFonts w:ascii="Arial" w:eastAsia="Times New Roman" w:hAnsi="Arial" w:cs="Arial"/>
          <w:b/>
          <w:bCs/>
          <w:color w:val="57595D"/>
          <w:sz w:val="24"/>
          <w:szCs w:val="24"/>
        </w:rPr>
        <w:t xml:space="preserve"> (E+D),</w:t>
      </w:r>
    </w:p>
    <w:p w14:paraId="1084B540"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where</w:t>
      </w:r>
      <w:r w:rsidRPr="00FB695A">
        <w:rPr>
          <w:rFonts w:ascii="Arial" w:eastAsia="Times New Roman" w:hAnsi="Arial" w:cs="Arial"/>
          <w:b/>
          <w:bCs/>
          <w:color w:val="57595D"/>
          <w:sz w:val="24"/>
          <w:szCs w:val="24"/>
        </w:rPr>
        <w:t> </w:t>
      </w:r>
      <w:proofErr w:type="spellStart"/>
      <w:r w:rsidRPr="00FB695A">
        <w:rPr>
          <w:rFonts w:ascii="Arial" w:eastAsia="Times New Roman" w:hAnsi="Arial" w:cs="Arial"/>
          <w:b/>
          <w:bCs/>
          <w:color w:val="57595D"/>
          <w:sz w:val="24"/>
          <w:szCs w:val="24"/>
        </w:rPr>
        <w:t>Ke</w:t>
      </w:r>
      <w:proofErr w:type="spellEnd"/>
      <w:r w:rsidRPr="00FB695A">
        <w:rPr>
          <w:rFonts w:ascii="Arial" w:eastAsia="Times New Roman" w:hAnsi="Arial" w:cs="Arial"/>
          <w:b/>
          <w:bCs/>
          <w:color w:val="57595D"/>
          <w:sz w:val="24"/>
          <w:szCs w:val="24"/>
        </w:rPr>
        <w:t xml:space="preserve"> = required return on equity and </w:t>
      </w:r>
      <w:proofErr w:type="spellStart"/>
      <w:r w:rsidRPr="00FB695A">
        <w:rPr>
          <w:rFonts w:ascii="Arial" w:eastAsia="Times New Roman" w:hAnsi="Arial" w:cs="Arial"/>
          <w:b/>
          <w:bCs/>
          <w:color w:val="57595D"/>
          <w:sz w:val="24"/>
          <w:szCs w:val="24"/>
        </w:rPr>
        <w:t>Kd</w:t>
      </w:r>
      <w:proofErr w:type="spellEnd"/>
      <w:r w:rsidRPr="00FB695A">
        <w:rPr>
          <w:rFonts w:ascii="Arial" w:eastAsia="Times New Roman" w:hAnsi="Arial" w:cs="Arial"/>
          <w:b/>
          <w:bCs/>
          <w:color w:val="57595D"/>
          <w:sz w:val="24"/>
          <w:szCs w:val="24"/>
        </w:rPr>
        <w:t xml:space="preserve"> (1-t) = After-tax return on debt</w:t>
      </w:r>
    </w:p>
    <w:p w14:paraId="4E2A1744"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Thus, given the adjusted taxes, we can write the EVA formula as follows:</w:t>
      </w:r>
    </w:p>
    <w:p w14:paraId="3FCB5C54"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b/>
          <w:bCs/>
          <w:i/>
          <w:iCs/>
          <w:color w:val="57595D"/>
          <w:sz w:val="24"/>
          <w:szCs w:val="24"/>
        </w:rPr>
        <w:t>EVA = NOPLAT – (WACC * capital invested)      </w:t>
      </w:r>
    </w:p>
    <w:p w14:paraId="77A1C712"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The properties of using EVA can be compared with other approaches in the following table:</w:t>
      </w:r>
    </w:p>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2253"/>
        <w:gridCol w:w="1432"/>
        <w:gridCol w:w="1884"/>
        <w:gridCol w:w="5231"/>
      </w:tblGrid>
      <w:tr w:rsidR="00FB695A" w:rsidRPr="00FB695A" w14:paraId="1208303B" w14:textId="77777777" w:rsidTr="00FB695A">
        <w:trPr>
          <w:tblHeader/>
        </w:trPr>
        <w:tc>
          <w:tcPr>
            <w:tcW w:w="0" w:type="auto"/>
            <w:tcBorders>
              <w:top w:val="nil"/>
              <w:left w:val="nil"/>
              <w:bottom w:val="single" w:sz="6" w:space="0" w:color="132E57"/>
              <w:right w:val="nil"/>
            </w:tcBorders>
            <w:shd w:val="clear" w:color="auto" w:fill="132E57"/>
            <w:tcMar>
              <w:top w:w="120" w:type="dxa"/>
              <w:left w:w="120" w:type="dxa"/>
              <w:bottom w:w="120" w:type="dxa"/>
              <w:right w:w="120" w:type="dxa"/>
            </w:tcMar>
            <w:vAlign w:val="center"/>
            <w:hideMark/>
          </w:tcPr>
          <w:p w14:paraId="145F0576" w14:textId="77777777" w:rsidR="00FB695A" w:rsidRPr="00FB695A" w:rsidRDefault="00FB695A" w:rsidP="00FB695A">
            <w:pPr>
              <w:spacing w:after="240" w:line="240" w:lineRule="auto"/>
              <w:rPr>
                <w:rFonts w:ascii="Arial" w:eastAsia="Times New Roman" w:hAnsi="Arial" w:cs="Arial"/>
                <w:b/>
                <w:bCs/>
                <w:color w:val="FFFFFF"/>
                <w:sz w:val="24"/>
                <w:szCs w:val="24"/>
              </w:rPr>
            </w:pPr>
            <w:r w:rsidRPr="00FB695A">
              <w:rPr>
                <w:rFonts w:ascii="Arial" w:eastAsia="Times New Roman" w:hAnsi="Arial" w:cs="Arial"/>
                <w:b/>
                <w:bCs/>
                <w:color w:val="FFFFFF"/>
                <w:sz w:val="24"/>
                <w:szCs w:val="24"/>
              </w:rPr>
              <w:t>Valuation Model</w:t>
            </w:r>
          </w:p>
        </w:tc>
        <w:tc>
          <w:tcPr>
            <w:tcW w:w="0" w:type="auto"/>
            <w:tcBorders>
              <w:top w:val="nil"/>
              <w:left w:val="nil"/>
              <w:bottom w:val="single" w:sz="6" w:space="0" w:color="132E57"/>
              <w:right w:val="nil"/>
            </w:tcBorders>
            <w:shd w:val="clear" w:color="auto" w:fill="132E57"/>
            <w:tcMar>
              <w:top w:w="120" w:type="dxa"/>
              <w:left w:w="120" w:type="dxa"/>
              <w:bottom w:w="120" w:type="dxa"/>
              <w:right w:w="120" w:type="dxa"/>
            </w:tcMar>
            <w:vAlign w:val="center"/>
            <w:hideMark/>
          </w:tcPr>
          <w:p w14:paraId="1C614687" w14:textId="77777777" w:rsidR="00FB695A" w:rsidRPr="00FB695A" w:rsidRDefault="00FB695A" w:rsidP="00FB695A">
            <w:pPr>
              <w:spacing w:after="240" w:line="240" w:lineRule="auto"/>
              <w:rPr>
                <w:rFonts w:ascii="Arial" w:eastAsia="Times New Roman" w:hAnsi="Arial" w:cs="Arial"/>
                <w:b/>
                <w:bCs/>
                <w:color w:val="FFFFFF"/>
                <w:sz w:val="24"/>
                <w:szCs w:val="24"/>
              </w:rPr>
            </w:pPr>
            <w:r w:rsidRPr="00FB695A">
              <w:rPr>
                <w:rFonts w:ascii="Arial" w:eastAsia="Times New Roman" w:hAnsi="Arial" w:cs="Arial"/>
                <w:b/>
                <w:bCs/>
                <w:color w:val="FFFFFF"/>
                <w:sz w:val="24"/>
                <w:szCs w:val="24"/>
              </w:rPr>
              <w:t>Measure</w:t>
            </w:r>
          </w:p>
        </w:tc>
        <w:tc>
          <w:tcPr>
            <w:tcW w:w="0" w:type="auto"/>
            <w:tcBorders>
              <w:top w:val="nil"/>
              <w:left w:val="nil"/>
              <w:bottom w:val="single" w:sz="6" w:space="0" w:color="132E57"/>
              <w:right w:val="nil"/>
            </w:tcBorders>
            <w:shd w:val="clear" w:color="auto" w:fill="132E57"/>
            <w:tcMar>
              <w:top w:w="120" w:type="dxa"/>
              <w:left w:w="120" w:type="dxa"/>
              <w:bottom w:w="120" w:type="dxa"/>
              <w:right w:w="120" w:type="dxa"/>
            </w:tcMar>
            <w:vAlign w:val="center"/>
            <w:hideMark/>
          </w:tcPr>
          <w:p w14:paraId="5ADB6788" w14:textId="77777777" w:rsidR="00FB695A" w:rsidRPr="00FB695A" w:rsidRDefault="00FB695A" w:rsidP="00FB695A">
            <w:pPr>
              <w:spacing w:after="240" w:line="240" w:lineRule="auto"/>
              <w:rPr>
                <w:rFonts w:ascii="Arial" w:eastAsia="Times New Roman" w:hAnsi="Arial" w:cs="Arial"/>
                <w:b/>
                <w:bCs/>
                <w:color w:val="FFFFFF"/>
                <w:sz w:val="24"/>
                <w:szCs w:val="24"/>
              </w:rPr>
            </w:pPr>
            <w:r w:rsidRPr="00FB695A">
              <w:rPr>
                <w:rFonts w:ascii="Arial" w:eastAsia="Times New Roman" w:hAnsi="Arial" w:cs="Arial"/>
                <w:b/>
                <w:bCs/>
                <w:color w:val="FFFFFF"/>
                <w:sz w:val="24"/>
                <w:szCs w:val="24"/>
              </w:rPr>
              <w:t>Discount Factor</w:t>
            </w:r>
          </w:p>
        </w:tc>
        <w:tc>
          <w:tcPr>
            <w:tcW w:w="0" w:type="auto"/>
            <w:tcBorders>
              <w:top w:val="nil"/>
              <w:left w:val="nil"/>
              <w:bottom w:val="single" w:sz="6" w:space="0" w:color="132E57"/>
              <w:right w:val="nil"/>
            </w:tcBorders>
            <w:shd w:val="clear" w:color="auto" w:fill="132E57"/>
            <w:tcMar>
              <w:top w:w="120" w:type="dxa"/>
              <w:left w:w="120" w:type="dxa"/>
              <w:bottom w:w="120" w:type="dxa"/>
              <w:right w:w="120" w:type="dxa"/>
            </w:tcMar>
            <w:vAlign w:val="center"/>
            <w:hideMark/>
          </w:tcPr>
          <w:p w14:paraId="2E1FB8FB" w14:textId="77777777" w:rsidR="00FB695A" w:rsidRPr="00FB695A" w:rsidRDefault="00FB695A" w:rsidP="00FB695A">
            <w:pPr>
              <w:spacing w:after="240" w:line="240" w:lineRule="auto"/>
              <w:rPr>
                <w:rFonts w:ascii="Arial" w:eastAsia="Times New Roman" w:hAnsi="Arial" w:cs="Arial"/>
                <w:b/>
                <w:bCs/>
                <w:color w:val="FFFFFF"/>
                <w:sz w:val="24"/>
                <w:szCs w:val="24"/>
              </w:rPr>
            </w:pPr>
            <w:r w:rsidRPr="00FB695A">
              <w:rPr>
                <w:rFonts w:ascii="Arial" w:eastAsia="Times New Roman" w:hAnsi="Arial" w:cs="Arial"/>
                <w:b/>
                <w:bCs/>
                <w:color w:val="FFFFFF"/>
                <w:sz w:val="24"/>
                <w:szCs w:val="24"/>
              </w:rPr>
              <w:t>Comments</w:t>
            </w:r>
          </w:p>
        </w:tc>
      </w:tr>
      <w:tr w:rsidR="00FB695A" w:rsidRPr="00FB695A" w14:paraId="28FC1B04" w14:textId="77777777" w:rsidTr="00FB695A">
        <w:tc>
          <w:tcPr>
            <w:tcW w:w="0" w:type="auto"/>
            <w:tcBorders>
              <w:top w:val="nil"/>
              <w:left w:val="nil"/>
              <w:bottom w:val="nil"/>
              <w:right w:val="nil"/>
            </w:tcBorders>
            <w:shd w:val="clear" w:color="auto" w:fill="FFFFFF"/>
            <w:tcMar>
              <w:top w:w="120" w:type="dxa"/>
              <w:left w:w="120" w:type="dxa"/>
              <w:bottom w:w="120" w:type="dxa"/>
              <w:right w:w="120" w:type="dxa"/>
            </w:tcMar>
            <w:hideMark/>
          </w:tcPr>
          <w:p w14:paraId="5F2F0001"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Enterprise discounted cash flow</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29200586"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Free cash flow</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4C80B361"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WACC</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006E77F1"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Works best for projects, business units, and companies that manage their capital structure to a target level.</w:t>
            </w:r>
          </w:p>
        </w:tc>
      </w:tr>
      <w:tr w:rsidR="00FB695A" w:rsidRPr="00FB695A" w14:paraId="5C93CCD8" w14:textId="77777777" w:rsidTr="00FB695A">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6AA52059"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Discounted economic profit</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5BD6EF01"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EVA</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5F9BD479"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WACC</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7833215C"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Explicitly highlights when a company creates value.</w:t>
            </w:r>
          </w:p>
        </w:tc>
      </w:tr>
      <w:tr w:rsidR="00FB695A" w:rsidRPr="00FB695A" w14:paraId="3F31B71A" w14:textId="77777777" w:rsidTr="00FB695A">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2D264F37"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Adjusted present value</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31B9B52B"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Free cash flow</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3C67F156"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Unlevered cost of equity</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7AA24B5A"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Highlights changing capital structure more easily than WACC-based models.</w:t>
            </w:r>
          </w:p>
        </w:tc>
      </w:tr>
    </w:tbl>
    <w:p w14:paraId="714A4093" w14:textId="77777777" w:rsidR="00FB695A" w:rsidRPr="00FB695A" w:rsidRDefault="00FB695A" w:rsidP="00FB695A">
      <w:pPr>
        <w:shd w:val="clear" w:color="auto" w:fill="FFFFFF"/>
        <w:spacing w:before="100" w:beforeAutospacing="1" w:after="100" w:afterAutospacing="1" w:line="240" w:lineRule="auto"/>
        <w:outlineLvl w:val="2"/>
        <w:rPr>
          <w:rFonts w:ascii="Arial" w:eastAsia="Times New Roman" w:hAnsi="Arial" w:cs="Arial"/>
          <w:b/>
          <w:bCs/>
          <w:color w:val="132E57"/>
          <w:sz w:val="24"/>
          <w:szCs w:val="24"/>
        </w:rPr>
      </w:pPr>
      <w:r w:rsidRPr="00FB695A">
        <w:rPr>
          <w:rFonts w:ascii="Arial" w:eastAsia="Times New Roman" w:hAnsi="Arial" w:cs="Arial"/>
          <w:b/>
          <w:bCs/>
          <w:color w:val="132E57"/>
          <w:sz w:val="24"/>
          <w:szCs w:val="24"/>
        </w:rPr>
        <w:t>Example – Calculating EVA for XX Company</w:t>
      </w:r>
    </w:p>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5199"/>
        <w:gridCol w:w="1867"/>
        <w:gridCol w:w="1867"/>
        <w:gridCol w:w="1867"/>
      </w:tblGrid>
      <w:tr w:rsidR="00FB695A" w:rsidRPr="00FB695A" w14:paraId="30A61B22" w14:textId="77777777" w:rsidTr="00FB695A">
        <w:trPr>
          <w:tblHeader/>
        </w:trPr>
        <w:tc>
          <w:tcPr>
            <w:tcW w:w="0" w:type="auto"/>
            <w:tcBorders>
              <w:top w:val="nil"/>
              <w:left w:val="nil"/>
              <w:bottom w:val="single" w:sz="6" w:space="0" w:color="132E57"/>
              <w:right w:val="nil"/>
            </w:tcBorders>
            <w:shd w:val="clear" w:color="auto" w:fill="132E57"/>
            <w:tcMar>
              <w:top w:w="120" w:type="dxa"/>
              <w:left w:w="120" w:type="dxa"/>
              <w:bottom w:w="120" w:type="dxa"/>
              <w:right w:w="120" w:type="dxa"/>
            </w:tcMar>
            <w:vAlign w:val="center"/>
            <w:hideMark/>
          </w:tcPr>
          <w:p w14:paraId="489C4954" w14:textId="77777777" w:rsidR="00FB695A" w:rsidRPr="00FB695A" w:rsidRDefault="00FB695A" w:rsidP="00FB695A">
            <w:pPr>
              <w:spacing w:after="240" w:line="240" w:lineRule="auto"/>
              <w:rPr>
                <w:rFonts w:ascii="Arial" w:eastAsia="Times New Roman" w:hAnsi="Arial" w:cs="Arial"/>
                <w:b/>
                <w:bCs/>
                <w:color w:val="FFFFFF"/>
                <w:sz w:val="24"/>
                <w:szCs w:val="24"/>
              </w:rPr>
            </w:pPr>
            <w:r w:rsidRPr="00FB695A">
              <w:rPr>
                <w:rFonts w:ascii="Arial" w:eastAsia="Times New Roman" w:hAnsi="Arial" w:cs="Arial"/>
                <w:b/>
                <w:bCs/>
                <w:color w:val="FFFFFF"/>
                <w:sz w:val="24"/>
                <w:szCs w:val="24"/>
              </w:rPr>
              <w:lastRenderedPageBreak/>
              <w:t> </w:t>
            </w:r>
          </w:p>
        </w:tc>
        <w:tc>
          <w:tcPr>
            <w:tcW w:w="0" w:type="auto"/>
            <w:tcBorders>
              <w:top w:val="nil"/>
              <w:left w:val="nil"/>
              <w:bottom w:val="single" w:sz="6" w:space="0" w:color="132E57"/>
              <w:right w:val="nil"/>
            </w:tcBorders>
            <w:shd w:val="clear" w:color="auto" w:fill="132E57"/>
            <w:tcMar>
              <w:top w:w="120" w:type="dxa"/>
              <w:left w:w="120" w:type="dxa"/>
              <w:bottom w:w="120" w:type="dxa"/>
              <w:right w:w="120" w:type="dxa"/>
            </w:tcMar>
            <w:vAlign w:val="center"/>
            <w:hideMark/>
          </w:tcPr>
          <w:p w14:paraId="2EB5F428" w14:textId="77777777" w:rsidR="00FB695A" w:rsidRPr="00FB695A" w:rsidRDefault="00FB695A" w:rsidP="00FB695A">
            <w:pPr>
              <w:spacing w:after="240" w:line="240" w:lineRule="auto"/>
              <w:rPr>
                <w:rFonts w:ascii="Arial" w:eastAsia="Times New Roman" w:hAnsi="Arial" w:cs="Arial"/>
                <w:b/>
                <w:bCs/>
                <w:color w:val="FFFFFF"/>
                <w:sz w:val="24"/>
                <w:szCs w:val="24"/>
              </w:rPr>
            </w:pPr>
            <w:r w:rsidRPr="00FB695A">
              <w:rPr>
                <w:rFonts w:ascii="Arial" w:eastAsia="Times New Roman" w:hAnsi="Arial" w:cs="Arial"/>
                <w:b/>
                <w:bCs/>
                <w:color w:val="FFFFFF"/>
                <w:sz w:val="24"/>
                <w:szCs w:val="24"/>
              </w:rPr>
              <w:t>2014</w:t>
            </w:r>
          </w:p>
        </w:tc>
        <w:tc>
          <w:tcPr>
            <w:tcW w:w="0" w:type="auto"/>
            <w:tcBorders>
              <w:top w:val="nil"/>
              <w:left w:val="nil"/>
              <w:bottom w:val="single" w:sz="6" w:space="0" w:color="132E57"/>
              <w:right w:val="nil"/>
            </w:tcBorders>
            <w:shd w:val="clear" w:color="auto" w:fill="132E57"/>
            <w:tcMar>
              <w:top w:w="120" w:type="dxa"/>
              <w:left w:w="120" w:type="dxa"/>
              <w:bottom w:w="120" w:type="dxa"/>
              <w:right w:w="120" w:type="dxa"/>
            </w:tcMar>
            <w:vAlign w:val="center"/>
            <w:hideMark/>
          </w:tcPr>
          <w:p w14:paraId="156477CD" w14:textId="77777777" w:rsidR="00FB695A" w:rsidRPr="00FB695A" w:rsidRDefault="00FB695A" w:rsidP="00FB695A">
            <w:pPr>
              <w:spacing w:after="240" w:line="240" w:lineRule="auto"/>
              <w:rPr>
                <w:rFonts w:ascii="Arial" w:eastAsia="Times New Roman" w:hAnsi="Arial" w:cs="Arial"/>
                <w:b/>
                <w:bCs/>
                <w:color w:val="FFFFFF"/>
                <w:sz w:val="24"/>
                <w:szCs w:val="24"/>
              </w:rPr>
            </w:pPr>
            <w:r w:rsidRPr="00FB695A">
              <w:rPr>
                <w:rFonts w:ascii="Arial" w:eastAsia="Times New Roman" w:hAnsi="Arial" w:cs="Arial"/>
                <w:b/>
                <w:bCs/>
                <w:color w:val="FFFFFF"/>
                <w:sz w:val="24"/>
                <w:szCs w:val="24"/>
              </w:rPr>
              <w:t>2015</w:t>
            </w:r>
          </w:p>
        </w:tc>
        <w:tc>
          <w:tcPr>
            <w:tcW w:w="0" w:type="auto"/>
            <w:tcBorders>
              <w:top w:val="nil"/>
              <w:left w:val="nil"/>
              <w:bottom w:val="single" w:sz="6" w:space="0" w:color="132E57"/>
              <w:right w:val="nil"/>
            </w:tcBorders>
            <w:shd w:val="clear" w:color="auto" w:fill="132E57"/>
            <w:tcMar>
              <w:top w:w="120" w:type="dxa"/>
              <w:left w:w="120" w:type="dxa"/>
              <w:bottom w:w="120" w:type="dxa"/>
              <w:right w:w="120" w:type="dxa"/>
            </w:tcMar>
            <w:vAlign w:val="center"/>
            <w:hideMark/>
          </w:tcPr>
          <w:p w14:paraId="4A54C212" w14:textId="77777777" w:rsidR="00FB695A" w:rsidRPr="00FB695A" w:rsidRDefault="00FB695A" w:rsidP="00FB695A">
            <w:pPr>
              <w:spacing w:after="240" w:line="240" w:lineRule="auto"/>
              <w:rPr>
                <w:rFonts w:ascii="Arial" w:eastAsia="Times New Roman" w:hAnsi="Arial" w:cs="Arial"/>
                <w:b/>
                <w:bCs/>
                <w:color w:val="FFFFFF"/>
                <w:sz w:val="24"/>
                <w:szCs w:val="24"/>
              </w:rPr>
            </w:pPr>
            <w:r w:rsidRPr="00FB695A">
              <w:rPr>
                <w:rFonts w:ascii="Arial" w:eastAsia="Times New Roman" w:hAnsi="Arial" w:cs="Arial"/>
                <w:b/>
                <w:bCs/>
                <w:color w:val="FFFFFF"/>
                <w:sz w:val="24"/>
                <w:szCs w:val="24"/>
              </w:rPr>
              <w:t>2016</w:t>
            </w:r>
          </w:p>
        </w:tc>
      </w:tr>
      <w:tr w:rsidR="00FB695A" w:rsidRPr="00FB695A" w14:paraId="7DE051AB" w14:textId="77777777" w:rsidTr="00FB695A">
        <w:tc>
          <w:tcPr>
            <w:tcW w:w="0" w:type="auto"/>
            <w:tcBorders>
              <w:top w:val="nil"/>
              <w:left w:val="nil"/>
              <w:bottom w:val="nil"/>
              <w:right w:val="nil"/>
            </w:tcBorders>
            <w:shd w:val="clear" w:color="auto" w:fill="FFFFFF"/>
            <w:tcMar>
              <w:top w:w="120" w:type="dxa"/>
              <w:left w:w="120" w:type="dxa"/>
              <w:bottom w:w="120" w:type="dxa"/>
              <w:right w:w="120" w:type="dxa"/>
            </w:tcMar>
            <w:hideMark/>
          </w:tcPr>
          <w:p w14:paraId="6F6BC516"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Capital invested (beginning of year)</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1474BFC0"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$54,236.00</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5DECEBCF"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$50,323.00</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651F53D7"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$55,979.00</w:t>
            </w:r>
          </w:p>
        </w:tc>
      </w:tr>
      <w:tr w:rsidR="00FB695A" w:rsidRPr="00FB695A" w14:paraId="0A10A43F" w14:textId="77777777" w:rsidTr="00FB695A">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21AA02E9"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x WACC</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123E6CCE"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8.22%</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7FE0CB3C"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8.28%</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6DE1CA09"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8.37%</w:t>
            </w:r>
          </w:p>
        </w:tc>
      </w:tr>
      <w:tr w:rsidR="00FB695A" w:rsidRPr="00FB695A" w14:paraId="78903265" w14:textId="77777777" w:rsidTr="00FB695A">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3B79CACC"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Finance Charge</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4A65B9A4"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$4,459.56</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3B8FB7FF"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$4,168.90</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13928F4D"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$4,682.80</w:t>
            </w:r>
          </w:p>
        </w:tc>
      </w:tr>
      <w:tr w:rsidR="00FB695A" w:rsidRPr="00FB695A" w14:paraId="59FA0F1C" w14:textId="77777777" w:rsidTr="00FB695A">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4EEA3A16"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NOPLAT</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0AC33F54"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$7,265.00</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7F612B1D"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$5,356.00</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4DC0012E"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$4,336.00</w:t>
            </w:r>
          </w:p>
        </w:tc>
      </w:tr>
      <w:tr w:rsidR="00FB695A" w:rsidRPr="00FB695A" w14:paraId="6AAF5FCF" w14:textId="77777777" w:rsidTr="00FB695A">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6922975C"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 Finance Charge</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6F159DBA"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$4,459.56</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2B50EBB2"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$4,168.90</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5A6EE0B5"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$4,682.80</w:t>
            </w:r>
          </w:p>
        </w:tc>
      </w:tr>
      <w:tr w:rsidR="00FB695A" w:rsidRPr="00FB695A" w14:paraId="5DF5381B" w14:textId="77777777" w:rsidTr="00FB695A">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64FB8328"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Economic Value Added</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1FE37225"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$2,805.44</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739EBC65"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$1,187.10</w:t>
            </w:r>
          </w:p>
        </w:tc>
        <w:tc>
          <w:tcPr>
            <w:tcW w:w="0" w:type="auto"/>
            <w:tcBorders>
              <w:top w:val="single" w:sz="6" w:space="0" w:color="132E57"/>
              <w:left w:val="nil"/>
              <w:bottom w:val="nil"/>
              <w:right w:val="nil"/>
            </w:tcBorders>
            <w:shd w:val="clear" w:color="auto" w:fill="FFFFFF"/>
            <w:tcMar>
              <w:top w:w="120" w:type="dxa"/>
              <w:left w:w="120" w:type="dxa"/>
              <w:bottom w:w="120" w:type="dxa"/>
              <w:right w:w="120" w:type="dxa"/>
            </w:tcMar>
            <w:hideMark/>
          </w:tcPr>
          <w:p w14:paraId="2BAE6F6B" w14:textId="77777777" w:rsidR="00FB695A" w:rsidRPr="00FB695A" w:rsidRDefault="00FB695A" w:rsidP="00FB695A">
            <w:pPr>
              <w:spacing w:after="240"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-$346.80</w:t>
            </w:r>
          </w:p>
        </w:tc>
      </w:tr>
    </w:tbl>
    <w:p w14:paraId="237654A7" w14:textId="77777777" w:rsidR="00FB695A" w:rsidRPr="00FB695A" w:rsidRDefault="00FB695A" w:rsidP="00FB695A">
      <w:pPr>
        <w:shd w:val="clear" w:color="auto" w:fill="FFFFFF"/>
        <w:spacing w:before="100" w:beforeAutospacing="1" w:after="100" w:afterAutospacing="1" w:line="240" w:lineRule="auto"/>
        <w:rPr>
          <w:rFonts w:ascii="Arial" w:eastAsia="Times New Roman" w:hAnsi="Arial" w:cs="Arial"/>
          <w:color w:val="57595D"/>
          <w:sz w:val="24"/>
          <w:szCs w:val="24"/>
        </w:rPr>
      </w:pPr>
      <w:r w:rsidRPr="00FB695A">
        <w:rPr>
          <w:rFonts w:ascii="Arial" w:eastAsia="Times New Roman" w:hAnsi="Arial" w:cs="Arial"/>
          <w:color w:val="57595D"/>
          <w:sz w:val="24"/>
          <w:szCs w:val="24"/>
        </w:rPr>
        <w:t xml:space="preserve">In conclusion, this measure highlights when the company creates value and is helpful to understand the company’s performance </w:t>
      </w:r>
      <w:proofErr w:type="gramStart"/>
      <w:r w:rsidRPr="00FB695A">
        <w:rPr>
          <w:rFonts w:ascii="Arial" w:eastAsia="Times New Roman" w:hAnsi="Arial" w:cs="Arial"/>
          <w:color w:val="57595D"/>
          <w:sz w:val="24"/>
          <w:szCs w:val="24"/>
        </w:rPr>
        <w:t>in a given year</w:t>
      </w:r>
      <w:proofErr w:type="gramEnd"/>
      <w:r w:rsidRPr="00FB695A">
        <w:rPr>
          <w:rFonts w:ascii="Arial" w:eastAsia="Times New Roman" w:hAnsi="Arial" w:cs="Arial"/>
          <w:color w:val="57595D"/>
          <w:sz w:val="24"/>
          <w:szCs w:val="24"/>
        </w:rPr>
        <w:t xml:space="preserve"> and to determine when economic value is created.</w:t>
      </w:r>
    </w:p>
    <w:p w14:paraId="3BB1477F" w14:textId="77777777" w:rsidR="00445C48" w:rsidRDefault="00445C48"/>
    <w:sectPr w:rsidR="00445C48" w:rsidSect="00FB695A">
      <w:pgSz w:w="12240" w:h="15840"/>
      <w:pgMar w:top="81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950F2"/>
    <w:multiLevelType w:val="multilevel"/>
    <w:tmpl w:val="4CAA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E22E8"/>
    <w:multiLevelType w:val="multilevel"/>
    <w:tmpl w:val="95C4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F245F"/>
    <w:multiLevelType w:val="multilevel"/>
    <w:tmpl w:val="2FA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775416">
    <w:abstractNumId w:val="1"/>
  </w:num>
  <w:num w:numId="2" w16cid:durableId="403376411">
    <w:abstractNumId w:val="2"/>
  </w:num>
  <w:num w:numId="3" w16cid:durableId="13784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5A"/>
    <w:rsid w:val="00445C48"/>
    <w:rsid w:val="004B5795"/>
    <w:rsid w:val="00626F02"/>
    <w:rsid w:val="007C384E"/>
    <w:rsid w:val="00E24D98"/>
    <w:rsid w:val="00FB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336B"/>
  <w15:chartTrackingRefBased/>
  <w15:docId w15:val="{66BBF867-D393-4728-AE1E-7791AE9B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9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69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69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9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69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695A"/>
    <w:rPr>
      <w:rFonts w:ascii="Times New Roman" w:eastAsia="Times New Roman" w:hAnsi="Times New Roman" w:cs="Times New Roman"/>
      <w:b/>
      <w:bCs/>
      <w:sz w:val="27"/>
      <w:szCs w:val="27"/>
    </w:rPr>
  </w:style>
  <w:style w:type="paragraph" w:customStyle="1" w:styleId="lead">
    <w:name w:val="lead"/>
    <w:basedOn w:val="Normal"/>
    <w:rsid w:val="00FB6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info-label">
    <w:name w:val="article-info-label"/>
    <w:basedOn w:val="DefaultParagraphFont"/>
    <w:rsid w:val="00FB695A"/>
  </w:style>
  <w:style w:type="character" w:customStyle="1" w:styleId="article-info-value">
    <w:name w:val="article-info-value"/>
    <w:basedOn w:val="DefaultParagraphFont"/>
    <w:rsid w:val="00FB695A"/>
  </w:style>
  <w:style w:type="character" w:styleId="Hyperlink">
    <w:name w:val="Hyperlink"/>
    <w:basedOn w:val="DefaultParagraphFont"/>
    <w:uiPriority w:val="99"/>
    <w:semiHidden/>
    <w:unhideWhenUsed/>
    <w:rsid w:val="00FB695A"/>
    <w:rPr>
      <w:color w:val="0000FF"/>
      <w:u w:val="single"/>
    </w:rPr>
  </w:style>
  <w:style w:type="paragraph" w:styleId="NormalWeb">
    <w:name w:val="Normal (Web)"/>
    <w:basedOn w:val="Normal"/>
    <w:uiPriority w:val="99"/>
    <w:semiHidden/>
    <w:unhideWhenUsed/>
    <w:rsid w:val="00FB69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695A"/>
    <w:rPr>
      <w:b/>
      <w:bCs/>
    </w:rPr>
  </w:style>
  <w:style w:type="paragraph" w:styleId="z-TopofForm">
    <w:name w:val="HTML Top of Form"/>
    <w:basedOn w:val="Normal"/>
    <w:next w:val="Normal"/>
    <w:link w:val="z-TopofFormChar"/>
    <w:hidden/>
    <w:uiPriority w:val="99"/>
    <w:semiHidden/>
    <w:unhideWhenUsed/>
    <w:rsid w:val="00FB69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695A"/>
    <w:rPr>
      <w:rFonts w:ascii="Arial" w:eastAsia="Times New Roman" w:hAnsi="Arial" w:cs="Arial"/>
      <w:vanish/>
      <w:sz w:val="16"/>
      <w:szCs w:val="16"/>
    </w:rPr>
  </w:style>
  <w:style w:type="character" w:customStyle="1" w:styleId="ql-font-open-sans">
    <w:name w:val="ql-font-open-sans"/>
    <w:basedOn w:val="DefaultParagraphFont"/>
    <w:rsid w:val="00FB695A"/>
  </w:style>
  <w:style w:type="paragraph" w:styleId="z-BottomofForm">
    <w:name w:val="HTML Bottom of Form"/>
    <w:basedOn w:val="Normal"/>
    <w:next w:val="Normal"/>
    <w:link w:val="z-BottomofFormChar"/>
    <w:hidden/>
    <w:uiPriority w:val="99"/>
    <w:semiHidden/>
    <w:unhideWhenUsed/>
    <w:rsid w:val="00FB69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695A"/>
    <w:rPr>
      <w:rFonts w:ascii="Arial" w:eastAsia="Times New Roman" w:hAnsi="Arial" w:cs="Arial"/>
      <w:vanish/>
      <w:sz w:val="16"/>
      <w:szCs w:val="16"/>
    </w:rPr>
  </w:style>
  <w:style w:type="character" w:styleId="Emphasis">
    <w:name w:val="Emphasis"/>
    <w:basedOn w:val="DefaultParagraphFont"/>
    <w:uiPriority w:val="20"/>
    <w:qFormat/>
    <w:rsid w:val="00FB69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73916">
      <w:bodyDiv w:val="1"/>
      <w:marLeft w:val="0"/>
      <w:marRight w:val="0"/>
      <w:marTop w:val="0"/>
      <w:marBottom w:val="0"/>
      <w:divBdr>
        <w:top w:val="none" w:sz="0" w:space="0" w:color="auto"/>
        <w:left w:val="none" w:sz="0" w:space="0" w:color="auto"/>
        <w:bottom w:val="none" w:sz="0" w:space="0" w:color="auto"/>
        <w:right w:val="none" w:sz="0" w:space="0" w:color="auto"/>
      </w:divBdr>
      <w:divsChild>
        <w:div w:id="719670852">
          <w:marLeft w:val="0"/>
          <w:marRight w:val="0"/>
          <w:marTop w:val="0"/>
          <w:marBottom w:val="0"/>
          <w:divBdr>
            <w:top w:val="none" w:sz="0" w:space="0" w:color="auto"/>
            <w:left w:val="none" w:sz="0" w:space="0" w:color="auto"/>
            <w:bottom w:val="none" w:sz="0" w:space="0" w:color="auto"/>
            <w:right w:val="none" w:sz="0" w:space="0" w:color="auto"/>
          </w:divBdr>
          <w:divsChild>
            <w:div w:id="1025980554">
              <w:marLeft w:val="0"/>
              <w:marRight w:val="0"/>
              <w:marTop w:val="0"/>
              <w:marBottom w:val="0"/>
              <w:divBdr>
                <w:top w:val="none" w:sz="0" w:space="0" w:color="auto"/>
                <w:left w:val="none" w:sz="0" w:space="0" w:color="auto"/>
                <w:bottom w:val="none" w:sz="0" w:space="0" w:color="auto"/>
                <w:right w:val="none" w:sz="0" w:space="0" w:color="auto"/>
              </w:divBdr>
              <w:divsChild>
                <w:div w:id="530268516">
                  <w:marLeft w:val="0"/>
                  <w:marRight w:val="0"/>
                  <w:marTop w:val="0"/>
                  <w:marBottom w:val="0"/>
                  <w:divBdr>
                    <w:top w:val="none" w:sz="0" w:space="0" w:color="auto"/>
                    <w:left w:val="none" w:sz="0" w:space="0" w:color="auto"/>
                    <w:bottom w:val="none" w:sz="0" w:space="0" w:color="auto"/>
                    <w:right w:val="none" w:sz="0" w:space="0" w:color="auto"/>
                  </w:divBdr>
                  <w:divsChild>
                    <w:div w:id="1882787517">
                      <w:marLeft w:val="0"/>
                      <w:marRight w:val="0"/>
                      <w:marTop w:val="0"/>
                      <w:marBottom w:val="0"/>
                      <w:divBdr>
                        <w:top w:val="none" w:sz="0" w:space="0" w:color="auto"/>
                        <w:left w:val="none" w:sz="0" w:space="0" w:color="auto"/>
                        <w:bottom w:val="none" w:sz="0" w:space="0" w:color="auto"/>
                        <w:right w:val="none" w:sz="0" w:space="0" w:color="auto"/>
                      </w:divBdr>
                    </w:div>
                    <w:div w:id="820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1631">
          <w:marLeft w:val="0"/>
          <w:marRight w:val="0"/>
          <w:marTop w:val="0"/>
          <w:marBottom w:val="0"/>
          <w:divBdr>
            <w:top w:val="none" w:sz="0" w:space="0" w:color="auto"/>
            <w:left w:val="none" w:sz="0" w:space="0" w:color="auto"/>
            <w:bottom w:val="none" w:sz="0" w:space="0" w:color="auto"/>
            <w:right w:val="none" w:sz="0" w:space="0" w:color="auto"/>
          </w:divBdr>
          <w:divsChild>
            <w:div w:id="1438210859">
              <w:marLeft w:val="0"/>
              <w:marRight w:val="0"/>
              <w:marTop w:val="0"/>
              <w:marBottom w:val="0"/>
              <w:divBdr>
                <w:top w:val="none" w:sz="0" w:space="0" w:color="auto"/>
                <w:left w:val="none" w:sz="0" w:space="0" w:color="auto"/>
                <w:bottom w:val="none" w:sz="0" w:space="0" w:color="auto"/>
                <w:right w:val="none" w:sz="0" w:space="0" w:color="auto"/>
              </w:divBdr>
              <w:divsChild>
                <w:div w:id="1891768871">
                  <w:marLeft w:val="0"/>
                  <w:marRight w:val="0"/>
                  <w:marTop w:val="0"/>
                  <w:marBottom w:val="0"/>
                  <w:divBdr>
                    <w:top w:val="none" w:sz="0" w:space="0" w:color="auto"/>
                    <w:left w:val="none" w:sz="0" w:space="0" w:color="auto"/>
                    <w:bottom w:val="none" w:sz="0" w:space="0" w:color="auto"/>
                    <w:right w:val="none" w:sz="0" w:space="0" w:color="auto"/>
                  </w:divBdr>
                  <w:divsChild>
                    <w:div w:id="1613198292">
                      <w:marLeft w:val="0"/>
                      <w:marRight w:val="0"/>
                      <w:marTop w:val="0"/>
                      <w:marBottom w:val="0"/>
                      <w:divBdr>
                        <w:top w:val="none" w:sz="0" w:space="0" w:color="auto"/>
                        <w:left w:val="none" w:sz="0" w:space="0" w:color="auto"/>
                        <w:bottom w:val="none" w:sz="0" w:space="0" w:color="auto"/>
                        <w:right w:val="none" w:sz="0" w:space="0" w:color="auto"/>
                      </w:divBdr>
                      <w:divsChild>
                        <w:div w:id="527913568">
                          <w:marLeft w:val="0"/>
                          <w:marRight w:val="0"/>
                          <w:marTop w:val="0"/>
                          <w:marBottom w:val="0"/>
                          <w:divBdr>
                            <w:top w:val="none" w:sz="0" w:space="0" w:color="auto"/>
                            <w:left w:val="none" w:sz="0" w:space="0" w:color="auto"/>
                            <w:bottom w:val="none" w:sz="0" w:space="0" w:color="auto"/>
                            <w:right w:val="none" w:sz="0" w:space="0" w:color="auto"/>
                          </w:divBdr>
                          <w:divsChild>
                            <w:div w:id="1531994016">
                              <w:marLeft w:val="0"/>
                              <w:marRight w:val="0"/>
                              <w:marTop w:val="0"/>
                              <w:marBottom w:val="0"/>
                              <w:divBdr>
                                <w:top w:val="none" w:sz="0" w:space="0" w:color="auto"/>
                                <w:left w:val="none" w:sz="0" w:space="0" w:color="auto"/>
                                <w:bottom w:val="none" w:sz="0" w:space="0" w:color="auto"/>
                                <w:right w:val="none" w:sz="0" w:space="0" w:color="auto"/>
                              </w:divBdr>
                              <w:divsChild>
                                <w:div w:id="10656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52481">
                      <w:marLeft w:val="0"/>
                      <w:marRight w:val="0"/>
                      <w:marTop w:val="0"/>
                      <w:marBottom w:val="0"/>
                      <w:divBdr>
                        <w:top w:val="none" w:sz="0" w:space="0" w:color="auto"/>
                        <w:left w:val="none" w:sz="0" w:space="0" w:color="auto"/>
                        <w:bottom w:val="none" w:sz="0" w:space="0" w:color="auto"/>
                        <w:right w:val="none" w:sz="0" w:space="0" w:color="auto"/>
                      </w:divBdr>
                      <w:divsChild>
                        <w:div w:id="1960912341">
                          <w:marLeft w:val="0"/>
                          <w:marRight w:val="0"/>
                          <w:marTop w:val="0"/>
                          <w:marBottom w:val="0"/>
                          <w:divBdr>
                            <w:top w:val="none" w:sz="0" w:space="0" w:color="auto"/>
                            <w:left w:val="none" w:sz="0" w:space="0" w:color="auto"/>
                            <w:bottom w:val="none" w:sz="0" w:space="0" w:color="auto"/>
                            <w:right w:val="none" w:sz="0" w:space="0" w:color="auto"/>
                          </w:divBdr>
                          <w:divsChild>
                            <w:div w:id="165096681">
                              <w:marLeft w:val="0"/>
                              <w:marRight w:val="0"/>
                              <w:marTop w:val="0"/>
                              <w:marBottom w:val="0"/>
                              <w:divBdr>
                                <w:top w:val="none" w:sz="0" w:space="0" w:color="auto"/>
                                <w:left w:val="none" w:sz="0" w:space="0" w:color="auto"/>
                                <w:bottom w:val="none" w:sz="0" w:space="0" w:color="auto"/>
                                <w:right w:val="none" w:sz="0" w:space="0" w:color="auto"/>
                              </w:divBdr>
                              <w:divsChild>
                                <w:div w:id="9113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2046">
                      <w:marLeft w:val="0"/>
                      <w:marRight w:val="0"/>
                      <w:marTop w:val="0"/>
                      <w:marBottom w:val="0"/>
                      <w:divBdr>
                        <w:top w:val="none" w:sz="0" w:space="0" w:color="auto"/>
                        <w:left w:val="none" w:sz="0" w:space="0" w:color="auto"/>
                        <w:bottom w:val="none" w:sz="0" w:space="0" w:color="auto"/>
                        <w:right w:val="none" w:sz="0" w:space="0" w:color="auto"/>
                      </w:divBdr>
                      <w:divsChild>
                        <w:div w:id="1741362938">
                          <w:marLeft w:val="0"/>
                          <w:marRight w:val="0"/>
                          <w:marTop w:val="0"/>
                          <w:marBottom w:val="0"/>
                          <w:divBdr>
                            <w:top w:val="none" w:sz="0" w:space="0" w:color="auto"/>
                            <w:left w:val="none" w:sz="0" w:space="0" w:color="auto"/>
                            <w:bottom w:val="none" w:sz="0" w:space="0" w:color="auto"/>
                            <w:right w:val="none" w:sz="0" w:space="0" w:color="auto"/>
                          </w:divBdr>
                          <w:divsChild>
                            <w:div w:id="21347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8332">
                      <w:marLeft w:val="0"/>
                      <w:marRight w:val="0"/>
                      <w:marTop w:val="0"/>
                      <w:marBottom w:val="0"/>
                      <w:divBdr>
                        <w:top w:val="none" w:sz="0" w:space="0" w:color="auto"/>
                        <w:left w:val="none" w:sz="0" w:space="0" w:color="auto"/>
                        <w:bottom w:val="none" w:sz="0" w:space="0" w:color="auto"/>
                        <w:right w:val="none" w:sz="0" w:space="0" w:color="auto"/>
                      </w:divBdr>
                      <w:divsChild>
                        <w:div w:id="800077708">
                          <w:marLeft w:val="0"/>
                          <w:marRight w:val="0"/>
                          <w:marTop w:val="0"/>
                          <w:marBottom w:val="0"/>
                          <w:divBdr>
                            <w:top w:val="none" w:sz="0" w:space="0" w:color="auto"/>
                            <w:left w:val="none" w:sz="0" w:space="0" w:color="auto"/>
                            <w:bottom w:val="none" w:sz="0" w:space="0" w:color="auto"/>
                            <w:right w:val="none" w:sz="0" w:space="0" w:color="auto"/>
                          </w:divBdr>
                          <w:divsChild>
                            <w:div w:id="2514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5877">
                      <w:marLeft w:val="0"/>
                      <w:marRight w:val="0"/>
                      <w:marTop w:val="0"/>
                      <w:marBottom w:val="0"/>
                      <w:divBdr>
                        <w:top w:val="none" w:sz="0" w:space="0" w:color="auto"/>
                        <w:left w:val="none" w:sz="0" w:space="0" w:color="auto"/>
                        <w:bottom w:val="none" w:sz="0" w:space="0" w:color="auto"/>
                        <w:right w:val="none" w:sz="0" w:space="0" w:color="auto"/>
                      </w:divBdr>
                      <w:divsChild>
                        <w:div w:id="1540556967">
                          <w:marLeft w:val="0"/>
                          <w:marRight w:val="0"/>
                          <w:marTop w:val="0"/>
                          <w:marBottom w:val="0"/>
                          <w:divBdr>
                            <w:top w:val="none" w:sz="0" w:space="0" w:color="auto"/>
                            <w:left w:val="none" w:sz="0" w:space="0" w:color="auto"/>
                            <w:bottom w:val="none" w:sz="0" w:space="0" w:color="auto"/>
                            <w:right w:val="none" w:sz="0" w:space="0" w:color="auto"/>
                          </w:divBdr>
                          <w:divsChild>
                            <w:div w:id="1367946943">
                              <w:marLeft w:val="0"/>
                              <w:marRight w:val="0"/>
                              <w:marTop w:val="0"/>
                              <w:marBottom w:val="0"/>
                              <w:divBdr>
                                <w:top w:val="none" w:sz="0" w:space="0" w:color="auto"/>
                                <w:left w:val="none" w:sz="0" w:space="0" w:color="auto"/>
                                <w:bottom w:val="none" w:sz="0" w:space="0" w:color="auto"/>
                                <w:right w:val="none" w:sz="0" w:space="0" w:color="auto"/>
                              </w:divBdr>
                              <w:divsChild>
                                <w:div w:id="1542202533">
                                  <w:marLeft w:val="0"/>
                                  <w:marRight w:val="0"/>
                                  <w:marTop w:val="0"/>
                                  <w:marBottom w:val="0"/>
                                  <w:divBdr>
                                    <w:top w:val="none" w:sz="0" w:space="0" w:color="auto"/>
                                    <w:left w:val="none" w:sz="0" w:space="0" w:color="auto"/>
                                    <w:bottom w:val="none" w:sz="0" w:space="0" w:color="auto"/>
                                    <w:right w:val="none" w:sz="0" w:space="0" w:color="auto"/>
                                  </w:divBdr>
                                  <w:divsChild>
                                    <w:div w:id="15119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2365">
                      <w:marLeft w:val="0"/>
                      <w:marRight w:val="0"/>
                      <w:marTop w:val="0"/>
                      <w:marBottom w:val="0"/>
                      <w:divBdr>
                        <w:top w:val="none" w:sz="0" w:space="0" w:color="auto"/>
                        <w:left w:val="none" w:sz="0" w:space="0" w:color="auto"/>
                        <w:bottom w:val="none" w:sz="0" w:space="0" w:color="auto"/>
                        <w:right w:val="none" w:sz="0" w:space="0" w:color="auto"/>
                      </w:divBdr>
                      <w:divsChild>
                        <w:div w:id="465438510">
                          <w:marLeft w:val="0"/>
                          <w:marRight w:val="0"/>
                          <w:marTop w:val="0"/>
                          <w:marBottom w:val="0"/>
                          <w:divBdr>
                            <w:top w:val="none" w:sz="0" w:space="0" w:color="auto"/>
                            <w:left w:val="none" w:sz="0" w:space="0" w:color="auto"/>
                            <w:bottom w:val="none" w:sz="0" w:space="0" w:color="auto"/>
                            <w:right w:val="none" w:sz="0" w:space="0" w:color="auto"/>
                          </w:divBdr>
                        </w:div>
                      </w:divsChild>
                    </w:div>
                    <w:div w:id="1030186197">
                      <w:marLeft w:val="0"/>
                      <w:marRight w:val="0"/>
                      <w:marTop w:val="0"/>
                      <w:marBottom w:val="0"/>
                      <w:divBdr>
                        <w:top w:val="none" w:sz="0" w:space="0" w:color="auto"/>
                        <w:left w:val="none" w:sz="0" w:space="0" w:color="auto"/>
                        <w:bottom w:val="none" w:sz="0" w:space="0" w:color="auto"/>
                        <w:right w:val="none" w:sz="0" w:space="0" w:color="auto"/>
                      </w:divBdr>
                      <w:divsChild>
                        <w:div w:id="32195991">
                          <w:marLeft w:val="0"/>
                          <w:marRight w:val="0"/>
                          <w:marTop w:val="0"/>
                          <w:marBottom w:val="0"/>
                          <w:divBdr>
                            <w:top w:val="none" w:sz="0" w:space="0" w:color="auto"/>
                            <w:left w:val="none" w:sz="0" w:space="0" w:color="auto"/>
                            <w:bottom w:val="none" w:sz="0" w:space="0" w:color="auto"/>
                            <w:right w:val="none" w:sz="0" w:space="0" w:color="auto"/>
                          </w:divBdr>
                          <w:divsChild>
                            <w:div w:id="694119895">
                              <w:marLeft w:val="0"/>
                              <w:marRight w:val="0"/>
                              <w:marTop w:val="0"/>
                              <w:marBottom w:val="0"/>
                              <w:divBdr>
                                <w:top w:val="none" w:sz="0" w:space="0" w:color="auto"/>
                                <w:left w:val="none" w:sz="0" w:space="0" w:color="auto"/>
                                <w:bottom w:val="none" w:sz="0" w:space="0" w:color="auto"/>
                                <w:right w:val="none" w:sz="0" w:space="0" w:color="auto"/>
                              </w:divBdr>
                              <w:divsChild>
                                <w:div w:id="666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hareholder" TargetMode="External"/><Relationship Id="rId13" Type="http://schemas.openxmlformats.org/officeDocument/2006/relationships/hyperlink" Target="https://corporatefinanceinstitute.com/resources/knowledge/accounting/depreciation-expense/" TargetMode="External"/><Relationship Id="rId3" Type="http://schemas.openxmlformats.org/officeDocument/2006/relationships/settings" Target="settings.xml"/><Relationship Id="rId7" Type="http://schemas.openxmlformats.org/officeDocument/2006/relationships/hyperlink" Target="https://corporatefinanceinstitute.com/resources/knowledge/finance/profitability-ratios/" TargetMode="External"/><Relationship Id="rId12" Type="http://schemas.openxmlformats.org/officeDocument/2006/relationships/hyperlink" Target="https://corporatefinanceinstitute.com/resources/knowledge/accounting/interest-exp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poratefinanceinstitute.com/resources/knowledge/finance/hurdle-rate-definition/" TargetMode="External"/><Relationship Id="rId11" Type="http://schemas.openxmlformats.org/officeDocument/2006/relationships/hyperlink" Target="https://corporatefinanceinstitute.com/resources/knowledge/valuation/what-is-nopat/" TargetMode="External"/><Relationship Id="rId5" Type="http://schemas.openxmlformats.org/officeDocument/2006/relationships/hyperlink" Target="https://corporatefinanceinstitute.com/editorial-guidelines/" TargetMode="External"/><Relationship Id="rId15" Type="http://schemas.openxmlformats.org/officeDocument/2006/relationships/theme" Target="theme/theme1.xml"/><Relationship Id="rId10" Type="http://schemas.openxmlformats.org/officeDocument/2006/relationships/hyperlink" Target="https://corporatefinanceinstitute.com/resources/knowledge/finance/what-is-wacc-formula/" TargetMode="External"/><Relationship Id="rId4" Type="http://schemas.openxmlformats.org/officeDocument/2006/relationships/webSettings" Target="webSettings.xml"/><Relationship Id="rId9" Type="http://schemas.openxmlformats.org/officeDocument/2006/relationships/hyperlink" Target="https://corporatefinanceinstitute.com/resources/knowledge/finance/what-is-wacc-formu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doody</dc:creator>
  <cp:keywords/>
  <dc:description/>
  <cp:lastModifiedBy>david doody</cp:lastModifiedBy>
  <cp:revision>2</cp:revision>
  <dcterms:created xsi:type="dcterms:W3CDTF">2022-07-26T02:45:00Z</dcterms:created>
  <dcterms:modified xsi:type="dcterms:W3CDTF">2022-07-26T02:45:00Z</dcterms:modified>
</cp:coreProperties>
</file>