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5B7F" w14:textId="7D3F3809" w:rsidR="005257B6" w:rsidRDefault="005257B6" w:rsidP="005257B6">
      <w:pPr>
        <w:pStyle w:val="Heading1"/>
        <w:shd w:val="clear" w:color="auto" w:fill="FFFFFF"/>
        <w:spacing w:before="0" w:beforeAutospacing="0" w:after="75" w:afterAutospacing="0" w:line="288" w:lineRule="atLeast"/>
        <w:rPr>
          <w:rFonts w:ascii="BentonSans" w:hAnsi="BentonSans" w:cs="Arial"/>
          <w:b w:val="0"/>
          <w:bCs w:val="0"/>
          <w:color w:val="B1233D"/>
          <w:sz w:val="36"/>
          <w:szCs w:val="36"/>
        </w:rPr>
      </w:pPr>
      <w:r>
        <w:rPr>
          <w:rFonts w:ascii="BentonSans" w:hAnsi="BentonSans" w:cs="Arial"/>
          <w:b w:val="0"/>
          <w:bCs w:val="0"/>
          <w:color w:val="B1233D"/>
          <w:sz w:val="36"/>
          <w:szCs w:val="36"/>
        </w:rPr>
        <w:t>2022 Say on Pay &amp; Proxy Results</w:t>
      </w:r>
    </w:p>
    <w:p w14:paraId="7D55AD59" w14:textId="77777777" w:rsidR="00D3065C" w:rsidRDefault="00D3065C" w:rsidP="005257B6">
      <w:pPr>
        <w:pStyle w:val="Heading1"/>
        <w:shd w:val="clear" w:color="auto" w:fill="FFFFFF"/>
        <w:spacing w:before="0" w:beforeAutospacing="0" w:after="75" w:afterAutospacing="0" w:line="288" w:lineRule="atLeast"/>
        <w:rPr>
          <w:rFonts w:ascii="BentonSans" w:hAnsi="BentonSans" w:cs="Arial"/>
          <w:b w:val="0"/>
          <w:bCs w:val="0"/>
          <w:color w:val="B1233D"/>
          <w:sz w:val="36"/>
          <w:szCs w:val="36"/>
        </w:rPr>
      </w:pPr>
    </w:p>
    <w:p w14:paraId="3E4F365A" w14:textId="34320038" w:rsidR="005257B6" w:rsidRPr="00D3065C" w:rsidRDefault="005257B6" w:rsidP="005257B6">
      <w:pPr>
        <w:shd w:val="clear" w:color="auto" w:fill="FFFFFF"/>
        <w:rPr>
          <w:rFonts w:ascii="Arial" w:hAnsi="Arial" w:cs="Arial"/>
          <w:i/>
          <w:iCs/>
          <w:color w:val="000000"/>
          <w:sz w:val="18"/>
          <w:szCs w:val="18"/>
        </w:rPr>
      </w:pPr>
      <w:r>
        <w:rPr>
          <w:rFonts w:ascii="Arial" w:hAnsi="Arial" w:cs="Arial"/>
          <w:i/>
          <w:iCs/>
          <w:color w:val="000000"/>
          <w:sz w:val="18"/>
          <w:szCs w:val="18"/>
        </w:rPr>
        <w:t xml:space="preserve">Posted by Todd </w:t>
      </w:r>
      <w:proofErr w:type="spellStart"/>
      <w:r>
        <w:rPr>
          <w:rFonts w:ascii="Arial" w:hAnsi="Arial" w:cs="Arial"/>
          <w:i/>
          <w:iCs/>
          <w:color w:val="000000"/>
          <w:sz w:val="18"/>
          <w:szCs w:val="18"/>
        </w:rPr>
        <w:t>Sirras</w:t>
      </w:r>
      <w:proofErr w:type="spellEnd"/>
      <w:r>
        <w:rPr>
          <w:rFonts w:ascii="Arial" w:hAnsi="Arial" w:cs="Arial"/>
          <w:i/>
          <w:iCs/>
          <w:color w:val="000000"/>
          <w:sz w:val="18"/>
          <w:szCs w:val="18"/>
        </w:rPr>
        <w:t xml:space="preserve">, Austin </w:t>
      </w:r>
      <w:proofErr w:type="spellStart"/>
      <w:r>
        <w:rPr>
          <w:rFonts w:ascii="Arial" w:hAnsi="Arial" w:cs="Arial"/>
          <w:i/>
          <w:iCs/>
          <w:color w:val="000000"/>
          <w:sz w:val="18"/>
          <w:szCs w:val="18"/>
        </w:rPr>
        <w:t>Vanbastelaer</w:t>
      </w:r>
      <w:proofErr w:type="spellEnd"/>
      <w:r>
        <w:rPr>
          <w:rFonts w:ascii="Arial" w:hAnsi="Arial" w:cs="Arial"/>
          <w:i/>
          <w:iCs/>
          <w:color w:val="000000"/>
          <w:sz w:val="18"/>
          <w:szCs w:val="18"/>
        </w:rPr>
        <w:t xml:space="preserve">, and Justin Beck, Semler </w:t>
      </w:r>
      <w:proofErr w:type="spellStart"/>
      <w:r>
        <w:rPr>
          <w:rFonts w:ascii="Arial" w:hAnsi="Arial" w:cs="Arial"/>
          <w:i/>
          <w:iCs/>
          <w:color w:val="000000"/>
          <w:sz w:val="18"/>
          <w:szCs w:val="18"/>
        </w:rPr>
        <w:t>Brossy</w:t>
      </w:r>
      <w:proofErr w:type="spellEnd"/>
      <w:r>
        <w:rPr>
          <w:rFonts w:ascii="Arial" w:hAnsi="Arial" w:cs="Arial"/>
          <w:i/>
          <w:iCs/>
          <w:color w:val="000000"/>
          <w:sz w:val="18"/>
          <w:szCs w:val="18"/>
        </w:rPr>
        <w:t xml:space="preserve"> LLC, on </w:t>
      </w:r>
      <w:r>
        <w:rPr>
          <w:rStyle w:val="Emphasis"/>
          <w:rFonts w:ascii="Arial" w:hAnsi="Arial" w:cs="Arial"/>
          <w:color w:val="000000"/>
          <w:sz w:val="18"/>
          <w:szCs w:val="18"/>
        </w:rPr>
        <w:t>Wednesday, July 6, 2022</w:t>
      </w:r>
    </w:p>
    <w:p w14:paraId="6246AE00" w14:textId="77777777" w:rsidR="005257B6" w:rsidRDefault="005257B6" w:rsidP="005257B6">
      <w:pPr>
        <w:pStyle w:val="NormalWeb"/>
        <w:shd w:val="clear" w:color="auto" w:fill="ECECE8"/>
        <w:spacing w:before="0" w:beforeAutospacing="0" w:after="0" w:afterAutospacing="0" w:line="336" w:lineRule="atLeast"/>
        <w:jc w:val="both"/>
        <w:rPr>
          <w:rFonts w:ascii="Arial" w:hAnsi="Arial" w:cs="Arial"/>
          <w:color w:val="1B4164"/>
          <w:sz w:val="20"/>
          <w:szCs w:val="20"/>
        </w:rPr>
      </w:pPr>
      <w:hyperlink r:id="rId5" w:tgtFrame="_blank" w:history="1">
        <w:r>
          <w:rPr>
            <w:rStyle w:val="Hyperlink"/>
            <w:rFonts w:ascii="Arial" w:hAnsi="Arial" w:cs="Arial"/>
            <w:color w:val="B1233D"/>
            <w:sz w:val="20"/>
            <w:szCs w:val="20"/>
            <w:u w:val="none"/>
          </w:rPr>
          <w:t xml:space="preserve">Todd </w:t>
        </w:r>
        <w:proofErr w:type="spellStart"/>
        <w:r>
          <w:rPr>
            <w:rStyle w:val="Hyperlink"/>
            <w:rFonts w:ascii="Arial" w:hAnsi="Arial" w:cs="Arial"/>
            <w:color w:val="B1233D"/>
            <w:sz w:val="20"/>
            <w:szCs w:val="20"/>
            <w:u w:val="none"/>
          </w:rPr>
          <w:t>Sirras</w:t>
        </w:r>
        <w:proofErr w:type="spellEnd"/>
      </w:hyperlink>
      <w:r>
        <w:rPr>
          <w:rFonts w:ascii="Arial" w:hAnsi="Arial" w:cs="Arial"/>
          <w:color w:val="1B4164"/>
          <w:sz w:val="20"/>
          <w:szCs w:val="20"/>
        </w:rPr>
        <w:t> is a Managing Director, </w:t>
      </w:r>
      <w:hyperlink r:id="rId6" w:anchor="team_member_justin-beck_6081cc7654b6e#modal:open" w:tgtFrame="_blank" w:history="1">
        <w:r>
          <w:rPr>
            <w:rStyle w:val="Hyperlink"/>
            <w:rFonts w:ascii="Arial" w:hAnsi="Arial" w:cs="Arial"/>
            <w:color w:val="B1233D"/>
            <w:sz w:val="20"/>
            <w:szCs w:val="20"/>
            <w:u w:val="none"/>
          </w:rPr>
          <w:t>Justin Beck</w:t>
        </w:r>
      </w:hyperlink>
      <w:r>
        <w:rPr>
          <w:rFonts w:ascii="Arial" w:hAnsi="Arial" w:cs="Arial"/>
          <w:color w:val="1B4164"/>
          <w:sz w:val="20"/>
          <w:szCs w:val="20"/>
        </w:rPr>
        <w:t> is a Consultant, and </w:t>
      </w:r>
      <w:hyperlink r:id="rId7" w:anchor="team_member_austin-vanbastelaer_6081cc7654b6e#modal:open" w:tgtFrame="_blank" w:history="1">
        <w:r>
          <w:rPr>
            <w:rStyle w:val="Hyperlink"/>
            <w:rFonts w:ascii="Arial" w:hAnsi="Arial" w:cs="Arial"/>
            <w:color w:val="B1233D"/>
            <w:sz w:val="20"/>
            <w:szCs w:val="20"/>
            <w:u w:val="none"/>
          </w:rPr>
          <w:t xml:space="preserve">Austin </w:t>
        </w:r>
        <w:proofErr w:type="spellStart"/>
        <w:r>
          <w:rPr>
            <w:rStyle w:val="Hyperlink"/>
            <w:rFonts w:ascii="Arial" w:hAnsi="Arial" w:cs="Arial"/>
            <w:color w:val="B1233D"/>
            <w:sz w:val="20"/>
            <w:szCs w:val="20"/>
            <w:u w:val="none"/>
          </w:rPr>
          <w:t>Vanbastelaer</w:t>
        </w:r>
        <w:proofErr w:type="spellEnd"/>
      </w:hyperlink>
      <w:r>
        <w:rPr>
          <w:rFonts w:ascii="Arial" w:hAnsi="Arial" w:cs="Arial"/>
          <w:color w:val="1B4164"/>
          <w:sz w:val="20"/>
          <w:szCs w:val="20"/>
        </w:rPr>
        <w:t xml:space="preserve"> is a Senior Consultant at Semler </w:t>
      </w:r>
      <w:proofErr w:type="spellStart"/>
      <w:r>
        <w:rPr>
          <w:rFonts w:ascii="Arial" w:hAnsi="Arial" w:cs="Arial"/>
          <w:color w:val="1B4164"/>
          <w:sz w:val="20"/>
          <w:szCs w:val="20"/>
        </w:rPr>
        <w:t>Brossy</w:t>
      </w:r>
      <w:proofErr w:type="spellEnd"/>
      <w:r>
        <w:rPr>
          <w:rFonts w:ascii="Arial" w:hAnsi="Arial" w:cs="Arial"/>
          <w:color w:val="1B4164"/>
          <w:sz w:val="20"/>
          <w:szCs w:val="20"/>
        </w:rPr>
        <w:t xml:space="preserve"> LLC. This post is based on a Semler </w:t>
      </w:r>
      <w:proofErr w:type="spellStart"/>
      <w:r>
        <w:rPr>
          <w:rFonts w:ascii="Arial" w:hAnsi="Arial" w:cs="Arial"/>
          <w:color w:val="1B4164"/>
          <w:sz w:val="20"/>
          <w:szCs w:val="20"/>
        </w:rPr>
        <w:t>Brossy</w:t>
      </w:r>
      <w:proofErr w:type="spellEnd"/>
      <w:r>
        <w:rPr>
          <w:rFonts w:ascii="Arial" w:hAnsi="Arial" w:cs="Arial"/>
          <w:color w:val="1B4164"/>
          <w:sz w:val="20"/>
          <w:szCs w:val="20"/>
        </w:rPr>
        <w:t xml:space="preserve"> memorandum by Mr. </w:t>
      </w:r>
      <w:proofErr w:type="spellStart"/>
      <w:r>
        <w:rPr>
          <w:rFonts w:ascii="Arial" w:hAnsi="Arial" w:cs="Arial"/>
          <w:color w:val="1B4164"/>
          <w:sz w:val="20"/>
          <w:szCs w:val="20"/>
        </w:rPr>
        <w:t>Sirras</w:t>
      </w:r>
      <w:proofErr w:type="spellEnd"/>
      <w:r>
        <w:rPr>
          <w:rFonts w:ascii="Arial" w:hAnsi="Arial" w:cs="Arial"/>
          <w:color w:val="1B4164"/>
          <w:sz w:val="20"/>
          <w:szCs w:val="20"/>
        </w:rPr>
        <w:t xml:space="preserve">, Mr. Beck, Mr. </w:t>
      </w:r>
      <w:proofErr w:type="spellStart"/>
      <w:r>
        <w:rPr>
          <w:rFonts w:ascii="Arial" w:hAnsi="Arial" w:cs="Arial"/>
          <w:color w:val="1B4164"/>
          <w:sz w:val="20"/>
          <w:szCs w:val="20"/>
        </w:rPr>
        <w:t>Vanbastelaer</w:t>
      </w:r>
      <w:proofErr w:type="spellEnd"/>
      <w:r>
        <w:rPr>
          <w:rFonts w:ascii="Arial" w:hAnsi="Arial" w:cs="Arial"/>
          <w:color w:val="1B4164"/>
          <w:sz w:val="20"/>
          <w:szCs w:val="20"/>
        </w:rPr>
        <w:t>, Alexandria Agee, Sarah Hartman, and Kyle McCarthy.</w:t>
      </w:r>
    </w:p>
    <w:p w14:paraId="4C8E2BC9" w14:textId="77777777" w:rsidR="005257B6" w:rsidRPr="001C45A1" w:rsidRDefault="005257B6" w:rsidP="005257B6">
      <w:pPr>
        <w:pStyle w:val="Heading2"/>
        <w:shd w:val="clear" w:color="auto" w:fill="FFFFFF"/>
        <w:spacing w:before="225" w:beforeAutospacing="0" w:after="150" w:afterAutospacing="0" w:line="288" w:lineRule="atLeast"/>
        <w:rPr>
          <w:rFonts w:ascii="BentonSans" w:hAnsi="BentonSans" w:cs="Arial"/>
          <w:b w:val="0"/>
          <w:bCs w:val="0"/>
          <w:color w:val="FF0000"/>
        </w:rPr>
      </w:pPr>
      <w:r w:rsidRPr="001C45A1">
        <w:rPr>
          <w:rFonts w:ascii="BentonSans" w:hAnsi="BentonSans" w:cs="Arial"/>
          <w:b w:val="0"/>
          <w:bCs w:val="0"/>
          <w:color w:val="FF0000"/>
        </w:rPr>
        <w:t>Breakdown of Say on Pay Vote Results</w:t>
      </w:r>
    </w:p>
    <w:p w14:paraId="0532AC8B" w14:textId="77777777"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Fonts w:ascii="Arial" w:hAnsi="Arial" w:cs="Arial"/>
          <w:color w:val="000000"/>
          <w:sz w:val="20"/>
          <w:szCs w:val="20"/>
        </w:rPr>
        <w:t>26 Russell 3000 companies (2.7%) failed Say on Pay thus far in 2022, 9 of which are in the S&amp;P 400. 17 companies failed since our last report (bolded in the table later in this post). The failure rate has increased 80 basis points since our last report (1.9%).</w:t>
      </w:r>
    </w:p>
    <w:p w14:paraId="041200E7" w14:textId="4B2730FA"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Fonts w:ascii="Arial" w:hAnsi="Arial" w:cs="Arial"/>
          <w:noProof/>
          <w:color w:val="B1233D"/>
          <w:sz w:val="20"/>
          <w:szCs w:val="20"/>
        </w:rPr>
        <w:drawing>
          <wp:inline distT="0" distB="0" distL="0" distR="0" wp14:anchorId="00143F43" wp14:editId="47455DAB">
            <wp:extent cx="6629400" cy="2921000"/>
            <wp:effectExtent l="0" t="0" r="0" b="0"/>
            <wp:docPr id="12" name="Picture 12" descr="Chart, bar char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ar chart&#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0" cy="2921000"/>
                    </a:xfrm>
                    <a:prstGeom prst="rect">
                      <a:avLst/>
                    </a:prstGeom>
                    <a:noFill/>
                    <a:ln>
                      <a:noFill/>
                    </a:ln>
                  </pic:spPr>
                </pic:pic>
              </a:graphicData>
            </a:graphic>
          </wp:inline>
        </w:drawing>
      </w:r>
    </w:p>
    <w:p w14:paraId="41B95E6E" w14:textId="77777777" w:rsidR="005257B6" w:rsidRPr="001C45A1" w:rsidRDefault="005257B6" w:rsidP="005257B6">
      <w:pPr>
        <w:pStyle w:val="Heading2"/>
        <w:shd w:val="clear" w:color="auto" w:fill="FFFFFF"/>
        <w:spacing w:before="225" w:beforeAutospacing="0" w:after="150" w:afterAutospacing="0" w:line="288" w:lineRule="atLeast"/>
        <w:rPr>
          <w:rFonts w:ascii="BentonSans" w:hAnsi="BentonSans" w:cs="Arial"/>
          <w:b w:val="0"/>
          <w:bCs w:val="0"/>
          <w:color w:val="FF0000"/>
        </w:rPr>
      </w:pPr>
      <w:r w:rsidRPr="001C45A1">
        <w:rPr>
          <w:rFonts w:ascii="BentonSans" w:hAnsi="BentonSans" w:cs="Arial"/>
          <w:b w:val="0"/>
          <w:bCs w:val="0"/>
          <w:color w:val="FF0000"/>
        </w:rPr>
        <w:t>Say on Pay Observations</w:t>
      </w:r>
    </w:p>
    <w:p w14:paraId="7F688ADB" w14:textId="77777777" w:rsidR="005257B6" w:rsidRDefault="005257B6" w:rsidP="005257B6">
      <w:pPr>
        <w:numPr>
          <w:ilvl w:val="0"/>
          <w:numId w:val="3"/>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The current Russell 3000 average vote result of 90.4% is similar to the index’s average vote at this time last year (90.4%); the current S&amp;P 500 average vote result of 88.3% is below the index’s average at this time last year (89.6%</w:t>
      </w:r>
      <w:proofErr w:type="gramStart"/>
      <w:r>
        <w:rPr>
          <w:rFonts w:ascii="Arial" w:hAnsi="Arial" w:cs="Arial"/>
          <w:color w:val="000000"/>
          <w:sz w:val="20"/>
          <w:szCs w:val="20"/>
        </w:rPr>
        <w:t>), and</w:t>
      </w:r>
      <w:proofErr w:type="gramEnd"/>
      <w:r>
        <w:rPr>
          <w:rFonts w:ascii="Arial" w:hAnsi="Arial" w:cs="Arial"/>
          <w:color w:val="000000"/>
          <w:sz w:val="20"/>
          <w:szCs w:val="20"/>
        </w:rPr>
        <w:t xml:space="preserve"> is consistent with the year-end vote result in 2021.</w:t>
      </w:r>
    </w:p>
    <w:p w14:paraId="68A3FF26" w14:textId="77777777" w:rsidR="005257B6" w:rsidRDefault="005257B6" w:rsidP="005257B6">
      <w:pPr>
        <w:numPr>
          <w:ilvl w:val="0"/>
          <w:numId w:val="3"/>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The 210-basis point spread between the current average vote results for the Russell 3000 and S&amp;P 500 is equal to the spread at year-end in 2021; and wider than the 90-basis point spread at this time last year.</w:t>
      </w:r>
    </w:p>
    <w:p w14:paraId="76803DED" w14:textId="77777777" w:rsidR="005257B6" w:rsidRDefault="005257B6" w:rsidP="005257B6">
      <w:pPr>
        <w:numPr>
          <w:ilvl w:val="0"/>
          <w:numId w:val="3"/>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 xml:space="preserve">The failure rates for the Russell 3000 and S&amp;P 500 are lower than the failure rates </w:t>
      </w:r>
      <w:proofErr w:type="gramStart"/>
      <w:r>
        <w:rPr>
          <w:rFonts w:ascii="Arial" w:hAnsi="Arial" w:cs="Arial"/>
          <w:color w:val="000000"/>
          <w:sz w:val="20"/>
          <w:szCs w:val="20"/>
        </w:rPr>
        <w:t>at this time</w:t>
      </w:r>
      <w:proofErr w:type="gramEnd"/>
      <w:r>
        <w:rPr>
          <w:rFonts w:ascii="Arial" w:hAnsi="Arial" w:cs="Arial"/>
          <w:color w:val="000000"/>
          <w:sz w:val="20"/>
          <w:szCs w:val="20"/>
        </w:rPr>
        <w:t xml:space="preserve"> last year: the Russell 3000 is 40 basis points lower at 2.7% and the S&amp;P 500 is 100 basis points lower at 3.4%.</w:t>
      </w:r>
    </w:p>
    <w:p w14:paraId="30D4A73B" w14:textId="0F2C7A40"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Fonts w:ascii="Arial" w:hAnsi="Arial" w:cs="Arial"/>
          <w:noProof/>
          <w:color w:val="B1233D"/>
          <w:sz w:val="20"/>
          <w:szCs w:val="20"/>
        </w:rPr>
        <w:lastRenderedPageBreak/>
        <w:drawing>
          <wp:inline distT="0" distB="0" distL="0" distR="0" wp14:anchorId="23CBAB4F" wp14:editId="7BA54A9E">
            <wp:extent cx="6629400" cy="4494530"/>
            <wp:effectExtent l="0" t="0" r="0" b="1270"/>
            <wp:docPr id="11" name="Picture 11" descr="Timeline&#10;&#10;Description automatically generated with low confiden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low confidenc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0" cy="4494530"/>
                    </a:xfrm>
                    <a:prstGeom prst="rect">
                      <a:avLst/>
                    </a:prstGeom>
                    <a:noFill/>
                    <a:ln>
                      <a:noFill/>
                    </a:ln>
                  </pic:spPr>
                </pic:pic>
              </a:graphicData>
            </a:graphic>
          </wp:inline>
        </w:drawing>
      </w:r>
    </w:p>
    <w:p w14:paraId="69205F44" w14:textId="17C73E51"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Fonts w:ascii="Arial" w:hAnsi="Arial" w:cs="Arial"/>
          <w:noProof/>
          <w:color w:val="B1233D"/>
          <w:sz w:val="20"/>
          <w:szCs w:val="20"/>
        </w:rPr>
        <w:drawing>
          <wp:inline distT="0" distB="0" distL="0" distR="0" wp14:anchorId="5777B17E" wp14:editId="0882AA2D">
            <wp:extent cx="6629400" cy="2891790"/>
            <wp:effectExtent l="0" t="0" r="0" b="3810"/>
            <wp:docPr id="10" name="Picture 10" descr="Chart, bar char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9400" cy="2891790"/>
                    </a:xfrm>
                    <a:prstGeom prst="rect">
                      <a:avLst/>
                    </a:prstGeom>
                    <a:noFill/>
                    <a:ln>
                      <a:noFill/>
                    </a:ln>
                  </pic:spPr>
                </pic:pic>
              </a:graphicData>
            </a:graphic>
          </wp:inline>
        </w:drawing>
      </w:r>
    </w:p>
    <w:p w14:paraId="19F3B5EE" w14:textId="77777777" w:rsidR="005257B6" w:rsidRPr="001C45A1" w:rsidRDefault="005257B6" w:rsidP="005257B6">
      <w:pPr>
        <w:pStyle w:val="Heading2"/>
        <w:shd w:val="clear" w:color="auto" w:fill="FFFFFF"/>
        <w:spacing w:before="225" w:beforeAutospacing="0" w:after="150" w:afterAutospacing="0" w:line="288" w:lineRule="atLeast"/>
        <w:rPr>
          <w:rFonts w:ascii="BentonSans" w:hAnsi="BentonSans" w:cs="Arial"/>
          <w:b w:val="0"/>
          <w:bCs w:val="0"/>
          <w:color w:val="FF0000"/>
        </w:rPr>
      </w:pPr>
      <w:r w:rsidRPr="001C45A1">
        <w:rPr>
          <w:rFonts w:ascii="BentonSans" w:hAnsi="BentonSans" w:cs="Arial"/>
          <w:b w:val="0"/>
          <w:bCs w:val="0"/>
          <w:color w:val="FF0000"/>
        </w:rPr>
        <w:t>ISS Recommendation Rate Observations</w:t>
      </w:r>
    </w:p>
    <w:p w14:paraId="35973976" w14:textId="77777777" w:rsidR="005257B6" w:rsidRDefault="005257B6" w:rsidP="005257B6">
      <w:pPr>
        <w:numPr>
          <w:ilvl w:val="0"/>
          <w:numId w:val="4"/>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10.0% of Russell 3000 and 10.8% of S&amp;P 500 companies have received an ISS “Against” recommendation thus far in 2022.</w:t>
      </w:r>
    </w:p>
    <w:p w14:paraId="05844115" w14:textId="77777777" w:rsidR="005257B6" w:rsidRDefault="005257B6" w:rsidP="005257B6">
      <w:pPr>
        <w:numPr>
          <w:ilvl w:val="0"/>
          <w:numId w:val="4"/>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lastRenderedPageBreak/>
        <w:t>The Russell 3000 “Against” rate is 130 basis points lower than the rate observed last year, and the S&amp;P 500 “Against” rate is 30 basis points lower.</w:t>
      </w:r>
    </w:p>
    <w:p w14:paraId="3DC1749B" w14:textId="77777777" w:rsidR="005257B6" w:rsidRDefault="005257B6" w:rsidP="005257B6">
      <w:pPr>
        <w:numPr>
          <w:ilvl w:val="0"/>
          <w:numId w:val="4"/>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The average Say on Pay vote result for Russell 3000 and S&amp;P 500 companies that received an ISS “Against” recommendation is 34 and 36 percentage points lower than for companies that received an ISS “For” recommendation, respectively.</w:t>
      </w:r>
    </w:p>
    <w:p w14:paraId="41A33E11" w14:textId="4DFCD8BC"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Fonts w:ascii="Arial" w:hAnsi="Arial" w:cs="Arial"/>
          <w:noProof/>
          <w:color w:val="B1233D"/>
          <w:sz w:val="20"/>
          <w:szCs w:val="20"/>
        </w:rPr>
        <w:drawing>
          <wp:inline distT="0" distB="0" distL="0" distR="0" wp14:anchorId="25E1144E" wp14:editId="07CC91AA">
            <wp:extent cx="6629400" cy="4140200"/>
            <wp:effectExtent l="0" t="0" r="0" b="0"/>
            <wp:docPr id="9" name="Picture 9" descr="Chart, line chart&#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29400" cy="4140200"/>
                    </a:xfrm>
                    <a:prstGeom prst="rect">
                      <a:avLst/>
                    </a:prstGeom>
                    <a:noFill/>
                    <a:ln>
                      <a:noFill/>
                    </a:ln>
                  </pic:spPr>
                </pic:pic>
              </a:graphicData>
            </a:graphic>
          </wp:inline>
        </w:drawing>
      </w:r>
    </w:p>
    <w:p w14:paraId="2E90F143" w14:textId="08EA38C1"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Fonts w:ascii="Arial" w:hAnsi="Arial" w:cs="Arial"/>
          <w:noProof/>
          <w:color w:val="B1233D"/>
          <w:sz w:val="20"/>
          <w:szCs w:val="20"/>
        </w:rPr>
        <w:drawing>
          <wp:inline distT="0" distB="0" distL="0" distR="0" wp14:anchorId="46D4AC88" wp14:editId="2CFD3515">
            <wp:extent cx="6629400" cy="2388235"/>
            <wp:effectExtent l="0" t="0" r="0" b="0"/>
            <wp:docPr id="8" name="Picture 8" descr="Chart&#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29400" cy="2388235"/>
                    </a:xfrm>
                    <a:prstGeom prst="rect">
                      <a:avLst/>
                    </a:prstGeom>
                    <a:noFill/>
                    <a:ln>
                      <a:noFill/>
                    </a:ln>
                  </pic:spPr>
                </pic:pic>
              </a:graphicData>
            </a:graphic>
          </wp:inline>
        </w:drawing>
      </w:r>
    </w:p>
    <w:p w14:paraId="09845E13" w14:textId="05C74757"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Fonts w:ascii="Arial" w:hAnsi="Arial" w:cs="Arial"/>
          <w:noProof/>
          <w:color w:val="B1233D"/>
          <w:sz w:val="20"/>
          <w:szCs w:val="20"/>
        </w:rPr>
        <w:lastRenderedPageBreak/>
        <w:drawing>
          <wp:inline distT="0" distB="0" distL="0" distR="0" wp14:anchorId="67EBC016" wp14:editId="0272B646">
            <wp:extent cx="6629400" cy="4455160"/>
            <wp:effectExtent l="0" t="0" r="0" b="2540"/>
            <wp:docPr id="7" name="Picture 7" descr="Tab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29400" cy="4455160"/>
                    </a:xfrm>
                    <a:prstGeom prst="rect">
                      <a:avLst/>
                    </a:prstGeom>
                    <a:noFill/>
                    <a:ln>
                      <a:noFill/>
                    </a:ln>
                  </pic:spPr>
                </pic:pic>
              </a:graphicData>
            </a:graphic>
          </wp:inline>
        </w:drawing>
      </w:r>
    </w:p>
    <w:p w14:paraId="3619C45D" w14:textId="77777777" w:rsidR="005257B6" w:rsidRDefault="005257B6" w:rsidP="005257B6">
      <w:pPr>
        <w:numPr>
          <w:ilvl w:val="0"/>
          <w:numId w:val="5"/>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Thus far in the 2022 proxy season, shareholders have voted on 80 social proposals and 25 environmental proposals</w:t>
      </w:r>
    </w:p>
    <w:p w14:paraId="158EE5E0" w14:textId="77777777" w:rsidR="005257B6" w:rsidRDefault="005257B6" w:rsidP="005257B6">
      <w:pPr>
        <w:numPr>
          <w:ilvl w:val="0"/>
          <w:numId w:val="5"/>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Median vote support is 25% for social and 26% for environmental proposals, respectively.</w:t>
      </w:r>
    </w:p>
    <w:p w14:paraId="26157DCC" w14:textId="77777777" w:rsidR="005257B6" w:rsidRDefault="005257B6" w:rsidP="005257B6">
      <w:pPr>
        <w:numPr>
          <w:ilvl w:val="0"/>
          <w:numId w:val="5"/>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Six social proposals (10%) and three environmental proposals (18%) have received greater than 50% support thus far in 2022.</w:t>
      </w:r>
    </w:p>
    <w:p w14:paraId="2187B029" w14:textId="77777777" w:rsidR="005257B6" w:rsidRDefault="005257B6" w:rsidP="005257B6">
      <w:pPr>
        <w:numPr>
          <w:ilvl w:val="0"/>
          <w:numId w:val="5"/>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When compared to the same period as last year, the rate of social and environmental proposals that received greater than 50% support has decreased by 11 percentage points and 20 percentage points, respectively.</w:t>
      </w:r>
    </w:p>
    <w:p w14:paraId="6D7DDF72" w14:textId="2B5C1315"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Fonts w:ascii="Arial" w:hAnsi="Arial" w:cs="Arial"/>
          <w:noProof/>
          <w:color w:val="B1233D"/>
          <w:sz w:val="20"/>
          <w:szCs w:val="20"/>
        </w:rPr>
        <w:lastRenderedPageBreak/>
        <w:drawing>
          <wp:inline distT="0" distB="0" distL="0" distR="0" wp14:anchorId="5A34EE4C" wp14:editId="09FF89F4">
            <wp:extent cx="6629400" cy="4099560"/>
            <wp:effectExtent l="0" t="0" r="0" b="0"/>
            <wp:docPr id="6" name="Picture 6" descr="Chart, bar chart&#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29400" cy="4099560"/>
                    </a:xfrm>
                    <a:prstGeom prst="rect">
                      <a:avLst/>
                    </a:prstGeom>
                    <a:noFill/>
                    <a:ln>
                      <a:noFill/>
                    </a:ln>
                  </pic:spPr>
                </pic:pic>
              </a:graphicData>
            </a:graphic>
          </wp:inline>
        </w:drawing>
      </w:r>
    </w:p>
    <w:p w14:paraId="10F20E5B" w14:textId="20E6A6AE"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Fonts w:ascii="Arial" w:hAnsi="Arial" w:cs="Arial"/>
          <w:noProof/>
          <w:color w:val="B1233D"/>
          <w:sz w:val="20"/>
          <w:szCs w:val="20"/>
        </w:rPr>
        <w:drawing>
          <wp:inline distT="0" distB="0" distL="0" distR="0" wp14:anchorId="3BA6BF70" wp14:editId="07BAB60C">
            <wp:extent cx="6629400" cy="4054475"/>
            <wp:effectExtent l="0" t="0" r="0" b="3175"/>
            <wp:docPr id="5" name="Picture 5" descr="Chart, bar chart, histogram&#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 histogram&#10;&#10;Description automatically generated">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29400" cy="4054475"/>
                    </a:xfrm>
                    <a:prstGeom prst="rect">
                      <a:avLst/>
                    </a:prstGeom>
                    <a:noFill/>
                    <a:ln>
                      <a:noFill/>
                    </a:ln>
                  </pic:spPr>
                </pic:pic>
              </a:graphicData>
            </a:graphic>
          </wp:inline>
        </w:drawing>
      </w:r>
    </w:p>
    <w:p w14:paraId="31E359F3" w14:textId="77777777" w:rsidR="001C45A1" w:rsidRDefault="001C45A1" w:rsidP="001C45A1">
      <w:pPr>
        <w:pStyle w:val="NormalWeb"/>
        <w:shd w:val="clear" w:color="auto" w:fill="FFFFFF"/>
        <w:spacing w:before="60" w:beforeAutospacing="0" w:after="180" w:afterAutospacing="0" w:line="336" w:lineRule="atLeast"/>
        <w:jc w:val="both"/>
        <w:rPr>
          <w:rStyle w:val="Strong"/>
          <w:rFonts w:ascii="Arial" w:hAnsi="Arial"/>
          <w:b w:val="0"/>
          <w:bCs w:val="0"/>
          <w:sz w:val="20"/>
          <w:szCs w:val="20"/>
          <w:highlight w:val="yellow"/>
        </w:rPr>
      </w:pPr>
    </w:p>
    <w:p w14:paraId="311D68F0" w14:textId="4592F58F" w:rsidR="005257B6" w:rsidRPr="001C45A1" w:rsidRDefault="005257B6" w:rsidP="001C45A1">
      <w:pPr>
        <w:pStyle w:val="NormalWeb"/>
        <w:shd w:val="clear" w:color="auto" w:fill="FFFFFF"/>
        <w:spacing w:before="60" w:beforeAutospacing="0" w:after="180" w:afterAutospacing="0" w:line="336" w:lineRule="atLeast"/>
        <w:jc w:val="both"/>
        <w:rPr>
          <w:rStyle w:val="Strong"/>
          <w:rFonts w:ascii="Arial" w:hAnsi="Arial"/>
          <w:sz w:val="20"/>
          <w:szCs w:val="20"/>
        </w:rPr>
      </w:pPr>
      <w:r w:rsidRPr="001C45A1">
        <w:rPr>
          <w:rStyle w:val="Strong"/>
          <w:rFonts w:ascii="Arial" w:hAnsi="Arial"/>
          <w:b w:val="0"/>
          <w:bCs w:val="0"/>
          <w:sz w:val="20"/>
          <w:szCs w:val="20"/>
          <w:highlight w:val="yellow"/>
        </w:rPr>
        <w:lastRenderedPageBreak/>
        <w:t>Spotlight: Waste Management</w:t>
      </w:r>
    </w:p>
    <w:p w14:paraId="504F9BA6" w14:textId="77777777"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Style w:val="Strong"/>
          <w:rFonts w:ascii="Arial" w:hAnsi="Arial" w:cs="Arial"/>
          <w:color w:val="000000"/>
          <w:sz w:val="20"/>
          <w:szCs w:val="20"/>
        </w:rPr>
        <w:t>A shareholder submitted a proposal requesting that Waste Management oversee and report a third-party civil rights audit.</w:t>
      </w:r>
    </w:p>
    <w:p w14:paraId="19130EB1" w14:textId="77777777"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Style w:val="Emphasis"/>
          <w:rFonts w:ascii="Arial" w:hAnsi="Arial" w:cs="Arial"/>
          <w:color w:val="000000"/>
          <w:sz w:val="20"/>
          <w:szCs w:val="20"/>
        </w:rPr>
        <w:t>The proposal passed with 54% vote support.</w:t>
      </w:r>
    </w:p>
    <w:p w14:paraId="0B27588C" w14:textId="77777777" w:rsidR="005257B6" w:rsidRDefault="005257B6" w:rsidP="005257B6">
      <w:pPr>
        <w:numPr>
          <w:ilvl w:val="0"/>
          <w:numId w:val="6"/>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The proponent requested that the Company report on an independent audit analyzing the adverse impacts of business practices on the civil rights of its stakeholders.</w:t>
      </w:r>
    </w:p>
    <w:p w14:paraId="7F7CA7D5" w14:textId="77777777" w:rsidR="005257B6" w:rsidRDefault="005257B6" w:rsidP="005257B6">
      <w:pPr>
        <w:numPr>
          <w:ilvl w:val="0"/>
          <w:numId w:val="6"/>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ISS recommend a vote “For” the proposal and noted it would allow shareholders to better understand how the company is managing related risks from gender and racial equity issues.</w:t>
      </w:r>
    </w:p>
    <w:p w14:paraId="6C3F8053" w14:textId="77777777" w:rsidR="005257B6" w:rsidRDefault="005257B6" w:rsidP="005257B6">
      <w:pPr>
        <w:numPr>
          <w:ilvl w:val="0"/>
          <w:numId w:val="6"/>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 xml:space="preserve">The proponent stated that Covid-19 and recent racial </w:t>
      </w:r>
      <w:proofErr w:type="gramStart"/>
      <w:r>
        <w:rPr>
          <w:rFonts w:ascii="Arial" w:hAnsi="Arial" w:cs="Arial"/>
          <w:color w:val="000000"/>
          <w:sz w:val="20"/>
          <w:szCs w:val="20"/>
        </w:rPr>
        <w:t>justice  movements</w:t>
      </w:r>
      <w:proofErr w:type="gramEnd"/>
      <w:r>
        <w:rPr>
          <w:rFonts w:ascii="Arial" w:hAnsi="Arial" w:cs="Arial"/>
          <w:color w:val="000000"/>
          <w:sz w:val="20"/>
          <w:szCs w:val="20"/>
        </w:rPr>
        <w:t xml:space="preserve"> have directed greater attention to gender and racial equity issues. They note that while the Company has stated they are proponents of diversity, equity, and inclusion, some of their policies and practices do not reflect this (i.e., lack of metrics attached to statement of increasing diversity representation by 2023).</w:t>
      </w:r>
    </w:p>
    <w:p w14:paraId="5B2AEA5C" w14:textId="77777777" w:rsidR="005257B6" w:rsidRDefault="005257B6" w:rsidP="005257B6">
      <w:pPr>
        <w:numPr>
          <w:ilvl w:val="0"/>
          <w:numId w:val="6"/>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The Board stated that the Company plans to disclose two substantial ESG initiatives. They also noted that they engaged a consulting firm that conducted an ESG assessment and evaluated progress against goals. The Board argued that undertaking a civil rights audit may delay progress on the initiatives already underway.</w:t>
      </w:r>
    </w:p>
    <w:p w14:paraId="186DAF27" w14:textId="77777777" w:rsidR="005257B6" w:rsidRPr="001C45A1" w:rsidRDefault="005257B6" w:rsidP="005257B6">
      <w:pPr>
        <w:pStyle w:val="Heading2"/>
        <w:shd w:val="clear" w:color="auto" w:fill="FFFFFF"/>
        <w:spacing w:before="225" w:beforeAutospacing="0" w:after="150" w:afterAutospacing="0" w:line="288" w:lineRule="atLeast"/>
        <w:rPr>
          <w:rFonts w:ascii="BentonSans" w:hAnsi="BentonSans" w:cs="Arial"/>
          <w:b w:val="0"/>
          <w:bCs w:val="0"/>
          <w:color w:val="FF0000"/>
        </w:rPr>
      </w:pPr>
      <w:r w:rsidRPr="001C45A1">
        <w:rPr>
          <w:rFonts w:ascii="BentonSans" w:hAnsi="BentonSans" w:cs="Arial"/>
          <w:b w:val="0"/>
          <w:bCs w:val="0"/>
          <w:color w:val="FF0000"/>
        </w:rPr>
        <w:t>Director Election Observations</w:t>
      </w:r>
    </w:p>
    <w:p w14:paraId="42E53BF1" w14:textId="77777777" w:rsidR="005257B6" w:rsidRDefault="005257B6" w:rsidP="005257B6">
      <w:pPr>
        <w:numPr>
          <w:ilvl w:val="0"/>
          <w:numId w:val="7"/>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 xml:space="preserve">Average </w:t>
      </w:r>
      <w:proofErr w:type="spellStart"/>
      <w:r>
        <w:rPr>
          <w:rFonts w:ascii="Arial" w:hAnsi="Arial" w:cs="Arial"/>
          <w:color w:val="000000"/>
          <w:sz w:val="20"/>
          <w:szCs w:val="20"/>
        </w:rPr>
        <w:t>vote</w:t>
      </w:r>
      <w:proofErr w:type="spellEnd"/>
      <w:r>
        <w:rPr>
          <w:rFonts w:ascii="Arial" w:hAnsi="Arial" w:cs="Arial"/>
          <w:color w:val="000000"/>
          <w:sz w:val="20"/>
          <w:szCs w:val="20"/>
        </w:rPr>
        <w:t xml:space="preserve"> support for Director nominees of 95.3% thus far in 2022 is 20 basis points higher than the year-end support observed in 2021.</w:t>
      </w:r>
    </w:p>
    <w:p w14:paraId="6F395F0B" w14:textId="77777777" w:rsidR="005257B6" w:rsidRDefault="005257B6" w:rsidP="005257B6">
      <w:pPr>
        <w:numPr>
          <w:ilvl w:val="0"/>
          <w:numId w:val="7"/>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Over the past five years, average Director election vote support at companies that received a Say on Pay vote below 50% in the prior year is six percentage points lower than at companies that received above 70% support.</w:t>
      </w:r>
    </w:p>
    <w:p w14:paraId="070028AD" w14:textId="77777777" w:rsidR="005257B6" w:rsidRDefault="005257B6" w:rsidP="005257B6">
      <w:pPr>
        <w:numPr>
          <w:ilvl w:val="0"/>
          <w:numId w:val="7"/>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 xml:space="preserve">Average </w:t>
      </w:r>
      <w:proofErr w:type="spellStart"/>
      <w:r>
        <w:rPr>
          <w:rFonts w:ascii="Arial" w:hAnsi="Arial" w:cs="Arial"/>
          <w:color w:val="000000"/>
          <w:sz w:val="20"/>
          <w:szCs w:val="20"/>
        </w:rPr>
        <w:t>vote</w:t>
      </w:r>
      <w:proofErr w:type="spellEnd"/>
      <w:r>
        <w:rPr>
          <w:rFonts w:ascii="Arial" w:hAnsi="Arial" w:cs="Arial"/>
          <w:color w:val="000000"/>
          <w:sz w:val="20"/>
          <w:szCs w:val="20"/>
        </w:rPr>
        <w:t xml:space="preserve"> support for female Director nominees is 110 basis points higher than average support for male nominees, which is trending </w:t>
      </w:r>
      <w:proofErr w:type="gramStart"/>
      <w:r>
        <w:rPr>
          <w:rFonts w:ascii="Arial" w:hAnsi="Arial" w:cs="Arial"/>
          <w:color w:val="000000"/>
          <w:sz w:val="20"/>
          <w:szCs w:val="20"/>
        </w:rPr>
        <w:t>similar to</w:t>
      </w:r>
      <w:proofErr w:type="gramEnd"/>
      <w:r>
        <w:rPr>
          <w:rFonts w:ascii="Arial" w:hAnsi="Arial" w:cs="Arial"/>
          <w:color w:val="000000"/>
          <w:sz w:val="20"/>
          <w:szCs w:val="20"/>
        </w:rPr>
        <w:t xml:space="preserve"> previous years at this point in the season.</w:t>
      </w:r>
    </w:p>
    <w:p w14:paraId="2C253C1B" w14:textId="2B6E1665"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Fonts w:ascii="Arial" w:hAnsi="Arial" w:cs="Arial"/>
          <w:noProof/>
          <w:color w:val="B1233D"/>
          <w:sz w:val="20"/>
          <w:szCs w:val="20"/>
        </w:rPr>
        <w:lastRenderedPageBreak/>
        <w:drawing>
          <wp:inline distT="0" distB="0" distL="0" distR="0" wp14:anchorId="070AFFC3" wp14:editId="70DEB90D">
            <wp:extent cx="6000750" cy="5210175"/>
            <wp:effectExtent l="0" t="0" r="0" b="9525"/>
            <wp:docPr id="4" name="Picture 4" descr="Chart, bar chart&#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00750" cy="5210175"/>
                    </a:xfrm>
                    <a:prstGeom prst="rect">
                      <a:avLst/>
                    </a:prstGeom>
                    <a:noFill/>
                    <a:ln>
                      <a:noFill/>
                    </a:ln>
                  </pic:spPr>
                </pic:pic>
              </a:graphicData>
            </a:graphic>
          </wp:inline>
        </w:drawing>
      </w:r>
    </w:p>
    <w:p w14:paraId="2B7FA7AF" w14:textId="0B9D5527"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Fonts w:ascii="Arial" w:hAnsi="Arial" w:cs="Arial"/>
          <w:noProof/>
          <w:color w:val="B1233D"/>
          <w:sz w:val="20"/>
          <w:szCs w:val="20"/>
        </w:rPr>
        <w:drawing>
          <wp:inline distT="0" distB="0" distL="0" distR="0" wp14:anchorId="4C0287AC" wp14:editId="7C19FA1E">
            <wp:extent cx="6629400" cy="3337560"/>
            <wp:effectExtent l="0" t="0" r="0" b="0"/>
            <wp:docPr id="3" name="Picture 3" descr="Chart, bar chart&#10;&#10;Description automatically generate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29400" cy="3337560"/>
                    </a:xfrm>
                    <a:prstGeom prst="rect">
                      <a:avLst/>
                    </a:prstGeom>
                    <a:noFill/>
                    <a:ln>
                      <a:noFill/>
                    </a:ln>
                  </pic:spPr>
                </pic:pic>
              </a:graphicData>
            </a:graphic>
          </wp:inline>
        </w:drawing>
      </w:r>
    </w:p>
    <w:p w14:paraId="5B50B02D" w14:textId="77777777" w:rsidR="005257B6" w:rsidRDefault="005257B6" w:rsidP="005257B6">
      <w:pPr>
        <w:numPr>
          <w:ilvl w:val="0"/>
          <w:numId w:val="8"/>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lastRenderedPageBreak/>
        <w:t xml:space="preserve">Average </w:t>
      </w:r>
      <w:proofErr w:type="spellStart"/>
      <w:r>
        <w:rPr>
          <w:rFonts w:ascii="Arial" w:hAnsi="Arial" w:cs="Arial"/>
          <w:color w:val="000000"/>
          <w:sz w:val="20"/>
          <w:szCs w:val="20"/>
        </w:rPr>
        <w:t>vote</w:t>
      </w:r>
      <w:proofErr w:type="spellEnd"/>
      <w:r>
        <w:rPr>
          <w:rFonts w:ascii="Arial" w:hAnsi="Arial" w:cs="Arial"/>
          <w:color w:val="000000"/>
          <w:sz w:val="20"/>
          <w:szCs w:val="20"/>
        </w:rPr>
        <w:t xml:space="preserve"> support for equity proposals thus far in the proxy season (91.0%) is 60 basis points higher than the average </w:t>
      </w:r>
      <w:proofErr w:type="spellStart"/>
      <w:r>
        <w:rPr>
          <w:rFonts w:ascii="Arial" w:hAnsi="Arial" w:cs="Arial"/>
          <w:color w:val="000000"/>
          <w:sz w:val="20"/>
          <w:szCs w:val="20"/>
        </w:rPr>
        <w:t>vote</w:t>
      </w:r>
      <w:proofErr w:type="spellEnd"/>
      <w:r>
        <w:rPr>
          <w:rFonts w:ascii="Arial" w:hAnsi="Arial" w:cs="Arial"/>
          <w:color w:val="000000"/>
          <w:sz w:val="20"/>
          <w:szCs w:val="20"/>
        </w:rPr>
        <w:t xml:space="preserve"> support observed at this time last year (90.4%).</w:t>
      </w:r>
    </w:p>
    <w:p w14:paraId="418392C0" w14:textId="77777777" w:rsidR="005257B6" w:rsidRDefault="005257B6" w:rsidP="005257B6">
      <w:pPr>
        <w:numPr>
          <w:ilvl w:val="0"/>
          <w:numId w:val="8"/>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No proposals have received vote support below 50% thus far in 2022.</w:t>
      </w:r>
    </w:p>
    <w:p w14:paraId="6FA1B8DF" w14:textId="77777777" w:rsidR="005257B6" w:rsidRDefault="005257B6" w:rsidP="005257B6">
      <w:pPr>
        <w:numPr>
          <w:ilvl w:val="0"/>
          <w:numId w:val="8"/>
        </w:numPr>
        <w:shd w:val="clear" w:color="auto" w:fill="FFFFFF"/>
        <w:spacing w:before="120" w:after="120" w:line="336" w:lineRule="atLeast"/>
        <w:rPr>
          <w:rFonts w:ascii="Arial" w:hAnsi="Arial" w:cs="Arial"/>
          <w:color w:val="000000"/>
          <w:sz w:val="20"/>
          <w:szCs w:val="20"/>
        </w:rPr>
      </w:pPr>
      <w:r>
        <w:rPr>
          <w:rFonts w:ascii="Arial" w:hAnsi="Arial" w:cs="Arial"/>
          <w:color w:val="000000"/>
          <w:sz w:val="20"/>
          <w:szCs w:val="20"/>
        </w:rPr>
        <w:t>The correlation between vote support for equity plan proposals and Say on Pay has been weaker in 2022 than in previous years.</w:t>
      </w:r>
    </w:p>
    <w:p w14:paraId="2A3E3D26" w14:textId="56500812"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Fonts w:ascii="Arial" w:hAnsi="Arial" w:cs="Arial"/>
          <w:noProof/>
          <w:color w:val="B1233D"/>
          <w:sz w:val="20"/>
          <w:szCs w:val="20"/>
        </w:rPr>
        <w:drawing>
          <wp:inline distT="0" distB="0" distL="0" distR="0" wp14:anchorId="181BB54B" wp14:editId="3559EFC4">
            <wp:extent cx="6629400" cy="2769870"/>
            <wp:effectExtent l="0" t="0" r="0" b="0"/>
            <wp:docPr id="2" name="Picture 2" descr="Table&#10;&#10;Description automatically generated with low confidenc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low confidence">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29400" cy="2769870"/>
                    </a:xfrm>
                    <a:prstGeom prst="rect">
                      <a:avLst/>
                    </a:prstGeom>
                    <a:noFill/>
                    <a:ln>
                      <a:noFill/>
                    </a:ln>
                  </pic:spPr>
                </pic:pic>
              </a:graphicData>
            </a:graphic>
          </wp:inline>
        </w:drawing>
      </w:r>
    </w:p>
    <w:p w14:paraId="30BC9147" w14:textId="7B0470E7" w:rsidR="005257B6" w:rsidRDefault="005257B6" w:rsidP="005257B6">
      <w:pPr>
        <w:pStyle w:val="NormalWeb"/>
        <w:shd w:val="clear" w:color="auto" w:fill="FFFFFF"/>
        <w:spacing w:before="60" w:beforeAutospacing="0" w:after="180" w:afterAutospacing="0" w:line="336" w:lineRule="atLeast"/>
        <w:jc w:val="both"/>
        <w:rPr>
          <w:rFonts w:ascii="Arial" w:hAnsi="Arial" w:cs="Arial"/>
          <w:color w:val="000000"/>
          <w:sz w:val="20"/>
          <w:szCs w:val="20"/>
        </w:rPr>
      </w:pPr>
      <w:r>
        <w:rPr>
          <w:rFonts w:ascii="Arial" w:hAnsi="Arial" w:cs="Arial"/>
          <w:noProof/>
          <w:color w:val="B1233D"/>
          <w:sz w:val="20"/>
          <w:szCs w:val="20"/>
        </w:rPr>
        <w:drawing>
          <wp:inline distT="0" distB="0" distL="0" distR="0" wp14:anchorId="7A06AF9F" wp14:editId="779DC7BC">
            <wp:extent cx="6629400" cy="2449195"/>
            <wp:effectExtent l="0" t="0" r="0" b="8255"/>
            <wp:docPr id="1" name="Picture 1" descr="Chart, bar chart&#10;&#10;Description automatically generate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29400" cy="2449195"/>
                    </a:xfrm>
                    <a:prstGeom prst="rect">
                      <a:avLst/>
                    </a:prstGeom>
                    <a:noFill/>
                    <a:ln>
                      <a:noFill/>
                    </a:ln>
                  </pic:spPr>
                </pic:pic>
              </a:graphicData>
            </a:graphic>
          </wp:inline>
        </w:drawing>
      </w:r>
    </w:p>
    <w:p w14:paraId="21E1CF8F" w14:textId="039087DE" w:rsidR="00445C48" w:rsidRPr="005257B6" w:rsidRDefault="00445C48" w:rsidP="005257B6"/>
    <w:sectPr w:rsidR="00445C48" w:rsidRPr="005257B6" w:rsidSect="000765EA">
      <w:pgSz w:w="12240" w:h="15840"/>
      <w:pgMar w:top="72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nton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43BA"/>
    <w:multiLevelType w:val="multilevel"/>
    <w:tmpl w:val="E71C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D75E8"/>
    <w:multiLevelType w:val="multilevel"/>
    <w:tmpl w:val="197A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C8226A"/>
    <w:multiLevelType w:val="multilevel"/>
    <w:tmpl w:val="038A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24AC7"/>
    <w:multiLevelType w:val="multilevel"/>
    <w:tmpl w:val="CFDC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4D799F"/>
    <w:multiLevelType w:val="multilevel"/>
    <w:tmpl w:val="4E5A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C4991"/>
    <w:multiLevelType w:val="multilevel"/>
    <w:tmpl w:val="F3AC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376344"/>
    <w:multiLevelType w:val="multilevel"/>
    <w:tmpl w:val="DEA2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558A0"/>
    <w:multiLevelType w:val="multilevel"/>
    <w:tmpl w:val="5132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747833">
    <w:abstractNumId w:val="5"/>
  </w:num>
  <w:num w:numId="2" w16cid:durableId="1626765234">
    <w:abstractNumId w:val="1"/>
  </w:num>
  <w:num w:numId="3" w16cid:durableId="721175165">
    <w:abstractNumId w:val="6"/>
  </w:num>
  <w:num w:numId="4" w16cid:durableId="2145928494">
    <w:abstractNumId w:val="3"/>
  </w:num>
  <w:num w:numId="5" w16cid:durableId="1112093369">
    <w:abstractNumId w:val="2"/>
  </w:num>
  <w:num w:numId="6" w16cid:durableId="397287143">
    <w:abstractNumId w:val="0"/>
  </w:num>
  <w:num w:numId="7" w16cid:durableId="1074083617">
    <w:abstractNumId w:val="4"/>
  </w:num>
  <w:num w:numId="8" w16cid:durableId="421221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EA"/>
    <w:rsid w:val="000765EA"/>
    <w:rsid w:val="001C45A1"/>
    <w:rsid w:val="00445C48"/>
    <w:rsid w:val="005257B6"/>
    <w:rsid w:val="00D3065C"/>
    <w:rsid w:val="00FF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9270"/>
  <w15:chartTrackingRefBased/>
  <w15:docId w15:val="{929EDA77-731D-4FEE-BD46-7FF4D143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65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65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65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5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65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65E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765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65EA"/>
    <w:rPr>
      <w:color w:val="0000FF"/>
      <w:u w:val="single"/>
    </w:rPr>
  </w:style>
  <w:style w:type="character" w:styleId="Strong">
    <w:name w:val="Strong"/>
    <w:basedOn w:val="DefaultParagraphFont"/>
    <w:uiPriority w:val="22"/>
    <w:qFormat/>
    <w:rsid w:val="000765EA"/>
    <w:rPr>
      <w:b/>
      <w:bCs/>
    </w:rPr>
  </w:style>
  <w:style w:type="paragraph" w:customStyle="1" w:styleId="Default">
    <w:name w:val="Default"/>
    <w:rsid w:val="00FF4D2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257B6"/>
    <w:rPr>
      <w:i/>
      <w:iCs/>
    </w:rPr>
  </w:style>
  <w:style w:type="character" w:customStyle="1" w:styleId="comments-link">
    <w:name w:val="comments-link"/>
    <w:basedOn w:val="DefaultParagraphFont"/>
    <w:rsid w:val="005257B6"/>
  </w:style>
  <w:style w:type="character" w:customStyle="1" w:styleId="print-button">
    <w:name w:val="print-button"/>
    <w:basedOn w:val="DefaultParagraphFont"/>
    <w:rsid w:val="005257B6"/>
  </w:style>
  <w:style w:type="character" w:customStyle="1" w:styleId="email-button">
    <w:name w:val="email-button"/>
    <w:basedOn w:val="DefaultParagraphFont"/>
    <w:rsid w:val="0052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1600">
      <w:bodyDiv w:val="1"/>
      <w:marLeft w:val="0"/>
      <w:marRight w:val="0"/>
      <w:marTop w:val="0"/>
      <w:marBottom w:val="0"/>
      <w:divBdr>
        <w:top w:val="none" w:sz="0" w:space="0" w:color="auto"/>
        <w:left w:val="none" w:sz="0" w:space="0" w:color="auto"/>
        <w:bottom w:val="none" w:sz="0" w:space="0" w:color="auto"/>
        <w:right w:val="none" w:sz="0" w:space="0" w:color="auto"/>
      </w:divBdr>
      <w:divsChild>
        <w:div w:id="1157460917">
          <w:marLeft w:val="0"/>
          <w:marRight w:val="0"/>
          <w:marTop w:val="0"/>
          <w:marBottom w:val="0"/>
          <w:divBdr>
            <w:top w:val="none" w:sz="0" w:space="0" w:color="auto"/>
            <w:left w:val="none" w:sz="0" w:space="0" w:color="auto"/>
            <w:bottom w:val="none" w:sz="0" w:space="0" w:color="auto"/>
            <w:right w:val="none" w:sz="0" w:space="0" w:color="auto"/>
          </w:divBdr>
          <w:divsChild>
            <w:div w:id="977808530">
              <w:marLeft w:val="0"/>
              <w:marRight w:val="0"/>
              <w:marTop w:val="75"/>
              <w:marBottom w:val="0"/>
              <w:divBdr>
                <w:top w:val="none" w:sz="0" w:space="0" w:color="auto"/>
                <w:left w:val="none" w:sz="0" w:space="0" w:color="auto"/>
                <w:bottom w:val="none" w:sz="0" w:space="0" w:color="auto"/>
                <w:right w:val="none" w:sz="0" w:space="0" w:color="auto"/>
              </w:divBdr>
              <w:divsChild>
                <w:div w:id="272203041">
                  <w:marLeft w:val="0"/>
                  <w:marRight w:val="0"/>
                  <w:marTop w:val="0"/>
                  <w:marBottom w:val="0"/>
                  <w:divBdr>
                    <w:top w:val="none" w:sz="0" w:space="0" w:color="auto"/>
                    <w:left w:val="none" w:sz="0" w:space="0" w:color="auto"/>
                    <w:bottom w:val="none" w:sz="0" w:space="0" w:color="auto"/>
                    <w:right w:val="none" w:sz="0" w:space="0" w:color="auto"/>
                  </w:divBdr>
                </w:div>
                <w:div w:id="408504987">
                  <w:marLeft w:val="0"/>
                  <w:marRight w:val="0"/>
                  <w:marTop w:val="75"/>
                  <w:marBottom w:val="0"/>
                  <w:divBdr>
                    <w:top w:val="none" w:sz="0" w:space="0" w:color="auto"/>
                    <w:left w:val="none" w:sz="0" w:space="0" w:color="auto"/>
                    <w:bottom w:val="none" w:sz="0" w:space="0" w:color="auto"/>
                    <w:right w:val="none" w:sz="0" w:space="0" w:color="auto"/>
                  </w:divBdr>
                </w:div>
              </w:divsChild>
            </w:div>
            <w:div w:id="1455757772">
              <w:marLeft w:val="0"/>
              <w:marRight w:val="0"/>
              <w:marTop w:val="0"/>
              <w:marBottom w:val="150"/>
              <w:divBdr>
                <w:top w:val="none" w:sz="0" w:space="0" w:color="auto"/>
                <w:left w:val="none" w:sz="0" w:space="0" w:color="auto"/>
                <w:bottom w:val="dotted" w:sz="6" w:space="0" w:color="808080"/>
                <w:right w:val="none" w:sz="0" w:space="0" w:color="auto"/>
              </w:divBdr>
              <w:divsChild>
                <w:div w:id="55516497">
                  <w:marLeft w:val="0"/>
                  <w:marRight w:val="0"/>
                  <w:marTop w:val="150"/>
                  <w:marBottom w:val="150"/>
                  <w:divBdr>
                    <w:top w:val="none" w:sz="0" w:space="0" w:color="auto"/>
                    <w:left w:val="none" w:sz="0" w:space="0" w:color="auto"/>
                    <w:bottom w:val="none" w:sz="0" w:space="0" w:color="auto"/>
                    <w:right w:val="none" w:sz="0" w:space="0" w:color="auto"/>
                  </w:divBdr>
                </w:div>
                <w:div w:id="879977768">
                  <w:marLeft w:val="0"/>
                  <w:marRight w:val="0"/>
                  <w:marTop w:val="150"/>
                  <w:marBottom w:val="150"/>
                  <w:divBdr>
                    <w:top w:val="none" w:sz="0" w:space="0" w:color="auto"/>
                    <w:left w:val="none" w:sz="0" w:space="0" w:color="auto"/>
                    <w:bottom w:val="none" w:sz="0" w:space="0" w:color="auto"/>
                    <w:right w:val="none" w:sz="0" w:space="0" w:color="auto"/>
                  </w:divBdr>
                </w:div>
                <w:div w:id="391928423">
                  <w:marLeft w:val="0"/>
                  <w:marRight w:val="0"/>
                  <w:marTop w:val="0"/>
                  <w:marBottom w:val="0"/>
                  <w:divBdr>
                    <w:top w:val="none" w:sz="0" w:space="0" w:color="auto"/>
                    <w:left w:val="none" w:sz="0" w:space="0" w:color="auto"/>
                    <w:bottom w:val="none" w:sz="0" w:space="0" w:color="auto"/>
                    <w:right w:val="none" w:sz="0" w:space="0" w:color="auto"/>
                  </w:divBdr>
                  <w:divsChild>
                    <w:div w:id="19420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51500">
          <w:marLeft w:val="0"/>
          <w:marRight w:val="0"/>
          <w:marTop w:val="0"/>
          <w:marBottom w:val="0"/>
          <w:divBdr>
            <w:top w:val="none" w:sz="0" w:space="0" w:color="auto"/>
            <w:left w:val="none" w:sz="0" w:space="0" w:color="auto"/>
            <w:bottom w:val="none" w:sz="0" w:space="0" w:color="auto"/>
            <w:right w:val="none" w:sz="0" w:space="0" w:color="auto"/>
          </w:divBdr>
          <w:divsChild>
            <w:div w:id="1435399108">
              <w:marLeft w:val="0"/>
              <w:marRight w:val="0"/>
              <w:marTop w:val="0"/>
              <w:marBottom w:val="150"/>
              <w:divBdr>
                <w:top w:val="none" w:sz="0" w:space="0" w:color="auto"/>
                <w:left w:val="none" w:sz="0" w:space="0" w:color="auto"/>
                <w:bottom w:val="none" w:sz="0" w:space="0" w:color="auto"/>
                <w:right w:val="none" w:sz="0" w:space="0" w:color="auto"/>
              </w:divBdr>
              <w:divsChild>
                <w:div w:id="2550173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781685792">
      <w:bodyDiv w:val="1"/>
      <w:marLeft w:val="0"/>
      <w:marRight w:val="0"/>
      <w:marTop w:val="0"/>
      <w:marBottom w:val="0"/>
      <w:divBdr>
        <w:top w:val="none" w:sz="0" w:space="0" w:color="auto"/>
        <w:left w:val="none" w:sz="0" w:space="0" w:color="auto"/>
        <w:bottom w:val="none" w:sz="0" w:space="0" w:color="auto"/>
        <w:right w:val="none" w:sz="0" w:space="0" w:color="auto"/>
      </w:divBdr>
      <w:divsChild>
        <w:div w:id="727843816">
          <w:marLeft w:val="0"/>
          <w:marRight w:val="0"/>
          <w:marTop w:val="0"/>
          <w:marBottom w:val="0"/>
          <w:divBdr>
            <w:top w:val="none" w:sz="0" w:space="0" w:color="auto"/>
            <w:left w:val="none" w:sz="0" w:space="0" w:color="auto"/>
            <w:bottom w:val="none" w:sz="0" w:space="0" w:color="auto"/>
            <w:right w:val="none" w:sz="0" w:space="0" w:color="auto"/>
          </w:divBdr>
          <w:divsChild>
            <w:div w:id="1062295322">
              <w:marLeft w:val="0"/>
              <w:marRight w:val="0"/>
              <w:marTop w:val="0"/>
              <w:marBottom w:val="300"/>
              <w:divBdr>
                <w:top w:val="none" w:sz="0" w:space="0" w:color="auto"/>
                <w:left w:val="none" w:sz="0" w:space="0" w:color="auto"/>
                <w:bottom w:val="none" w:sz="0" w:space="0" w:color="auto"/>
                <w:right w:val="none" w:sz="0" w:space="0" w:color="auto"/>
              </w:divBdr>
              <w:divsChild>
                <w:div w:id="720598425">
                  <w:marLeft w:val="0"/>
                  <w:marRight w:val="0"/>
                  <w:marTop w:val="0"/>
                  <w:marBottom w:val="0"/>
                  <w:divBdr>
                    <w:top w:val="none" w:sz="0" w:space="0" w:color="auto"/>
                    <w:left w:val="none" w:sz="0" w:space="0" w:color="auto"/>
                    <w:bottom w:val="none" w:sz="0" w:space="0" w:color="auto"/>
                    <w:right w:val="none" w:sz="0" w:space="0" w:color="auto"/>
                  </w:divBdr>
                </w:div>
                <w:div w:id="571282592">
                  <w:marLeft w:val="0"/>
                  <w:marRight w:val="0"/>
                  <w:marTop w:val="0"/>
                  <w:marBottom w:val="0"/>
                  <w:divBdr>
                    <w:top w:val="none" w:sz="0" w:space="0" w:color="auto"/>
                    <w:left w:val="none" w:sz="0" w:space="0" w:color="auto"/>
                    <w:bottom w:val="none" w:sz="0" w:space="0" w:color="auto"/>
                    <w:right w:val="none" w:sz="0" w:space="0" w:color="auto"/>
                  </w:divBdr>
                  <w:divsChild>
                    <w:div w:id="484473205">
                      <w:marLeft w:val="0"/>
                      <w:marRight w:val="0"/>
                      <w:marTop w:val="0"/>
                      <w:marBottom w:val="0"/>
                      <w:divBdr>
                        <w:top w:val="none" w:sz="0" w:space="0" w:color="auto"/>
                        <w:left w:val="none" w:sz="0" w:space="0" w:color="auto"/>
                        <w:bottom w:val="none" w:sz="0" w:space="0" w:color="auto"/>
                        <w:right w:val="none" w:sz="0" w:space="0" w:color="auto"/>
                      </w:divBdr>
                      <w:divsChild>
                        <w:div w:id="2590698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gov.law.harvard.edu/wp-content/uploads/2022/06/Pasted-93.png" TargetMode="External"/><Relationship Id="rId13" Type="http://schemas.openxmlformats.org/officeDocument/2006/relationships/image" Target="media/image3.png"/><Relationship Id="rId18" Type="http://schemas.openxmlformats.org/officeDocument/2006/relationships/hyperlink" Target="https://corpgov.law.harvard.edu/wp-content/uploads/2022/07/Pasted.png" TargetMode="External"/><Relationship Id="rId26" Type="http://schemas.openxmlformats.org/officeDocument/2006/relationships/hyperlink" Target="https://corpgov.law.harvard.edu/wp-content/uploads/2022/06/img12-1.png"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semlerbrossy.com/about-us/our-team/" TargetMode="External"/><Relationship Id="rId12" Type="http://schemas.openxmlformats.org/officeDocument/2006/relationships/hyperlink" Target="https://corpgov.law.harvard.edu/wp-content/uploads/2022/06/img3-1.png"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rpgov.law.harvard.edu/wp-content/uploads/2022/06/img5-1.png" TargetMode="External"/><Relationship Id="rId20" Type="http://schemas.openxmlformats.org/officeDocument/2006/relationships/hyperlink" Target="https://corpgov.law.harvard.edu/wp-content/uploads/2022/06/img8-1.png"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semlerbrossy.com/about-us/our-team/" TargetMode="External"/><Relationship Id="rId11" Type="http://schemas.openxmlformats.org/officeDocument/2006/relationships/image" Target="media/image2.png"/><Relationship Id="rId24" Type="http://schemas.openxmlformats.org/officeDocument/2006/relationships/hyperlink" Target="https://corpgov.law.harvard.edu/wp-content/uploads/2022/06/Pasted-96.png" TargetMode="External"/><Relationship Id="rId32" Type="http://schemas.openxmlformats.org/officeDocument/2006/relationships/fontTable" Target="fontTable.xml"/><Relationship Id="rId5" Type="http://schemas.openxmlformats.org/officeDocument/2006/relationships/hyperlink" Target="https://semlerbrossy.com/about-us/our-team/" TargetMode="Externa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corpgov.law.harvard.edu/wp-content/uploads/2022/06/img14-1.png" TargetMode="External"/><Relationship Id="rId10" Type="http://schemas.openxmlformats.org/officeDocument/2006/relationships/hyperlink" Target="https://corpgov.law.harvard.edu/wp-content/uploads/2022/06/Pasted-94.png" TargetMode="External"/><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orpgov.law.harvard.edu/wp-content/uploads/2022/06/Pasted-95.png" TargetMode="External"/><Relationship Id="rId22" Type="http://schemas.openxmlformats.org/officeDocument/2006/relationships/hyperlink" Target="https://corpgov.law.harvard.edu/wp-content/uploads/2022/06/img9-1.png" TargetMode="External"/><Relationship Id="rId27" Type="http://schemas.openxmlformats.org/officeDocument/2006/relationships/image" Target="media/image10.png"/><Relationship Id="rId30" Type="http://schemas.openxmlformats.org/officeDocument/2006/relationships/hyperlink" Target="https://corpgov.law.harvard.edu/wp-content/uploads/2022/06/img15-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doody</dc:creator>
  <cp:keywords/>
  <dc:description/>
  <cp:lastModifiedBy>david doody</cp:lastModifiedBy>
  <cp:revision>4</cp:revision>
  <dcterms:created xsi:type="dcterms:W3CDTF">2022-07-26T12:46:00Z</dcterms:created>
  <dcterms:modified xsi:type="dcterms:W3CDTF">2022-07-26T12:48:00Z</dcterms:modified>
</cp:coreProperties>
</file>