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0D1F3C"/>
          <w:sz w:val="36"/>
          <w:szCs w:val="36"/>
        </w:rPr>
        <w:t xml:space="preserve">Autopsies of Healthcare SaaS UM: Use It as a Due Diligence Tool</w:t>
      </w:r>
    </w:p>
    <w:p>
      <w:pPr>
        <w:pBdr>
          <w:bottom w:val="single" w:color="E8A020" w:sz="12" w:space="1"/>
        </w:pBdr>
        <w:spacing w:after="280"/>
      </w:pPr>
    </w:p>
    <w:p>
      <w:pPr>
        <w:spacing w:after="200" w:line="276"/>
      </w:pPr>
      <w:r>
        <w:t xml:space="preserve">The Olive AI post mortem made rounds earlier this year, but this month I’ve seen one of the most forensically accurate outlines to date. I know a few former Olive execs, one I respect, yet I did not know him at the time.</w:t>
      </w:r>
    </w:p>
    <w:p>
      <w:pPr>
        <w:spacing w:after="200" w:line="276"/>
      </w:pPr>
      <w:r>
        <w:t xml:space="preserve">My short time in SaaS felt like being a secret shopper. When I got closer to the design (public-facing) mechanics, that’s when I realised why the wheels fell off.</w:t>
      </w:r>
    </w:p>
    <w:p>
      <w:pPr>
        <w:pStyle w:val="Heading2"/>
      </w:pPr>
      <w:r>
        <w:rPr>
          <w:rFonts w:ascii="Arial" w:cs="Arial" w:eastAsia="Arial" w:hAnsi="Arial"/>
          <w:b/>
          <w:bCs/>
          <w:color w:val="0D1F3C"/>
          <w:sz w:val="26"/>
          <w:szCs w:val="26"/>
        </w:rPr>
        <w:t xml:space="preserve">Standouts from the Linked Article</w:t>
      </w:r>
    </w:p>
    <w:p>
      <w:pPr>
        <w:pStyle w:val="ListParagraph"/>
        <w:numPr>
          <w:ilvl w:val="0"/>
          <w:numId w:val="2"/>
        </w:numPr>
        <w:spacing w:after="140" w:line="276"/>
      </w:pPr>
      <w:r>
        <w:rPr>
          <w:rFonts w:ascii="Georgia" w:cs="Georgia" w:eastAsia="Georgia" w:hAnsi="Georgia"/>
          <w:sz w:val="24"/>
          <w:szCs w:val="24"/>
        </w:rPr>
        <w:t xml:space="preserve">Screen scraping is </w:t>
      </w:r>
      <w:r>
        <w:rPr>
          <w:rFonts w:ascii="Georgia" w:cs="Georgia" w:eastAsia="Georgia" w:hAnsi="Georgia"/>
          <w:b/>
          <w:bCs/>
          <w:color w:val="C0392B"/>
          <w:sz w:val="24"/>
          <w:szCs w:val="24"/>
        </w:rPr>
        <w:t xml:space="preserve">NOT OKAY</w:t>
      </w:r>
      <w:r>
        <w:rPr>
          <w:rFonts w:ascii="Georgia" w:cs="Georgia" w:eastAsia="Georgia" w:hAnsi="Georgia"/>
          <w:sz w:val="24"/>
          <w:szCs w:val="24"/>
        </w:rPr>
        <w:t xml:space="preserve"> — it is dangerous. No confirmation of source of truth, origin, or completeness.</w:t>
      </w:r>
    </w:p>
    <w:p>
      <w:pPr>
        <w:pStyle w:val="ListParagraph"/>
        <w:numPr>
          <w:ilvl w:val="0"/>
          <w:numId w:val="2"/>
        </w:numPr>
        <w:spacing w:after="140" w:line="276"/>
      </w:pPr>
      <w:r>
        <w:rPr>
          <w:rFonts w:ascii="Georgia" w:cs="Georgia" w:eastAsia="Georgia" w:hAnsi="Georgia"/>
          <w:b/>
          <w:bCs/>
          <w:sz w:val="24"/>
          <w:szCs w:val="24"/>
        </w:rPr>
        <w:t xml:space="preserve">MVP in the absence of MVE became the norm.</w:t>
      </w:r>
      <w:r>
        <w:rPr>
          <w:rFonts w:ascii="Georgia" w:cs="Georgia" w:eastAsia="Georgia" w:hAnsi="Georgia"/>
          <w:sz w:val="24"/>
          <w:szCs w:val="24"/>
        </w:rPr>
        <w:t xml:space="preserve"> If you’re selling a contractual ROI guarantee, MVE was likely never addressed. The MVE is a target user term, not a financial one.</w:t>
      </w:r>
    </w:p>
    <w:p>
      <w:pPr>
        <w:pStyle w:val="ListParagraph"/>
        <w:numPr>
          <w:ilvl w:val="0"/>
          <w:numId w:val="2"/>
        </w:numPr>
        <w:spacing w:after="280" w:line="276"/>
      </w:pPr>
      <w:r>
        <w:rPr>
          <w:rFonts w:ascii="Georgia" w:cs="Georgia" w:eastAsia="Georgia" w:hAnsi="Georgia"/>
          <w:sz w:val="24"/>
          <w:szCs w:val="24"/>
        </w:rPr>
        <w:t xml:space="preserve">The $4B valuation: $10M to Waystar (SEC filing descriptor: “immaterial”) + $1.25M to Humata. </w:t>
      </w:r>
      <w:r>
        <w:rPr>
          <w:rFonts w:ascii="Georgia" w:cs="Georgia" w:eastAsia="Georgia" w:hAnsi="Georgia"/>
          <w:b/>
          <w:bCs/>
          <w:sz w:val="24"/>
          <w:szCs w:val="24"/>
        </w:rPr>
        <w:t xml:space="preserve">$4B = $11.25M.</w:t>
      </w:r>
      <w:r>
        <w:rPr>
          <w:rFonts w:ascii="Georgia" w:cs="Georgia" w:eastAsia="Georgia" w:hAnsi="Georgia"/>
          <w:i/>
          <w:iCs/>
          <w:sz w:val="24"/>
          <w:szCs w:val="24"/>
        </w:rPr>
        <w:t xml:space="preserve"> Read that a few times.</w:t>
      </w:r>
    </w:p>
    <w:p>
      <w:pPr>
        <w:pStyle w:val="Heading2"/>
      </w:pPr>
      <w:r>
        <w:rPr>
          <w:rFonts w:ascii="Arial" w:cs="Arial" w:eastAsia="Arial" w:hAnsi="Arial"/>
          <w:b/>
          <w:bCs/>
          <w:color w:val="0D1F3C"/>
          <w:sz w:val="26"/>
          <w:szCs w:val="26"/>
        </w:rPr>
        <w:t xml:space="preserve">Why I Am One of the OG Unicorns of Auth</w:t>
      </w:r>
    </w:p>
    <w:p>
      <w:pPr>
        <w:pBdr>
          <w:left w:val="single" w:color="E8A020" w:sz="18" w:space="4"/>
        </w:pBdr>
        <w:shd w:fill="F7F3EC" w:val="clear"/>
        <w:spacing w:before="120" w:after="240" w:line="276"/>
        <w:ind w:left="360" w:right="360"/>
      </w:pPr>
      <w:r>
        <w:rPr>
          <w:rFonts w:ascii="Georgia" w:cs="Georgia" w:eastAsia="Georgia" w:hAnsi="Georgia"/>
          <w:i/>
          <w:iCs/>
          <w:color w:val="0D1F3C"/>
          <w:sz w:val="24"/>
          <w:szCs w:val="24"/>
        </w:rPr>
        <w:t xml:space="preserve">The original prior authorisation case was never designed as SaaS, the target market was the payor and not providers, and the medical policy was used. Read that a few times.</w:t>
      </w:r>
    </w:p>
    <w:p>
      <w:pPr>
        <w:spacing w:after="200" w:line="276"/>
      </w:pPr>
      <w:r>
        <w:rPr>
          <w:rFonts w:ascii="Georgia" w:cs="Georgia" w:eastAsia="Georgia" w:hAnsi="Georgia"/>
          <w:sz w:val="24"/>
          <w:szCs w:val="24"/>
        </w:rPr>
        <w:t xml:space="preserve">The foundational model was built around the </w:t>
      </w:r>
      <w:r>
        <w:rPr>
          <w:rFonts w:ascii="Georgia" w:cs="Georgia" w:eastAsia="Georgia" w:hAnsi="Georgia"/>
          <w:b/>
          <w:bCs/>
          <w:sz w:val="24"/>
          <w:szCs w:val="24"/>
        </w:rPr>
        <w:t xml:space="preserve">payor UM nurse</w:t>
      </w:r>
      <w:r>
        <w:rPr>
          <w:rFonts w:ascii="Georgia" w:cs="Georgia" w:eastAsia="Georgia" w:hAnsi="Georgia"/>
          <w:sz w:val="24"/>
          <w:szCs w:val="24"/>
        </w:rPr>
        <w:t xml:space="preserve">. Why? In anticipation of the clinician shortage. And how we, as the payors, could provide tools to step up the review times, create digital submission mechanisms and provide access to centralised research and clinical trials.</w:t>
      </w:r>
    </w:p>
    <w:p>
      <w:pPr>
        <w:spacing w:after="200" w:line="276"/>
      </w:pPr>
      <w:r>
        <w:rPr>
          <w:rFonts w:ascii="Georgia" w:cs="Georgia" w:eastAsia="Georgia" w:hAnsi="Georgia"/>
          <w:sz w:val="24"/>
          <w:szCs w:val="24"/>
        </w:rPr>
        <w:t xml:space="preserve">Technology existed to support and not replace her judgment or productize it for horizontal scale. The digital component was purpose-built for submission.</w:t>
      </w:r>
    </w:p>
    <w:p>
      <w:pPr>
        <w:spacing w:after="200" w:line="276"/>
      </w:pPr>
      <w:r>
        <w:rPr>
          <w:rFonts w:ascii="Georgia" w:cs="Georgia" w:eastAsia="Georgia" w:hAnsi="Georgia"/>
          <w:sz w:val="24"/>
          <w:szCs w:val="24"/>
        </w:rPr>
        <w:t xml:space="preserve">If payors extended capability to providers, they did so directly with their own medical policy and plan-specific governing rules embedded. Not a generic engine.</w:t>
      </w:r>
    </w:p>
    <w:p>
      <w:pPr>
        <w:spacing w:after="280" w:line="276"/>
      </w:pPr>
      <w:r>
        <w:rPr>
          <w:rFonts w:ascii="Georgia" w:cs="Georgia" w:eastAsia="Georgia" w:hAnsi="Georgia"/>
          <w:sz w:val="24"/>
          <w:szCs w:val="24"/>
        </w:rPr>
        <w:t xml:space="preserve">I know this because I was part of AI 1.0 as the launch HIT strategist for value-based care and asked to weigh in on Watson’s launch. I heard feedback directly and was in conversations with VBC clinical partners, evaluating it for my capability roadmap. This was my job as HIT strategist for the launch of value-based care at Anthem.</w:t>
      </w:r>
    </w:p>
    <w:p>
      <w:pPr>
        <w:pStyle w:val="Heading2"/>
      </w:pPr>
      <w:r>
        <w:rPr>
          <w:rFonts w:ascii="Arial" w:cs="Arial" w:eastAsia="Arial" w:hAnsi="Arial"/>
          <w:b/>
          <w:bCs/>
          <w:color w:val="C0392B"/>
          <w:sz w:val="26"/>
          <w:szCs w:val="26"/>
        </w:rPr>
        <w:t xml:space="preserve">You Cannot:</w:t>
      </w:r>
    </w:p>
    <w:p>
      <w:pPr>
        <w:pStyle w:val="ListParagraph"/>
        <w:numPr>
          <w:ilvl w:val="0"/>
          <w:numId w:val="2"/>
        </w:numPr>
        <w:spacing w:after="140" w:line="276"/>
      </w:pPr>
      <w:r>
        <w:rPr>
          <w:rFonts w:ascii="Georgia" w:cs="Georgia" w:eastAsia="Georgia" w:hAnsi="Georgia"/>
          <w:sz w:val="24"/>
          <w:szCs w:val="24"/>
        </w:rPr>
        <w:t xml:space="preserve">Swap the payor UM reviewer for the clinical UM requestor</w:t>
      </w:r>
    </w:p>
    <w:p>
      <w:pPr>
        <w:pStyle w:val="ListParagraph"/>
        <w:numPr>
          <w:ilvl w:val="0"/>
          <w:numId w:val="2"/>
        </w:numPr>
        <w:spacing w:after="140" w:line="276"/>
      </w:pPr>
      <w:r>
        <w:rPr>
          <w:rFonts w:ascii="Georgia" w:cs="Georgia" w:eastAsia="Georgia" w:hAnsi="Georgia"/>
          <w:sz w:val="24"/>
          <w:szCs w:val="24"/>
        </w:rPr>
        <w:t xml:space="preserve">Replace medical policy and contractual rules with generic guidelines</w:t>
      </w:r>
    </w:p>
    <w:p>
      <w:pPr>
        <w:pStyle w:val="ListParagraph"/>
        <w:numPr>
          <w:ilvl w:val="0"/>
          <w:numId w:val="2"/>
        </w:numPr>
        <w:spacing w:after="140" w:line="276"/>
      </w:pPr>
      <w:r>
        <w:rPr>
          <w:rFonts w:ascii="Georgia" w:cs="Georgia" w:eastAsia="Georgia" w:hAnsi="Georgia"/>
          <w:sz w:val="24"/>
          <w:szCs w:val="24"/>
        </w:rPr>
        <w:t xml:space="preserve">Pitch “the data is so bad,” then scrape that same bad data</w:t>
      </w:r>
    </w:p>
    <w:p>
      <w:pPr>
        <w:pStyle w:val="ListParagraph"/>
        <w:numPr>
          <w:ilvl w:val="0"/>
          <w:numId w:val="2"/>
        </w:numPr>
        <w:spacing w:after="140" w:line="276"/>
      </w:pPr>
      <w:r>
        <w:rPr>
          <w:rFonts w:ascii="Georgia" w:cs="Georgia" w:eastAsia="Georgia" w:hAnsi="Georgia"/>
          <w:sz w:val="24"/>
          <w:szCs w:val="24"/>
        </w:rPr>
        <w:t xml:space="preserve">Replace deterministic tasks with probabilistic tools + no source of truth</w:t>
      </w:r>
    </w:p>
    <w:p>
      <w:pPr>
        <w:spacing w:after="160"/>
      </w:pPr>
    </w:p>
    <w:p>
      <w:pPr>
        <w:pStyle w:val="Heading2"/>
      </w:pPr>
      <w:r>
        <w:rPr>
          <w:rFonts w:ascii="Arial" w:cs="Arial" w:eastAsia="Arial" w:hAnsi="Arial"/>
          <w:b/>
          <w:bCs/>
          <w:color w:val="0D1F3C"/>
          <w:sz w:val="26"/>
          <w:szCs w:val="26"/>
        </w:rPr>
        <w:t xml:space="preserve">The Bottom Line</w:t>
      </w:r>
    </w:p>
    <w:p>
      <w:pPr>
        <w:spacing w:after="200" w:line="276"/>
      </w:pPr>
      <w:r>
        <w:rPr>
          <w:rFonts w:ascii="Georgia" w:cs="Georgia" w:eastAsia="Georgia" w:hAnsi="Georgia"/>
          <w:sz w:val="24"/>
          <w:szCs w:val="24"/>
        </w:rPr>
        <w:t xml:space="preserve">A hospital triage tool handles acute episodic decisions. It does not account for comorbidity burden, SDOH, chronic complexity, or plan-specific policy governing this member’s specific contract.</w:t>
      </w:r>
    </w:p>
    <w:p>
      <w:pPr>
        <w:spacing w:after="200" w:line="276"/>
      </w:pPr>
      <w:r>
        <w:rPr>
          <w:rFonts w:ascii="Georgia" w:cs="Georgia" w:eastAsia="Georgia" w:hAnsi="Georgia"/>
          <w:sz w:val="24"/>
          <w:szCs w:val="24"/>
        </w:rPr>
        <w:t xml:space="preserve">There is no ERISA defensibility on appeal, which is why the overturn rate sits at </w:t>
      </w:r>
      <w:r>
        <w:rPr>
          <w:rFonts w:ascii="Georgia" w:cs="Georgia" w:eastAsia="Georgia" w:hAnsi="Georgia"/>
          <w:b/>
          <w:bCs/>
          <w:color w:val="C0392B"/>
          <w:sz w:val="24"/>
          <w:szCs w:val="24"/>
        </w:rPr>
        <w:t xml:space="preserve">90%</w:t>
      </w:r>
      <w:r>
        <w:rPr>
          <w:rFonts w:ascii="Georgia" w:cs="Georgia" w:eastAsia="Georgia" w:hAnsi="Georgia"/>
          <w:sz w:val="24"/>
          <w:szCs w:val="24"/>
        </w:rPr>
        <w:t xml:space="preserve"> — and it is because the denial is not on merit because of all of the above.</w:t>
      </w:r>
    </w:p>
    <w:p>
      <w:pPr>
        <w:spacing w:after="400" w:line="276"/>
      </w:pPr>
      <w:r>
        <w:rPr>
          <w:rFonts w:ascii="Georgia" w:cs="Georgia" w:eastAsia="Georgia" w:hAnsi="Georgia"/>
          <w:b/>
          <w:bCs/>
          <w:i/>
          <w:iCs/>
          <w:sz w:val="24"/>
          <w:szCs w:val="24"/>
        </w:rPr>
        <w:t xml:space="preserve">I used to do claims determinations and reviews. I know.</w:t>
      </w:r>
    </w:p>
    <w:p>
      <w:pPr>
        <w:pBdr>
          <w:top w:val="single" w:color="0D1F3C" w:sz="8" w:space="1"/>
        </w:pBdr>
        <w:spacing w:before="200" w:after="120"/>
      </w:pPr>
    </w:p>
    <w:p>
      <w:pPr>
        <w:jc w:val="right"/>
      </w:pPr>
      <w:r>
        <w:rPr>
          <w:rFonts w:ascii="Arial" w:cs="Arial" w:eastAsia="Arial" w:hAnsi="Arial"/>
          <w:b/>
          <w:bCs/>
          <w:color w:val="0D1F3C"/>
          <w:sz w:val="20"/>
          <w:szCs w:val="20"/>
        </w:rPr>
        <w:t xml:space="preserve">Melissa  ·  Aegis Cipher</w:t>
      </w:r>
    </w:p>
    <w:p>
      <w:pPr>
        <w:spacing w:after="0"/>
        <w:jc w:val="right"/>
      </w:pPr>
      <w:r>
        <w:rPr>
          <w:rFonts w:ascii="Arial" w:cs="Arial" w:eastAsia="Arial" w:hAnsi="Arial"/>
          <w:color w:val="666666"/>
          <w:sz w:val="18"/>
          <w:szCs w:val="18"/>
        </w:rPr>
        <w:t xml:space="preserve">#HealthcareAI  #UtilizationManagement  #PriorAuthorization  #HealthcareGovernance  #AIGovernance  #HealthTech  #HealthcareLeadership</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2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240"/>
      <w:outlineLvl w:val="0"/>
    </w:pPr>
    <w:rPr>
      <w:rFonts w:ascii="Arial" w:cs="Arial" w:eastAsia="Arial" w:hAnsi="Arial"/>
      <w:b/>
      <w:bCs/>
      <w:color w:val="0D1F3C"/>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0D1F3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2026-03-09T21:13:13.490Z</dcterms:created>
  <dcterms:modified xsi:type="dcterms:W3CDTF">2026-03-09T21:13:13.491Z</dcterms:modified>
</cp:coreProperties>
</file>

<file path=docProps/custom.xml><?xml version="1.0" encoding="utf-8"?>
<Properties xmlns="http://schemas.openxmlformats.org/officeDocument/2006/custom-properties" xmlns:vt="http://schemas.openxmlformats.org/officeDocument/2006/docPropsVTypes"/>
</file>