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B6" w:rsidRDefault="00D41F2E">
      <w:pPr>
        <w:pStyle w:val="Heading1"/>
        <w:spacing w:after="143"/>
        <w:ind w:left="31"/>
      </w:pPr>
      <w:bookmarkStart w:id="0" w:name="_GoBack"/>
      <w:bookmarkEnd w:id="0"/>
      <w:r>
        <w:t>EAST CENTRAL KANSAS AREA AGENCY ON AGING AND COMMUNITY DEVELOPMENTAL DISABILITY ORGANIZATION (ECKAAA.CDDO)</w:t>
      </w:r>
    </w:p>
    <w:p w:rsidR="00E729B6" w:rsidRDefault="00D41F2E">
      <w:pPr>
        <w:spacing w:after="0" w:line="216" w:lineRule="auto"/>
        <w:ind w:left="10" w:right="50" w:hanging="3"/>
        <w:jc w:val="both"/>
      </w:pPr>
      <w:r>
        <w:t>The ECK Community Developmental Disability Organization (CDDO) for Coffey, Osage, and Franklin counties is located in Ottawa, KS. Through a contract with the State of Kansas, the</w:t>
      </w:r>
    </w:p>
    <w:p w:rsidR="00E729B6" w:rsidRDefault="00D41F2E">
      <w:pPr>
        <w:spacing w:after="40" w:line="216" w:lineRule="auto"/>
        <w:ind w:left="10" w:right="50" w:hanging="3"/>
        <w:jc w:val="both"/>
      </w:pPr>
      <w:r>
        <w:t>CDDO serves as the single point of entry where determination for Intellectual</w:t>
      </w:r>
      <w:r>
        <w:t xml:space="preserve"> and/or</w:t>
      </w:r>
    </w:p>
    <w:p w:rsidR="00E729B6" w:rsidRDefault="00D41F2E">
      <w:pPr>
        <w:spacing w:after="225" w:line="216" w:lineRule="auto"/>
        <w:ind w:left="10" w:right="50" w:hanging="3"/>
        <w:jc w:val="both"/>
      </w:pPr>
      <w:r>
        <w:t>Developmental Disability (I/DD) Services occurs and referrals for service with affiliate agencies are made. It is the CDDO's responsibility to make sure that eligible individuals receive the supports they need, subject to available funding. The CDD</w:t>
      </w:r>
      <w:r>
        <w:t>O will meet with eligible individuals to determine the type(s) of service(s) they need to achieve their preferred lifestyle. The individual's name and requested services will be added to the statewide wait list for Medicaid funded services. The statewide w</w:t>
      </w:r>
      <w:r>
        <w:t>ait list is currently about 7 years long. Special circumstances, which may require crisis funding, should be discussed with the CDDO representative and/or the Targeted Case Manager.</w:t>
      </w:r>
    </w:p>
    <w:p w:rsidR="00E729B6" w:rsidRDefault="00D41F2E">
      <w:pPr>
        <w:pStyle w:val="Heading1"/>
        <w:ind w:left="31"/>
      </w:pPr>
      <w:r>
        <w:t>ELIGIBILITY FOR SERVICES</w:t>
      </w:r>
    </w:p>
    <w:p w:rsidR="00E729B6" w:rsidRDefault="00D41F2E">
      <w:pPr>
        <w:spacing w:after="225" w:line="216" w:lineRule="auto"/>
        <w:ind w:left="10" w:right="50" w:hanging="3"/>
        <w:jc w:val="both"/>
      </w:pPr>
      <w:r>
        <w:t>To determine eligibility for services, the CDDO w</w:t>
      </w:r>
      <w:r>
        <w:t>ill request information from medical professionals to determine if the applicant for I/DD services has a diagnosis of intellectual disability and/or a developmental disability.</w:t>
      </w:r>
    </w:p>
    <w:p w:rsidR="00E729B6" w:rsidRDefault="00D41F2E">
      <w:pPr>
        <w:spacing w:after="0" w:line="216" w:lineRule="auto"/>
        <w:ind w:left="10" w:right="50" w:hanging="3"/>
        <w:jc w:val="both"/>
      </w:pPr>
      <w:r>
        <w:t>Developmental disability is defined as a condition such as autism, cerebral pal</w:t>
      </w:r>
      <w:r>
        <w:t xml:space="preserve">sy, epilepsy, or other similar physical or mental impairment </w:t>
      </w:r>
      <w:r>
        <w:rPr>
          <w:u w:val="single" w:color="000000"/>
        </w:rPr>
        <w:t>that manifests prior to 22 years of age</w:t>
      </w:r>
      <w:r>
        <w:t>. Individuals who are solely severely emotionally disturbed or persistently mentally ill or have disabilities solely as a result of the infirmities of aging</w:t>
      </w:r>
      <w:r>
        <w:t xml:space="preserve"> are not considered developmentally disabled.</w:t>
      </w:r>
    </w:p>
    <w:p w:rsidR="00E729B6" w:rsidRDefault="00D41F2E">
      <w:pPr>
        <w:spacing w:after="0" w:line="216" w:lineRule="auto"/>
        <w:ind w:left="10" w:right="598" w:hanging="3"/>
        <w:jc w:val="both"/>
      </w:pPr>
      <w:r>
        <w:t>A developmental disability must be likely to continue indefinitely, require a combination and sequence of services that are individually planned and coordinated, and result in substantial functional limitations</w:t>
      </w:r>
      <w:r>
        <w:t xml:space="preserve"> in three or more of the following areas of life functioning:</w:t>
      </w:r>
    </w:p>
    <w:p w:rsidR="00E729B6" w:rsidRDefault="00D41F2E">
      <w:pPr>
        <w:numPr>
          <w:ilvl w:val="0"/>
          <w:numId w:val="1"/>
        </w:numPr>
        <w:spacing w:after="8" w:line="251" w:lineRule="auto"/>
        <w:ind w:right="583" w:hanging="137"/>
      </w:pPr>
      <w:r>
        <w:rPr>
          <w:sz w:val="24"/>
        </w:rPr>
        <w:t>self-care</w:t>
      </w:r>
      <w:r>
        <w:rPr>
          <w:sz w:val="24"/>
        </w:rPr>
        <w:tab/>
        <w:t>* understanding and the use of language</w:t>
      </w:r>
    </w:p>
    <w:p w:rsidR="00E729B6" w:rsidRDefault="00D41F2E">
      <w:pPr>
        <w:numPr>
          <w:ilvl w:val="0"/>
          <w:numId w:val="1"/>
        </w:numPr>
        <w:spacing w:after="8" w:line="251" w:lineRule="auto"/>
        <w:ind w:right="583" w:hanging="137"/>
      </w:pPr>
      <w:r>
        <w:rPr>
          <w:sz w:val="24"/>
        </w:rPr>
        <w:t>living independently</w:t>
      </w:r>
      <w:r>
        <w:rPr>
          <w:sz w:val="24"/>
        </w:rPr>
        <w:tab/>
        <w:t>* economic self sufficiency</w:t>
      </w:r>
    </w:p>
    <w:p w:rsidR="00E729B6" w:rsidRDefault="00D41F2E">
      <w:pPr>
        <w:numPr>
          <w:ilvl w:val="0"/>
          <w:numId w:val="1"/>
        </w:numPr>
        <w:spacing w:after="181" w:line="251" w:lineRule="auto"/>
        <w:ind w:right="583" w:hanging="137"/>
      </w:pPr>
      <w:r>
        <w:rPr>
          <w:sz w:val="24"/>
        </w:rPr>
        <w:t>self direction in goal setting and undertaking activities to accomplish goals * learning and ad</w:t>
      </w:r>
      <w:r>
        <w:rPr>
          <w:sz w:val="24"/>
        </w:rPr>
        <w:t>apting</w:t>
      </w:r>
      <w:r>
        <w:rPr>
          <w:sz w:val="24"/>
        </w:rPr>
        <w:tab/>
        <w:t>* mobility</w:t>
      </w:r>
    </w:p>
    <w:p w:rsidR="00E729B6" w:rsidRDefault="00D41F2E">
      <w:pPr>
        <w:spacing w:after="33" w:line="216" w:lineRule="auto"/>
        <w:ind w:left="7" w:right="50" w:firstLine="4"/>
      </w:pPr>
      <w:r>
        <w:t xml:space="preserve">Intellectual Disability: The applicant must have an </w:t>
      </w:r>
      <w:r>
        <w:rPr>
          <w:u w:val="single" w:color="000000"/>
        </w:rPr>
        <w:t>diaanosis</w:t>
      </w:r>
      <w:r>
        <w:t xml:space="preserve"> of intellectual disability made by a healthcare professional who is licensed to make a DSM-V diagnosis. Intellectual Disability is defined as substantial limitations in present functioning </w:t>
      </w:r>
      <w:r>
        <w:rPr>
          <w:u w:val="single" w:color="000000"/>
        </w:rPr>
        <w:t>manifested durinq the period from birth to aqe 18 years</w:t>
      </w:r>
      <w:r>
        <w:t xml:space="preserve"> and is cha</w:t>
      </w:r>
      <w:r>
        <w:t>racterized by significantly sub-average intellectual functioning existing concurrently with deficits in adaptive behavior including related limitations in two or more of the following applicable adaptive ski" areas:</w:t>
      </w:r>
    </w:p>
    <w:p w:rsidR="00E729B6" w:rsidRDefault="00D41F2E">
      <w:pPr>
        <w:numPr>
          <w:ilvl w:val="0"/>
          <w:numId w:val="1"/>
        </w:numPr>
        <w:spacing w:after="8" w:line="251" w:lineRule="auto"/>
        <w:ind w:right="583" w:hanging="137"/>
      </w:pPr>
      <w:r>
        <w:rPr>
          <w:sz w:val="24"/>
        </w:rPr>
        <w:t>communication</w:t>
      </w:r>
      <w:r>
        <w:rPr>
          <w:sz w:val="24"/>
        </w:rPr>
        <w:tab/>
        <w:t>* self-care</w:t>
      </w:r>
      <w:r>
        <w:rPr>
          <w:sz w:val="24"/>
        </w:rPr>
        <w:tab/>
        <w:t>* home living</w:t>
      </w:r>
      <w:r>
        <w:rPr>
          <w:sz w:val="24"/>
        </w:rPr>
        <w:tab/>
      </w:r>
      <w:r>
        <w:rPr>
          <w:sz w:val="24"/>
        </w:rPr>
        <w:t>* social skills *community use</w:t>
      </w:r>
    </w:p>
    <w:p w:rsidR="00E729B6" w:rsidRDefault="00D41F2E">
      <w:pPr>
        <w:numPr>
          <w:ilvl w:val="0"/>
          <w:numId w:val="1"/>
        </w:numPr>
        <w:spacing w:after="171" w:line="251" w:lineRule="auto"/>
        <w:ind w:right="583" w:hanging="137"/>
      </w:pPr>
      <w:r>
        <w:rPr>
          <w:sz w:val="24"/>
        </w:rPr>
        <w:t>self-direction * health and safety * functional academics</w:t>
      </w:r>
      <w:r>
        <w:rPr>
          <w:sz w:val="24"/>
        </w:rPr>
        <w:tab/>
        <w:t>'Y leisure</w:t>
      </w:r>
      <w:r>
        <w:rPr>
          <w:sz w:val="24"/>
        </w:rPr>
        <w:tab/>
        <w:t>* work</w:t>
      </w:r>
    </w:p>
    <w:p w:rsidR="00E729B6" w:rsidRDefault="00D41F2E">
      <w:pPr>
        <w:spacing w:after="201" w:line="216" w:lineRule="auto"/>
        <w:ind w:left="10" w:right="266" w:hanging="3"/>
        <w:jc w:val="both"/>
      </w:pPr>
      <w:r>
        <w:t>If you are ineligible for I/DD services, you will be notified of the decision in writing, including the reasons why you were determined ineligible. Y</w:t>
      </w:r>
      <w:r>
        <w:t>ou have the right to appeal the CDDOs decision and have eligibility reviewed by an independent party.</w:t>
      </w:r>
    </w:p>
    <w:p w:rsidR="00E729B6" w:rsidRDefault="00D41F2E">
      <w:pPr>
        <w:pStyle w:val="Heading1"/>
        <w:spacing w:after="119"/>
        <w:ind w:left="22" w:firstLine="0"/>
        <w:jc w:val="center"/>
      </w:pPr>
      <w:r>
        <w:lastRenderedPageBreak/>
        <w:t>SERVICES A VAILABLE</w:t>
      </w:r>
    </w:p>
    <w:p w:rsidR="00E729B6" w:rsidRDefault="00D41F2E">
      <w:pPr>
        <w:pStyle w:val="Heading2"/>
        <w:spacing w:after="0" w:line="259" w:lineRule="auto"/>
        <w:jc w:val="left"/>
      </w:pPr>
      <w:r>
        <w:t>Targeted Case Management (TCM)-no wait list for this service</w:t>
      </w:r>
    </w:p>
    <w:p w:rsidR="00E729B6" w:rsidRDefault="00D41F2E">
      <w:pPr>
        <w:spacing w:after="680" w:line="216" w:lineRule="auto"/>
        <w:ind w:left="10" w:right="50" w:hanging="3"/>
        <w:jc w:val="both"/>
      </w:pPr>
      <w:r>
        <w:t>The service provides an individual assistance in getting available servic</w:t>
      </w:r>
      <w:r>
        <w:t>es that support independence, integration, and productivity according to what you want. This service includes developing a person-centered plan based on your needs, as the person getting services, monitoring of preferred lifestyle, support planning, and su</w:t>
      </w:r>
      <w:r>
        <w:t>pport coordination. Advocacy (meaning standing up for your rights) and crisis intervention services are also available through casemanagement. Your TCM will provide assistance to ensure that you get and continue to get needed services.</w:t>
      </w:r>
    </w:p>
    <w:p w:rsidR="00E729B6" w:rsidRDefault="00D41F2E">
      <w:pPr>
        <w:spacing w:after="107" w:line="265" w:lineRule="auto"/>
        <w:ind w:left="46" w:hanging="10"/>
        <w:jc w:val="center"/>
      </w:pPr>
      <w:r>
        <w:rPr>
          <w:sz w:val="24"/>
          <w:u w:val="single" w:color="000000"/>
        </w:rPr>
        <w:t>SUPPORT FOR ADULTS-s</w:t>
      </w:r>
      <w:r>
        <w:rPr>
          <w:sz w:val="24"/>
          <w:u w:val="single" w:color="000000"/>
        </w:rPr>
        <w:t>ervices on a statewide wait list</w:t>
      </w:r>
    </w:p>
    <w:p w:rsidR="00E729B6" w:rsidRDefault="00D41F2E">
      <w:pPr>
        <w:pStyle w:val="Heading1"/>
        <w:ind w:left="31"/>
      </w:pPr>
      <w:r>
        <w:t>RESIDENTIAL SERVICES</w:t>
      </w:r>
    </w:p>
    <w:p w:rsidR="00E729B6" w:rsidRDefault="00D41F2E">
      <w:pPr>
        <w:spacing w:after="219" w:line="216" w:lineRule="auto"/>
        <w:ind w:left="7" w:right="50" w:firstLine="4"/>
      </w:pPr>
      <w:r>
        <w:t>Affiliate agencies provide a variety of residential services to assist individuals who are age 18 and older in achieving independence and desired lifestyle. Residential supports are tailored specificall</w:t>
      </w:r>
      <w:r>
        <w:t>y to your needs and developed in accordance with you and your guardian's choices. Some agencies have properties owned by HUD, which offer rent based on a percentage of your income. Affiliated licensed foster care providers offer residential services for ch</w:t>
      </w:r>
      <w:r>
        <w:t>ildren age 5 through 21 when they cannot remain in the family home.</w:t>
      </w:r>
    </w:p>
    <w:p w:rsidR="00E729B6" w:rsidRDefault="00D41F2E">
      <w:pPr>
        <w:pStyle w:val="Heading1"/>
        <w:ind w:left="31"/>
      </w:pPr>
      <w:r>
        <w:t>DAY SERVICES</w:t>
      </w:r>
    </w:p>
    <w:p w:rsidR="00E729B6" w:rsidRDefault="00D41F2E">
      <w:pPr>
        <w:spacing w:after="200" w:line="216" w:lineRule="auto"/>
        <w:ind w:left="7" w:right="50" w:firstLine="4"/>
      </w:pPr>
      <w:r>
        <w:t>Some affiliates provide sheltered workshops that contract with large companies to complete subassembly production. Individuals receiving day services are compensated through piece rate and receive necessary assistance in completing the work. Supported Empl</w:t>
      </w:r>
      <w:r>
        <w:t>oyment Services are also available to support individuals who choose to work in competitive, community-based employment. Individuals receive vocational counseling, job coaching, job development, and follow-along services. Other day services options offered</w:t>
      </w:r>
      <w:r>
        <w:t xml:space="preserve"> by affiliates are Alternative Day Programs where people who chose not to participate in competitive employment or workshop production can access leisure and valued activities.</w:t>
      </w:r>
    </w:p>
    <w:p w:rsidR="00E729B6" w:rsidRDefault="00D41F2E">
      <w:pPr>
        <w:spacing w:after="458" w:line="216" w:lineRule="auto"/>
        <w:ind w:left="10" w:right="50" w:hanging="3"/>
        <w:jc w:val="both"/>
      </w:pPr>
      <w:r>
        <w:rPr>
          <w:u w:val="single" w:color="000000"/>
        </w:rPr>
        <w:t>Supported Employment</w:t>
      </w:r>
      <w:r>
        <w:t xml:space="preserve"> is competitive work in an integrated setting with on-going</w:t>
      </w:r>
      <w:r>
        <w:t xml:space="preserve"> support services for individuals who have IIDD. Competitive work is defined as compensated work in accordance with the Fair Labor Standards Act. An integrated work setting is a job site that is similar to that of the general work force. Such work is suppo</w:t>
      </w:r>
      <w:r>
        <w:t>rted by any activity needed to sustain paid employment by persons with disabilities.</w:t>
      </w:r>
    </w:p>
    <w:p w:rsidR="00E729B6" w:rsidRDefault="00D41F2E">
      <w:pPr>
        <w:spacing w:after="329" w:line="265" w:lineRule="auto"/>
        <w:ind w:left="46" w:right="7" w:hanging="10"/>
        <w:jc w:val="center"/>
      </w:pPr>
      <w:r>
        <w:rPr>
          <w:sz w:val="24"/>
          <w:u w:val="single" w:color="000000"/>
        </w:rPr>
        <w:t>SUPPORT FOR CHILDREN AND FAMILIES-services on a statewide wait list</w:t>
      </w:r>
    </w:p>
    <w:p w:rsidR="00E729B6" w:rsidRDefault="00D41F2E">
      <w:pPr>
        <w:pStyle w:val="Heading2"/>
        <w:spacing w:after="0" w:line="259" w:lineRule="auto"/>
        <w:jc w:val="left"/>
      </w:pPr>
      <w:r>
        <w:t>HOME AND COMMUNITY BASED SERVICES</w:t>
      </w:r>
    </w:p>
    <w:p w:rsidR="00E729B6" w:rsidRDefault="00D41F2E">
      <w:pPr>
        <w:spacing w:after="192" w:line="216" w:lineRule="auto"/>
        <w:ind w:left="10" w:right="50" w:hanging="3"/>
        <w:jc w:val="both"/>
      </w:pPr>
      <w:r>
        <w:t>Services paid through the Home and Community Based Services (HCBS) wa</w:t>
      </w:r>
      <w:r>
        <w:t>iver are available for individuals age 5 and up. Services for children and families that are paid by HCBS include:</w:t>
      </w:r>
    </w:p>
    <w:p w:rsidR="00E729B6" w:rsidRDefault="00D41F2E">
      <w:pPr>
        <w:numPr>
          <w:ilvl w:val="0"/>
          <w:numId w:val="2"/>
        </w:numPr>
        <w:spacing w:after="0" w:line="216" w:lineRule="auto"/>
        <w:ind w:left="10" w:right="118" w:hanging="3"/>
      </w:pPr>
      <w:r>
        <w:rPr>
          <w:u w:val="single" w:color="000000"/>
        </w:rPr>
        <w:t>Personal Care Services</w:t>
      </w:r>
      <w:r>
        <w:t xml:space="preserve"> (PCS) is available to individuals who reside in their birth or adoptive home. PCS provides the necessary assistance fo</w:t>
      </w:r>
      <w:r>
        <w:t>r eligible persons in order to meet their daily living requirements. Respite Care and Sleep Cycle Supports fall into the PCS category of services. PCS services can either be self-directed or agency-directed (as supportive home care or SHC).</w:t>
      </w:r>
    </w:p>
    <w:p w:rsidR="00E729B6" w:rsidRDefault="00D41F2E">
      <w:pPr>
        <w:spacing w:after="40" w:line="216" w:lineRule="auto"/>
        <w:ind w:left="10" w:right="50" w:hanging="3"/>
        <w:jc w:val="both"/>
      </w:pPr>
      <w:r>
        <w:rPr>
          <w:u w:val="single" w:color="000000"/>
        </w:rPr>
        <w:t>*Children's Res</w:t>
      </w:r>
      <w:r>
        <w:rPr>
          <w:u w:val="single" w:color="000000"/>
        </w:rPr>
        <w:t>idential</w:t>
      </w:r>
      <w:r>
        <w:t>: Residential Supports are available to minor children, ages 5 through 21</w:t>
      </w:r>
    </w:p>
    <w:p w:rsidR="00E729B6" w:rsidRDefault="00D41F2E">
      <w:pPr>
        <w:spacing w:after="0" w:line="216" w:lineRule="auto"/>
        <w:ind w:left="10" w:right="50" w:hanging="3"/>
        <w:jc w:val="both"/>
      </w:pPr>
      <w:r>
        <w:lastRenderedPageBreak/>
        <w:t>(eligibility ends on the 22nd birthday) years of age who are determined eligible for the Medicaid Program through a waiver of requirements relating to the deeming of parental</w:t>
      </w:r>
      <w:r>
        <w:t xml:space="preserve"> income. Children's Residential Supports shall be provided in a family foster home licensed by KDHE. * </w:t>
      </w:r>
      <w:r>
        <w:rPr>
          <w:u w:val="single" w:color="000000"/>
        </w:rPr>
        <w:t>Respite Care</w:t>
      </w:r>
      <w:r>
        <w:t xml:space="preserve"> is temporary care provided to recipients designed to provide relief for the recipient's family member who serves as the primary (unpaid) car</w:t>
      </w:r>
      <w:r>
        <w:t>egiver.</w:t>
      </w:r>
    </w:p>
    <w:p w:rsidR="00E729B6" w:rsidRDefault="00D41F2E">
      <w:pPr>
        <w:numPr>
          <w:ilvl w:val="0"/>
          <w:numId w:val="2"/>
        </w:numPr>
        <w:spacing w:after="0" w:line="216" w:lineRule="auto"/>
        <w:ind w:left="10" w:right="118" w:hanging="3"/>
      </w:pPr>
      <w:r>
        <w:rPr>
          <w:u w:val="single" w:color="000000"/>
        </w:rPr>
        <w:t>Sleep Cvcle Support</w:t>
      </w:r>
      <w:r>
        <w:t xml:space="preserve"> is overnight assistance provided in the recipient's home for the purpose of assisting with repositioning and turning the individual and monitoring for emergency medical situations. This service is limited to recipients who are u</w:t>
      </w:r>
      <w:r>
        <w:t xml:space="preserve">nable to be alone at night due to anticipated </w:t>
      </w:r>
      <w:r>
        <w:rPr>
          <w:u w:val="single" w:color="000000"/>
        </w:rPr>
        <w:t>medical</w:t>
      </w:r>
      <w:r>
        <w:t xml:space="preserve"> problems only. The minimum shift is 8 hours, the maximum is 12 hours. </w:t>
      </w:r>
      <w:r>
        <w:rPr>
          <w:u w:val="single" w:color="000000"/>
        </w:rPr>
        <w:t>*Assistive Services</w:t>
      </w:r>
      <w:r>
        <w:t xml:space="preserve"> are supports or items that meet an individual's assessed need by improving and/or promoting the person's health,</w:t>
      </w:r>
      <w:r>
        <w:t xml:space="preserve"> independence, productivity, or integration into the community, and are directly related to the individual's Person Centered Support Plan with measurable outcomes. Examples include, but are not limited to: Wheelchair modifications, Ramps, Lifts, Modificati</w:t>
      </w:r>
      <w:r>
        <w:t>ons to bathrooms and kitchens (specifically related to accessibility), Assistive technology (i.e. items that improve communication, mobility or assist with activities of daily living (ADLs) or instrumental activities of daily living (IADLs) in the home and</w:t>
      </w:r>
      <w:r>
        <w:t xml:space="preserve"> work place* *</w:t>
      </w:r>
      <w:r>
        <w:rPr>
          <w:u w:val="single" w:color="000000"/>
        </w:rPr>
        <w:t>Communication Devices</w:t>
      </w:r>
      <w:r>
        <w:t xml:space="preserve"> are devices which assist in making an individual as independent as possible in the community by allowing him/her to communicate their specific wants and needs. This service can only be accessed after the individual is no</w:t>
      </w:r>
      <w:r>
        <w:t xml:space="preserve"> longer in the educational system. The communication device must be recommended by a speech pathologist.</w:t>
      </w:r>
    </w:p>
    <w:p w:rsidR="00E729B6" w:rsidRDefault="00D41F2E">
      <w:pPr>
        <w:spacing w:after="0" w:line="216" w:lineRule="auto"/>
        <w:ind w:left="7" w:right="50" w:firstLine="4"/>
      </w:pPr>
      <w:r>
        <w:rPr>
          <w:u w:val="single" w:color="000000"/>
        </w:rPr>
        <w:t>*Specialized Medical Services</w:t>
      </w:r>
      <w:r>
        <w:t>: This service provides long-term nursing support for medically fragile and technology dependent beneficiaries. The required level of care must provide medical support for a beneficiary needing ongoing, daily care that would otherwise require the beneficia</w:t>
      </w:r>
      <w:r>
        <w:t>ry to be in a hospital. The intensive medical needs of the beneficiary must be met to ensure the person can live outside of a hospital or ICF/MR. For the purpose of this waiver, a provider of specialized medical care must be a registered nurse (RN), a lice</w:t>
      </w:r>
      <w:r>
        <w:t>nsed practical nurse (LPN) under the supervision of an RN, or another designated entity. The service may be provided in all customary and usual community locations including where the beneficiary resides and socializes.</w:t>
      </w:r>
    </w:p>
    <w:sectPr w:rsidR="00E729B6">
      <w:footerReference w:type="even" r:id="rId7"/>
      <w:footerReference w:type="default" r:id="rId8"/>
      <w:footerReference w:type="first" r:id="rId9"/>
      <w:pgSz w:w="12240" w:h="15840"/>
      <w:pgMar w:top="1217" w:right="1836" w:bottom="1738" w:left="1778" w:header="72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41F2E">
      <w:pPr>
        <w:spacing w:after="0" w:line="240" w:lineRule="auto"/>
      </w:pPr>
      <w:r>
        <w:separator/>
      </w:r>
    </w:p>
  </w:endnote>
  <w:endnote w:type="continuationSeparator" w:id="0">
    <w:p w:rsidR="00000000" w:rsidRDefault="00D4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B6" w:rsidRDefault="00D41F2E">
    <w:pPr>
      <w:spacing w:after="0"/>
      <w:ind w:left="7"/>
    </w:pPr>
    <w:r>
      <w:rPr>
        <w:sz w:val="14"/>
      </w:rPr>
      <w:t xml:space="preserve">CDDO rev. </w:t>
    </w:r>
    <w:r>
      <w:rPr>
        <w:sz w:val="12"/>
      </w:rPr>
      <w:t>1/26/17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B6" w:rsidRDefault="00D41F2E">
    <w:pPr>
      <w:spacing w:after="0"/>
      <w:ind w:left="7"/>
    </w:pPr>
    <w:r>
      <w:rPr>
        <w:sz w:val="14"/>
      </w:rPr>
      <w:t xml:space="preserve">CDDO rev. </w:t>
    </w:r>
    <w:r>
      <w:rPr>
        <w:sz w:val="12"/>
      </w:rPr>
      <w:t>1/26/17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B6" w:rsidRDefault="00D41F2E">
    <w:pPr>
      <w:spacing w:after="0"/>
      <w:ind w:left="7"/>
    </w:pPr>
    <w:r>
      <w:rPr>
        <w:sz w:val="14"/>
      </w:rPr>
      <w:t xml:space="preserve">CDDO rev. </w:t>
    </w:r>
    <w:r>
      <w:rPr>
        <w:sz w:val="12"/>
      </w:rPr>
      <w:t>1/26/17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41F2E">
      <w:pPr>
        <w:spacing w:after="0" w:line="240" w:lineRule="auto"/>
      </w:pPr>
      <w:r>
        <w:separator/>
      </w:r>
    </w:p>
  </w:footnote>
  <w:footnote w:type="continuationSeparator" w:id="0">
    <w:p w:rsidR="00000000" w:rsidRDefault="00D41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5CF5"/>
    <w:multiLevelType w:val="hybridMultilevel"/>
    <w:tmpl w:val="BA70DF06"/>
    <w:lvl w:ilvl="0" w:tplc="6B04FE7C">
      <w:start w:val="1"/>
      <w:numFmt w:val="bullet"/>
      <w:lvlText w:val="*"/>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3AF630">
      <w:start w:val="1"/>
      <w:numFmt w:val="bullet"/>
      <w:lvlText w:val="o"/>
      <w:lvlJc w:val="left"/>
      <w:pPr>
        <w:ind w:left="1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402200">
      <w:start w:val="1"/>
      <w:numFmt w:val="bullet"/>
      <w:lvlText w:val="▪"/>
      <w:lvlJc w:val="left"/>
      <w:pPr>
        <w:ind w:left="2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7A34F8">
      <w:start w:val="1"/>
      <w:numFmt w:val="bullet"/>
      <w:lvlText w:val="•"/>
      <w:lvlJc w:val="left"/>
      <w:pPr>
        <w:ind w:left="2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D803AA">
      <w:start w:val="1"/>
      <w:numFmt w:val="bullet"/>
      <w:lvlText w:val="o"/>
      <w:lvlJc w:val="left"/>
      <w:pPr>
        <w:ind w:left="3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6F6F0">
      <w:start w:val="1"/>
      <w:numFmt w:val="bullet"/>
      <w:lvlText w:val="▪"/>
      <w:lvlJc w:val="left"/>
      <w:pPr>
        <w:ind w:left="4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726690">
      <w:start w:val="1"/>
      <w:numFmt w:val="bullet"/>
      <w:lvlText w:val="•"/>
      <w:lvlJc w:val="left"/>
      <w:pPr>
        <w:ind w:left="5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A8B8A8">
      <w:start w:val="1"/>
      <w:numFmt w:val="bullet"/>
      <w:lvlText w:val="o"/>
      <w:lvlJc w:val="left"/>
      <w:pPr>
        <w:ind w:left="5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6B720">
      <w:start w:val="1"/>
      <w:numFmt w:val="bullet"/>
      <w:lvlText w:val="▪"/>
      <w:lvlJc w:val="left"/>
      <w:pPr>
        <w:ind w:left="6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B465F7"/>
    <w:multiLevelType w:val="hybridMultilevel"/>
    <w:tmpl w:val="0BB69BB0"/>
    <w:lvl w:ilvl="0" w:tplc="19262954">
      <w:start w:val="1"/>
      <w:numFmt w:val="bullet"/>
      <w:lvlText w:val="*"/>
      <w:lvlJc w:val="left"/>
      <w:pPr>
        <w:ind w:left="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366416">
      <w:start w:val="1"/>
      <w:numFmt w:val="bullet"/>
      <w:lvlText w:val="o"/>
      <w:lvlJc w:val="left"/>
      <w:pPr>
        <w:ind w:left="1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C60D96">
      <w:start w:val="1"/>
      <w:numFmt w:val="bullet"/>
      <w:lvlText w:val="▪"/>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8AC7EC">
      <w:start w:val="1"/>
      <w:numFmt w:val="bullet"/>
      <w:lvlText w:val="•"/>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C86438">
      <w:start w:val="1"/>
      <w:numFmt w:val="bullet"/>
      <w:lvlText w:val="o"/>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529E4E">
      <w:start w:val="1"/>
      <w:numFmt w:val="bullet"/>
      <w:lvlText w:val="▪"/>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40E25C">
      <w:start w:val="1"/>
      <w:numFmt w:val="bullet"/>
      <w:lvlText w:val="•"/>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920726">
      <w:start w:val="1"/>
      <w:numFmt w:val="bullet"/>
      <w:lvlText w:val="o"/>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2C9D6">
      <w:start w:val="1"/>
      <w:numFmt w:val="bullet"/>
      <w:lvlText w:val="▪"/>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B6"/>
    <w:rsid w:val="00D41F2E"/>
    <w:rsid w:val="00E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F4FB2-C95B-432C-90C3-CD6EC310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outlineLvl w:val="0"/>
    </w:pPr>
    <w:rPr>
      <w:rFonts w:ascii="Calibri" w:eastAsia="Calibri" w:hAnsi="Calibri" w:cs="Calibri"/>
      <w:color w:val="000000"/>
      <w:sz w:val="26"/>
      <w:u w:val="single" w:color="000000"/>
    </w:rPr>
  </w:style>
  <w:style w:type="paragraph" w:styleId="Heading2">
    <w:name w:val="heading 2"/>
    <w:next w:val="Normal"/>
    <w:link w:val="Heading2Char"/>
    <w:uiPriority w:val="9"/>
    <w:unhideWhenUsed/>
    <w:qFormat/>
    <w:pPr>
      <w:keepNext/>
      <w:keepLines/>
      <w:spacing w:after="107" w:line="265" w:lineRule="auto"/>
      <w:ind w:left="17" w:hanging="10"/>
      <w:jc w:val="center"/>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7498</Characters>
  <Application>Microsoft Office Word</Application>
  <DocSecurity>4</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Skedel</dc:creator>
  <cp:keywords/>
  <cp:lastModifiedBy>Stephanie Skedel</cp:lastModifiedBy>
  <cp:revision>2</cp:revision>
  <dcterms:created xsi:type="dcterms:W3CDTF">2019-03-19T16:18:00Z</dcterms:created>
  <dcterms:modified xsi:type="dcterms:W3CDTF">2019-03-19T16:18:00Z</dcterms:modified>
</cp:coreProperties>
</file>