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BA0C" w14:textId="1A2C0808" w:rsidR="00024664" w:rsidRPr="009E1586" w:rsidRDefault="00D55BDB" w:rsidP="009E1586">
      <w:pPr>
        <w:jc w:val="center"/>
        <w:rPr>
          <w:rFonts w:cstheme="minorHAnsi"/>
          <w:b/>
          <w:bCs/>
          <w:sz w:val="22"/>
          <w:szCs w:val="22"/>
        </w:rPr>
      </w:pPr>
      <w:r w:rsidRPr="009E1586">
        <w:rPr>
          <w:rFonts w:cstheme="minorHAnsi"/>
          <w:b/>
          <w:bCs/>
          <w:sz w:val="22"/>
          <w:szCs w:val="22"/>
        </w:rPr>
        <w:t>SUPPORTING CASE LAW TO HELP BUILD YOUR CASE</w:t>
      </w:r>
    </w:p>
    <w:p w14:paraId="263CC864" w14:textId="04E061A0" w:rsidR="003A7152" w:rsidRPr="009E1586" w:rsidRDefault="003A7152" w:rsidP="009E1586">
      <w:pPr>
        <w:jc w:val="center"/>
        <w:rPr>
          <w:rFonts w:cstheme="minorHAnsi"/>
          <w:b/>
          <w:bCs/>
          <w:sz w:val="22"/>
          <w:szCs w:val="22"/>
        </w:rPr>
      </w:pPr>
    </w:p>
    <w:p w14:paraId="2F0DDA91" w14:textId="6D5E5B4C" w:rsidR="003A7152" w:rsidRPr="009E1586" w:rsidRDefault="003A7152" w:rsidP="009E1586">
      <w:pPr>
        <w:jc w:val="center"/>
        <w:rPr>
          <w:rFonts w:cstheme="minorHAnsi"/>
          <w:b/>
          <w:bCs/>
          <w:sz w:val="22"/>
          <w:szCs w:val="22"/>
        </w:rPr>
      </w:pPr>
      <w:r w:rsidRPr="009E1586">
        <w:rPr>
          <w:rFonts w:cstheme="minorHAnsi"/>
          <w:b/>
          <w:bCs/>
          <w:sz w:val="22"/>
          <w:szCs w:val="22"/>
        </w:rPr>
        <w:t>TABLE OF CONTENTS</w:t>
      </w:r>
    </w:p>
    <w:p w14:paraId="072CB7E1" w14:textId="5996E131" w:rsidR="00024664" w:rsidRPr="009E1586" w:rsidRDefault="00024664" w:rsidP="009E1586">
      <w:pPr>
        <w:jc w:val="center"/>
        <w:rPr>
          <w:rFonts w:cstheme="minorHAnsi"/>
          <w:b/>
          <w:bCs/>
          <w:sz w:val="22"/>
          <w:szCs w:val="22"/>
        </w:rPr>
      </w:pPr>
    </w:p>
    <w:p w14:paraId="42B2A636" w14:textId="6F2DF023" w:rsidR="007B3F61" w:rsidRDefault="00024664">
      <w:pPr>
        <w:pStyle w:val="TOC1"/>
        <w:tabs>
          <w:tab w:val="right" w:leader="dot" w:pos="10390"/>
        </w:tabs>
        <w:rPr>
          <w:rFonts w:eastAsiaTheme="minorEastAsia"/>
          <w:noProof/>
        </w:rPr>
      </w:pPr>
      <w:r w:rsidRPr="009E1586">
        <w:rPr>
          <w:rFonts w:cstheme="minorHAnsi"/>
          <w:b/>
          <w:bCs/>
          <w:sz w:val="22"/>
          <w:szCs w:val="22"/>
        </w:rPr>
        <w:fldChar w:fldCharType="begin"/>
      </w:r>
      <w:r w:rsidRPr="009E1586">
        <w:rPr>
          <w:rFonts w:cstheme="minorHAnsi"/>
          <w:b/>
          <w:bCs/>
          <w:sz w:val="22"/>
          <w:szCs w:val="22"/>
        </w:rPr>
        <w:instrText xml:space="preserve"> TOC \o "1-3" \h \z \u </w:instrText>
      </w:r>
      <w:r w:rsidRPr="009E1586">
        <w:rPr>
          <w:rFonts w:cstheme="minorHAnsi"/>
          <w:b/>
          <w:bCs/>
          <w:sz w:val="22"/>
          <w:szCs w:val="22"/>
        </w:rPr>
        <w:fldChar w:fldCharType="separate"/>
      </w:r>
      <w:hyperlink w:anchor="_Toc125376888" w:history="1">
        <w:r w:rsidR="007B3F61" w:rsidRPr="00493421">
          <w:rPr>
            <w:rStyle w:val="Hyperlink"/>
            <w:rFonts w:cstheme="minorHAnsi"/>
            <w:noProof/>
          </w:rPr>
          <w:t>CASE LAW REGARDING RIGHTS:</w:t>
        </w:r>
        <w:r w:rsidR="007B3F61">
          <w:rPr>
            <w:noProof/>
            <w:webHidden/>
          </w:rPr>
          <w:tab/>
        </w:r>
        <w:r w:rsidR="007B3F61">
          <w:rPr>
            <w:noProof/>
            <w:webHidden/>
          </w:rPr>
          <w:fldChar w:fldCharType="begin"/>
        </w:r>
        <w:r w:rsidR="007B3F61">
          <w:rPr>
            <w:noProof/>
            <w:webHidden/>
          </w:rPr>
          <w:instrText xml:space="preserve"> PAGEREF _Toc125376888 \h </w:instrText>
        </w:r>
        <w:r w:rsidR="007B3F61">
          <w:rPr>
            <w:noProof/>
            <w:webHidden/>
          </w:rPr>
        </w:r>
        <w:r w:rsidR="007B3F61">
          <w:rPr>
            <w:noProof/>
            <w:webHidden/>
          </w:rPr>
          <w:fldChar w:fldCharType="separate"/>
        </w:r>
        <w:r w:rsidR="007B3F61">
          <w:rPr>
            <w:noProof/>
            <w:webHidden/>
          </w:rPr>
          <w:t>3</w:t>
        </w:r>
        <w:r w:rsidR="007B3F61">
          <w:rPr>
            <w:noProof/>
            <w:webHidden/>
          </w:rPr>
          <w:fldChar w:fldCharType="end"/>
        </w:r>
      </w:hyperlink>
    </w:p>
    <w:p w14:paraId="5A9F2D9F" w14:textId="63B5A836" w:rsidR="007B3F61" w:rsidRDefault="007B3F61">
      <w:pPr>
        <w:pStyle w:val="TOC2"/>
        <w:tabs>
          <w:tab w:val="right" w:leader="dot" w:pos="10390"/>
        </w:tabs>
        <w:rPr>
          <w:rFonts w:eastAsiaTheme="minorEastAsia"/>
          <w:noProof/>
        </w:rPr>
      </w:pPr>
      <w:hyperlink w:anchor="_Toc125376889" w:history="1">
        <w:r w:rsidRPr="00493421">
          <w:rPr>
            <w:rStyle w:val="Hyperlink"/>
            <w:rFonts w:cstheme="minorHAnsi"/>
            <w:noProof/>
          </w:rPr>
          <w:t>Province Cannot Override Fundamental Rights:</w:t>
        </w:r>
        <w:r>
          <w:rPr>
            <w:noProof/>
            <w:webHidden/>
          </w:rPr>
          <w:tab/>
        </w:r>
        <w:r>
          <w:rPr>
            <w:noProof/>
            <w:webHidden/>
          </w:rPr>
          <w:fldChar w:fldCharType="begin"/>
        </w:r>
        <w:r>
          <w:rPr>
            <w:noProof/>
            <w:webHidden/>
          </w:rPr>
          <w:instrText xml:space="preserve"> PAGEREF _Toc125376889 \h </w:instrText>
        </w:r>
        <w:r>
          <w:rPr>
            <w:noProof/>
            <w:webHidden/>
          </w:rPr>
        </w:r>
        <w:r>
          <w:rPr>
            <w:noProof/>
            <w:webHidden/>
          </w:rPr>
          <w:fldChar w:fldCharType="separate"/>
        </w:r>
        <w:r>
          <w:rPr>
            <w:noProof/>
            <w:webHidden/>
          </w:rPr>
          <w:t>3</w:t>
        </w:r>
        <w:r>
          <w:rPr>
            <w:noProof/>
            <w:webHidden/>
          </w:rPr>
          <w:fldChar w:fldCharType="end"/>
        </w:r>
      </w:hyperlink>
    </w:p>
    <w:p w14:paraId="27A61BF5" w14:textId="173CE69F" w:rsidR="007B3F61" w:rsidRDefault="007B3F61">
      <w:pPr>
        <w:pStyle w:val="TOC3"/>
        <w:tabs>
          <w:tab w:val="right" w:leader="dot" w:pos="10390"/>
        </w:tabs>
        <w:rPr>
          <w:rFonts w:eastAsiaTheme="minorEastAsia"/>
          <w:noProof/>
        </w:rPr>
      </w:pPr>
      <w:hyperlink w:anchor="_Toc125376890" w:history="1">
        <w:r w:rsidRPr="00493421">
          <w:rPr>
            <w:rStyle w:val="Hyperlink"/>
            <w:noProof/>
          </w:rPr>
          <w:t>The Credit of Alberta Regulation Act; and the Accurate News and Information Act, SCR 100, 1938, Supreme Court of Canada:</w:t>
        </w:r>
        <w:r>
          <w:rPr>
            <w:noProof/>
            <w:webHidden/>
          </w:rPr>
          <w:tab/>
        </w:r>
        <w:r>
          <w:rPr>
            <w:noProof/>
            <w:webHidden/>
          </w:rPr>
          <w:fldChar w:fldCharType="begin"/>
        </w:r>
        <w:r>
          <w:rPr>
            <w:noProof/>
            <w:webHidden/>
          </w:rPr>
          <w:instrText xml:space="preserve"> PAGEREF _Toc125376890 \h </w:instrText>
        </w:r>
        <w:r>
          <w:rPr>
            <w:noProof/>
            <w:webHidden/>
          </w:rPr>
        </w:r>
        <w:r>
          <w:rPr>
            <w:noProof/>
            <w:webHidden/>
          </w:rPr>
          <w:fldChar w:fldCharType="separate"/>
        </w:r>
        <w:r>
          <w:rPr>
            <w:noProof/>
            <w:webHidden/>
          </w:rPr>
          <w:t>3</w:t>
        </w:r>
        <w:r>
          <w:rPr>
            <w:noProof/>
            <w:webHidden/>
          </w:rPr>
          <w:fldChar w:fldCharType="end"/>
        </w:r>
      </w:hyperlink>
    </w:p>
    <w:p w14:paraId="2A8B4EC3" w14:textId="4A54E91B" w:rsidR="007B3F61" w:rsidRDefault="007B3F61">
      <w:pPr>
        <w:pStyle w:val="TOC2"/>
        <w:tabs>
          <w:tab w:val="right" w:leader="dot" w:pos="10390"/>
        </w:tabs>
        <w:rPr>
          <w:rFonts w:eastAsiaTheme="minorEastAsia"/>
          <w:noProof/>
        </w:rPr>
      </w:pPr>
      <w:hyperlink w:anchor="_Toc125376891" w:history="1">
        <w:r w:rsidRPr="00493421">
          <w:rPr>
            <w:rStyle w:val="Hyperlink"/>
            <w:rFonts w:cstheme="minorHAnsi"/>
            <w:noProof/>
          </w:rPr>
          <w:t>Right to You to Sue for Breach of Privacy:</w:t>
        </w:r>
        <w:r>
          <w:rPr>
            <w:noProof/>
            <w:webHidden/>
          </w:rPr>
          <w:tab/>
        </w:r>
        <w:r>
          <w:rPr>
            <w:noProof/>
            <w:webHidden/>
          </w:rPr>
          <w:fldChar w:fldCharType="begin"/>
        </w:r>
        <w:r>
          <w:rPr>
            <w:noProof/>
            <w:webHidden/>
          </w:rPr>
          <w:instrText xml:space="preserve"> PAGEREF _Toc125376891 \h </w:instrText>
        </w:r>
        <w:r>
          <w:rPr>
            <w:noProof/>
            <w:webHidden/>
          </w:rPr>
        </w:r>
        <w:r>
          <w:rPr>
            <w:noProof/>
            <w:webHidden/>
          </w:rPr>
          <w:fldChar w:fldCharType="separate"/>
        </w:r>
        <w:r>
          <w:rPr>
            <w:noProof/>
            <w:webHidden/>
          </w:rPr>
          <w:t>3</w:t>
        </w:r>
        <w:r>
          <w:rPr>
            <w:noProof/>
            <w:webHidden/>
          </w:rPr>
          <w:fldChar w:fldCharType="end"/>
        </w:r>
      </w:hyperlink>
    </w:p>
    <w:p w14:paraId="3D5950A1" w14:textId="04D689D0" w:rsidR="007B3F61" w:rsidRDefault="007B3F61">
      <w:pPr>
        <w:pStyle w:val="TOC3"/>
        <w:tabs>
          <w:tab w:val="right" w:leader="dot" w:pos="10390"/>
        </w:tabs>
        <w:rPr>
          <w:rFonts w:eastAsiaTheme="minorEastAsia"/>
          <w:noProof/>
        </w:rPr>
      </w:pPr>
      <w:hyperlink w:anchor="_Toc125376892" w:history="1">
        <w:r w:rsidRPr="00493421">
          <w:rPr>
            <w:rStyle w:val="Hyperlink"/>
            <w:noProof/>
          </w:rPr>
          <w:t>Jones v. Tsige, 2012, Ontario Court of Appeal:</w:t>
        </w:r>
        <w:r>
          <w:rPr>
            <w:noProof/>
            <w:webHidden/>
          </w:rPr>
          <w:tab/>
        </w:r>
        <w:r>
          <w:rPr>
            <w:noProof/>
            <w:webHidden/>
          </w:rPr>
          <w:fldChar w:fldCharType="begin"/>
        </w:r>
        <w:r>
          <w:rPr>
            <w:noProof/>
            <w:webHidden/>
          </w:rPr>
          <w:instrText xml:space="preserve"> PAGEREF _Toc125376892 \h </w:instrText>
        </w:r>
        <w:r>
          <w:rPr>
            <w:noProof/>
            <w:webHidden/>
          </w:rPr>
        </w:r>
        <w:r>
          <w:rPr>
            <w:noProof/>
            <w:webHidden/>
          </w:rPr>
          <w:fldChar w:fldCharType="separate"/>
        </w:r>
        <w:r>
          <w:rPr>
            <w:noProof/>
            <w:webHidden/>
          </w:rPr>
          <w:t>3</w:t>
        </w:r>
        <w:r>
          <w:rPr>
            <w:noProof/>
            <w:webHidden/>
          </w:rPr>
          <w:fldChar w:fldCharType="end"/>
        </w:r>
      </w:hyperlink>
    </w:p>
    <w:p w14:paraId="2676F666" w14:textId="306FB2A4" w:rsidR="007B3F61" w:rsidRDefault="007B3F61">
      <w:pPr>
        <w:pStyle w:val="TOC2"/>
        <w:tabs>
          <w:tab w:val="right" w:leader="dot" w:pos="10390"/>
        </w:tabs>
        <w:rPr>
          <w:rFonts w:eastAsiaTheme="minorEastAsia"/>
          <w:noProof/>
        </w:rPr>
      </w:pPr>
      <w:hyperlink w:anchor="_Toc125376893" w:history="1">
        <w:r w:rsidRPr="00493421">
          <w:rPr>
            <w:rStyle w:val="Hyperlink"/>
            <w:rFonts w:cstheme="minorHAnsi"/>
            <w:noProof/>
          </w:rPr>
          <w:t>Case Law Civil Liberties Is Federal Matter:</w:t>
        </w:r>
        <w:r>
          <w:rPr>
            <w:noProof/>
            <w:webHidden/>
          </w:rPr>
          <w:tab/>
        </w:r>
        <w:r>
          <w:rPr>
            <w:noProof/>
            <w:webHidden/>
          </w:rPr>
          <w:fldChar w:fldCharType="begin"/>
        </w:r>
        <w:r>
          <w:rPr>
            <w:noProof/>
            <w:webHidden/>
          </w:rPr>
          <w:instrText xml:space="preserve"> PAGEREF _Toc125376893 \h </w:instrText>
        </w:r>
        <w:r>
          <w:rPr>
            <w:noProof/>
            <w:webHidden/>
          </w:rPr>
        </w:r>
        <w:r>
          <w:rPr>
            <w:noProof/>
            <w:webHidden/>
          </w:rPr>
          <w:fldChar w:fldCharType="separate"/>
        </w:r>
        <w:r>
          <w:rPr>
            <w:noProof/>
            <w:webHidden/>
          </w:rPr>
          <w:t>3</w:t>
        </w:r>
        <w:r>
          <w:rPr>
            <w:noProof/>
            <w:webHidden/>
          </w:rPr>
          <w:fldChar w:fldCharType="end"/>
        </w:r>
      </w:hyperlink>
    </w:p>
    <w:p w14:paraId="3CD76C97" w14:textId="4E28396F" w:rsidR="007B3F61" w:rsidRDefault="007B3F61">
      <w:pPr>
        <w:pStyle w:val="TOC3"/>
        <w:tabs>
          <w:tab w:val="right" w:leader="dot" w:pos="10390"/>
        </w:tabs>
        <w:rPr>
          <w:rFonts w:eastAsiaTheme="minorEastAsia"/>
          <w:noProof/>
        </w:rPr>
      </w:pPr>
      <w:hyperlink w:anchor="_Toc125376894" w:history="1">
        <w:r w:rsidRPr="00493421">
          <w:rPr>
            <w:rStyle w:val="Hyperlink"/>
            <w:noProof/>
          </w:rPr>
          <w:t>R. v. Coldbeck, 1970 CanLII 1203 (AB PC)</w:t>
        </w:r>
        <w:r>
          <w:rPr>
            <w:noProof/>
            <w:webHidden/>
          </w:rPr>
          <w:tab/>
        </w:r>
        <w:r>
          <w:rPr>
            <w:noProof/>
            <w:webHidden/>
          </w:rPr>
          <w:fldChar w:fldCharType="begin"/>
        </w:r>
        <w:r>
          <w:rPr>
            <w:noProof/>
            <w:webHidden/>
          </w:rPr>
          <w:instrText xml:space="preserve"> PAGEREF _Toc125376894 \h </w:instrText>
        </w:r>
        <w:r>
          <w:rPr>
            <w:noProof/>
            <w:webHidden/>
          </w:rPr>
        </w:r>
        <w:r>
          <w:rPr>
            <w:noProof/>
            <w:webHidden/>
          </w:rPr>
          <w:fldChar w:fldCharType="separate"/>
        </w:r>
        <w:r>
          <w:rPr>
            <w:noProof/>
            <w:webHidden/>
          </w:rPr>
          <w:t>3</w:t>
        </w:r>
        <w:r>
          <w:rPr>
            <w:noProof/>
            <w:webHidden/>
          </w:rPr>
          <w:fldChar w:fldCharType="end"/>
        </w:r>
      </w:hyperlink>
    </w:p>
    <w:p w14:paraId="2F6DA5E9" w14:textId="1C64A0B5" w:rsidR="007B3F61" w:rsidRDefault="007B3F61">
      <w:pPr>
        <w:pStyle w:val="TOC3"/>
        <w:tabs>
          <w:tab w:val="right" w:leader="dot" w:pos="10390"/>
        </w:tabs>
        <w:rPr>
          <w:rFonts w:eastAsiaTheme="minorEastAsia"/>
          <w:noProof/>
        </w:rPr>
      </w:pPr>
      <w:hyperlink w:anchor="_Toc125376895" w:history="1">
        <w:r w:rsidRPr="00493421">
          <w:rPr>
            <w:rStyle w:val="Hyperlink"/>
            <w:noProof/>
          </w:rPr>
          <w:t>Corporation of the City of London and London Civic Employees Union, Local 107, 1978 CanLII 3475 (ON LA)</w:t>
        </w:r>
        <w:r>
          <w:rPr>
            <w:noProof/>
            <w:webHidden/>
          </w:rPr>
          <w:tab/>
        </w:r>
        <w:r>
          <w:rPr>
            <w:noProof/>
            <w:webHidden/>
          </w:rPr>
          <w:fldChar w:fldCharType="begin"/>
        </w:r>
        <w:r>
          <w:rPr>
            <w:noProof/>
            <w:webHidden/>
          </w:rPr>
          <w:instrText xml:space="preserve"> PAGEREF _Toc125376895 \h </w:instrText>
        </w:r>
        <w:r>
          <w:rPr>
            <w:noProof/>
            <w:webHidden/>
          </w:rPr>
        </w:r>
        <w:r>
          <w:rPr>
            <w:noProof/>
            <w:webHidden/>
          </w:rPr>
          <w:fldChar w:fldCharType="separate"/>
        </w:r>
        <w:r>
          <w:rPr>
            <w:noProof/>
            <w:webHidden/>
          </w:rPr>
          <w:t>3</w:t>
        </w:r>
        <w:r>
          <w:rPr>
            <w:noProof/>
            <w:webHidden/>
          </w:rPr>
          <w:fldChar w:fldCharType="end"/>
        </w:r>
      </w:hyperlink>
    </w:p>
    <w:p w14:paraId="1C82B94F" w14:textId="113AD8B3" w:rsidR="007B3F61" w:rsidRDefault="007B3F61">
      <w:pPr>
        <w:pStyle w:val="TOC3"/>
        <w:tabs>
          <w:tab w:val="right" w:leader="dot" w:pos="10390"/>
        </w:tabs>
        <w:rPr>
          <w:rFonts w:eastAsiaTheme="minorEastAsia"/>
          <w:noProof/>
        </w:rPr>
      </w:pPr>
      <w:hyperlink w:anchor="_Toc125376896" w:history="1">
        <w:r w:rsidRPr="00493421">
          <w:rPr>
            <w:rStyle w:val="Hyperlink"/>
            <w:rFonts w:eastAsia="Helvetica Neue"/>
            <w:noProof/>
          </w:rPr>
          <w:t>Cogan et al. and City of Toronto et al. (1974), 3 O.R. (2d) 661</w:t>
        </w:r>
        <w:r>
          <w:rPr>
            <w:noProof/>
            <w:webHidden/>
          </w:rPr>
          <w:tab/>
        </w:r>
        <w:r>
          <w:rPr>
            <w:noProof/>
            <w:webHidden/>
          </w:rPr>
          <w:fldChar w:fldCharType="begin"/>
        </w:r>
        <w:r>
          <w:rPr>
            <w:noProof/>
            <w:webHidden/>
          </w:rPr>
          <w:instrText xml:space="preserve"> PAGEREF _Toc125376896 \h </w:instrText>
        </w:r>
        <w:r>
          <w:rPr>
            <w:noProof/>
            <w:webHidden/>
          </w:rPr>
        </w:r>
        <w:r>
          <w:rPr>
            <w:noProof/>
            <w:webHidden/>
          </w:rPr>
          <w:fldChar w:fldCharType="separate"/>
        </w:r>
        <w:r>
          <w:rPr>
            <w:noProof/>
            <w:webHidden/>
          </w:rPr>
          <w:t>4</w:t>
        </w:r>
        <w:r>
          <w:rPr>
            <w:noProof/>
            <w:webHidden/>
          </w:rPr>
          <w:fldChar w:fldCharType="end"/>
        </w:r>
      </w:hyperlink>
    </w:p>
    <w:p w14:paraId="5E0BC11F" w14:textId="687F199E" w:rsidR="007B3F61" w:rsidRDefault="007B3F61">
      <w:pPr>
        <w:pStyle w:val="TOC3"/>
        <w:tabs>
          <w:tab w:val="right" w:leader="dot" w:pos="10390"/>
        </w:tabs>
        <w:rPr>
          <w:rFonts w:eastAsiaTheme="minorEastAsia"/>
          <w:noProof/>
        </w:rPr>
      </w:pPr>
      <w:hyperlink w:anchor="_Toc125376897" w:history="1">
        <w:r w:rsidRPr="00493421">
          <w:rPr>
            <w:rStyle w:val="Hyperlink"/>
            <w:rFonts w:eastAsia="Helvetica Neue"/>
            <w:noProof/>
          </w:rPr>
          <w:t>Henry Birks &amp; Sons (Montreal) Ltd. v. City of Montreal, 1955 CanLII 69 (SCC), [1955] SCR 799</w:t>
        </w:r>
        <w:r>
          <w:rPr>
            <w:noProof/>
            <w:webHidden/>
          </w:rPr>
          <w:tab/>
        </w:r>
        <w:r>
          <w:rPr>
            <w:noProof/>
            <w:webHidden/>
          </w:rPr>
          <w:fldChar w:fldCharType="begin"/>
        </w:r>
        <w:r>
          <w:rPr>
            <w:noProof/>
            <w:webHidden/>
          </w:rPr>
          <w:instrText xml:space="preserve"> PAGEREF _Toc125376897 \h </w:instrText>
        </w:r>
        <w:r>
          <w:rPr>
            <w:noProof/>
            <w:webHidden/>
          </w:rPr>
        </w:r>
        <w:r>
          <w:rPr>
            <w:noProof/>
            <w:webHidden/>
          </w:rPr>
          <w:fldChar w:fldCharType="separate"/>
        </w:r>
        <w:r>
          <w:rPr>
            <w:noProof/>
            <w:webHidden/>
          </w:rPr>
          <w:t>4</w:t>
        </w:r>
        <w:r>
          <w:rPr>
            <w:noProof/>
            <w:webHidden/>
          </w:rPr>
          <w:fldChar w:fldCharType="end"/>
        </w:r>
      </w:hyperlink>
    </w:p>
    <w:p w14:paraId="03FCAFA9" w14:textId="7DE59EED" w:rsidR="007B3F61" w:rsidRDefault="007B3F61">
      <w:pPr>
        <w:pStyle w:val="TOC3"/>
        <w:tabs>
          <w:tab w:val="right" w:leader="dot" w:pos="10390"/>
        </w:tabs>
        <w:rPr>
          <w:rFonts w:eastAsiaTheme="minorEastAsia"/>
          <w:noProof/>
        </w:rPr>
      </w:pPr>
      <w:hyperlink w:anchor="_Toc125376898" w:history="1">
        <w:r w:rsidRPr="00493421">
          <w:rPr>
            <w:rStyle w:val="Hyperlink"/>
            <w:rFonts w:eastAsia="Helvetica Neue"/>
            <w:noProof/>
          </w:rPr>
          <w:t>SWITZMAN v. ELBING AND A.G. OF QUEBEC, [1957] S.C.R. 285</w:t>
        </w:r>
        <w:r>
          <w:rPr>
            <w:noProof/>
            <w:webHidden/>
          </w:rPr>
          <w:tab/>
        </w:r>
        <w:r>
          <w:rPr>
            <w:noProof/>
            <w:webHidden/>
          </w:rPr>
          <w:fldChar w:fldCharType="begin"/>
        </w:r>
        <w:r>
          <w:rPr>
            <w:noProof/>
            <w:webHidden/>
          </w:rPr>
          <w:instrText xml:space="preserve"> PAGEREF _Toc125376898 \h </w:instrText>
        </w:r>
        <w:r>
          <w:rPr>
            <w:noProof/>
            <w:webHidden/>
          </w:rPr>
        </w:r>
        <w:r>
          <w:rPr>
            <w:noProof/>
            <w:webHidden/>
          </w:rPr>
          <w:fldChar w:fldCharType="separate"/>
        </w:r>
        <w:r>
          <w:rPr>
            <w:noProof/>
            <w:webHidden/>
          </w:rPr>
          <w:t>4</w:t>
        </w:r>
        <w:r>
          <w:rPr>
            <w:noProof/>
            <w:webHidden/>
          </w:rPr>
          <w:fldChar w:fldCharType="end"/>
        </w:r>
      </w:hyperlink>
    </w:p>
    <w:p w14:paraId="0FEBA15E" w14:textId="2462F1C8" w:rsidR="007B3F61" w:rsidRDefault="007B3F61">
      <w:pPr>
        <w:pStyle w:val="TOC3"/>
        <w:tabs>
          <w:tab w:val="right" w:leader="dot" w:pos="10390"/>
        </w:tabs>
        <w:rPr>
          <w:rFonts w:eastAsiaTheme="minorEastAsia"/>
          <w:noProof/>
        </w:rPr>
      </w:pPr>
      <w:hyperlink w:anchor="_Toc125376899" w:history="1">
        <w:r w:rsidRPr="00493421">
          <w:rPr>
            <w:rStyle w:val="Hyperlink"/>
            <w:rFonts w:eastAsia="Helvetica Neue"/>
            <w:noProof/>
          </w:rPr>
          <w:t>R. v. Asante-Mensah, 2003 SCC 38 (CanLII), [2003] 2 SCR 3</w:t>
        </w:r>
        <w:r>
          <w:rPr>
            <w:noProof/>
            <w:webHidden/>
          </w:rPr>
          <w:tab/>
        </w:r>
        <w:r>
          <w:rPr>
            <w:noProof/>
            <w:webHidden/>
          </w:rPr>
          <w:fldChar w:fldCharType="begin"/>
        </w:r>
        <w:r>
          <w:rPr>
            <w:noProof/>
            <w:webHidden/>
          </w:rPr>
          <w:instrText xml:space="preserve"> PAGEREF _Toc125376899 \h </w:instrText>
        </w:r>
        <w:r>
          <w:rPr>
            <w:noProof/>
            <w:webHidden/>
          </w:rPr>
        </w:r>
        <w:r>
          <w:rPr>
            <w:noProof/>
            <w:webHidden/>
          </w:rPr>
          <w:fldChar w:fldCharType="separate"/>
        </w:r>
        <w:r>
          <w:rPr>
            <w:noProof/>
            <w:webHidden/>
          </w:rPr>
          <w:t>5</w:t>
        </w:r>
        <w:r>
          <w:rPr>
            <w:noProof/>
            <w:webHidden/>
          </w:rPr>
          <w:fldChar w:fldCharType="end"/>
        </w:r>
      </w:hyperlink>
    </w:p>
    <w:p w14:paraId="5D9A44C0" w14:textId="341E12C6" w:rsidR="007B3F61" w:rsidRDefault="007B3F61">
      <w:pPr>
        <w:pStyle w:val="TOC3"/>
        <w:tabs>
          <w:tab w:val="right" w:leader="dot" w:pos="10390"/>
        </w:tabs>
        <w:rPr>
          <w:rFonts w:eastAsiaTheme="minorEastAsia"/>
          <w:noProof/>
        </w:rPr>
      </w:pPr>
      <w:hyperlink w:anchor="_Toc125376900" w:history="1">
        <w:r w:rsidRPr="00493421">
          <w:rPr>
            <w:rStyle w:val="Hyperlink"/>
            <w:rFonts w:eastAsia="Helvetica Neue"/>
            <w:noProof/>
          </w:rPr>
          <w:t>Canadian Bill of Rig</w:t>
        </w:r>
        <w:r w:rsidRPr="00493421">
          <w:rPr>
            <w:rStyle w:val="Hyperlink"/>
            <w:rFonts w:eastAsia="Helvetica Neue"/>
            <w:noProof/>
          </w:rPr>
          <w:t>h</w:t>
        </w:r>
        <w:r w:rsidRPr="00493421">
          <w:rPr>
            <w:rStyle w:val="Hyperlink"/>
            <w:rFonts w:eastAsia="Helvetica Neue"/>
            <w:noProof/>
          </w:rPr>
          <w:t>ts</w:t>
        </w:r>
        <w:r>
          <w:rPr>
            <w:noProof/>
            <w:webHidden/>
          </w:rPr>
          <w:tab/>
        </w:r>
        <w:r>
          <w:rPr>
            <w:noProof/>
            <w:webHidden/>
          </w:rPr>
          <w:fldChar w:fldCharType="begin"/>
        </w:r>
        <w:r>
          <w:rPr>
            <w:noProof/>
            <w:webHidden/>
          </w:rPr>
          <w:instrText xml:space="preserve"> PAGEREF _Toc125376900 \h </w:instrText>
        </w:r>
        <w:r>
          <w:rPr>
            <w:noProof/>
            <w:webHidden/>
          </w:rPr>
        </w:r>
        <w:r>
          <w:rPr>
            <w:noProof/>
            <w:webHidden/>
          </w:rPr>
          <w:fldChar w:fldCharType="separate"/>
        </w:r>
        <w:r>
          <w:rPr>
            <w:noProof/>
            <w:webHidden/>
          </w:rPr>
          <w:t>5</w:t>
        </w:r>
        <w:r>
          <w:rPr>
            <w:noProof/>
            <w:webHidden/>
          </w:rPr>
          <w:fldChar w:fldCharType="end"/>
        </w:r>
      </w:hyperlink>
    </w:p>
    <w:p w14:paraId="024C5D09" w14:textId="51B3EFDC" w:rsidR="007B3F61" w:rsidRDefault="007B3F61">
      <w:pPr>
        <w:pStyle w:val="TOC2"/>
        <w:tabs>
          <w:tab w:val="right" w:leader="dot" w:pos="10390"/>
        </w:tabs>
        <w:rPr>
          <w:rFonts w:eastAsiaTheme="minorEastAsia"/>
          <w:noProof/>
        </w:rPr>
      </w:pPr>
      <w:hyperlink w:anchor="_Toc125376901" w:history="1">
        <w:r w:rsidRPr="00493421">
          <w:rPr>
            <w:rStyle w:val="Hyperlink"/>
            <w:noProof/>
          </w:rPr>
          <w:t>Canadian Bill of Rights - Post Charter relevance:</w:t>
        </w:r>
        <w:r>
          <w:rPr>
            <w:noProof/>
            <w:webHidden/>
          </w:rPr>
          <w:tab/>
        </w:r>
        <w:r>
          <w:rPr>
            <w:noProof/>
            <w:webHidden/>
          </w:rPr>
          <w:fldChar w:fldCharType="begin"/>
        </w:r>
        <w:r>
          <w:rPr>
            <w:noProof/>
            <w:webHidden/>
          </w:rPr>
          <w:instrText xml:space="preserve"> PAGEREF _Toc125376901 \h </w:instrText>
        </w:r>
        <w:r>
          <w:rPr>
            <w:noProof/>
            <w:webHidden/>
          </w:rPr>
        </w:r>
        <w:r>
          <w:rPr>
            <w:noProof/>
            <w:webHidden/>
          </w:rPr>
          <w:fldChar w:fldCharType="separate"/>
        </w:r>
        <w:r>
          <w:rPr>
            <w:noProof/>
            <w:webHidden/>
          </w:rPr>
          <w:t>5</w:t>
        </w:r>
        <w:r>
          <w:rPr>
            <w:noProof/>
            <w:webHidden/>
          </w:rPr>
          <w:fldChar w:fldCharType="end"/>
        </w:r>
      </w:hyperlink>
    </w:p>
    <w:p w14:paraId="4699C93B" w14:textId="7825A6C3" w:rsidR="007B3F61" w:rsidRDefault="007B3F61">
      <w:pPr>
        <w:pStyle w:val="TOC3"/>
        <w:tabs>
          <w:tab w:val="right" w:leader="dot" w:pos="10390"/>
        </w:tabs>
        <w:rPr>
          <w:rFonts w:eastAsiaTheme="minorEastAsia"/>
          <w:noProof/>
        </w:rPr>
      </w:pPr>
      <w:hyperlink w:anchor="_Toc125376902" w:history="1">
        <w:r w:rsidRPr="00493421">
          <w:rPr>
            <w:rStyle w:val="Hyperlink"/>
            <w:noProof/>
          </w:rPr>
          <w:t>R. v. Andrew, 1986 CanLII 966 (BC SC)</w:t>
        </w:r>
        <w:r>
          <w:rPr>
            <w:noProof/>
            <w:webHidden/>
          </w:rPr>
          <w:tab/>
        </w:r>
        <w:r>
          <w:rPr>
            <w:noProof/>
            <w:webHidden/>
          </w:rPr>
          <w:fldChar w:fldCharType="begin"/>
        </w:r>
        <w:r>
          <w:rPr>
            <w:noProof/>
            <w:webHidden/>
          </w:rPr>
          <w:instrText xml:space="preserve"> PAGEREF _Toc125376902 \h </w:instrText>
        </w:r>
        <w:r>
          <w:rPr>
            <w:noProof/>
            <w:webHidden/>
          </w:rPr>
        </w:r>
        <w:r>
          <w:rPr>
            <w:noProof/>
            <w:webHidden/>
          </w:rPr>
          <w:fldChar w:fldCharType="separate"/>
        </w:r>
        <w:r>
          <w:rPr>
            <w:noProof/>
            <w:webHidden/>
          </w:rPr>
          <w:t>5</w:t>
        </w:r>
        <w:r>
          <w:rPr>
            <w:noProof/>
            <w:webHidden/>
          </w:rPr>
          <w:fldChar w:fldCharType="end"/>
        </w:r>
      </w:hyperlink>
    </w:p>
    <w:p w14:paraId="14C9C7A9" w14:textId="5E126B1C" w:rsidR="007B3F61" w:rsidRDefault="007B3F61">
      <w:pPr>
        <w:pStyle w:val="TOC3"/>
        <w:tabs>
          <w:tab w:val="right" w:leader="dot" w:pos="10390"/>
        </w:tabs>
        <w:rPr>
          <w:rFonts w:eastAsiaTheme="minorEastAsia"/>
          <w:noProof/>
        </w:rPr>
      </w:pPr>
      <w:hyperlink w:anchor="_Toc125376903" w:history="1">
        <w:r w:rsidRPr="00493421">
          <w:rPr>
            <w:rStyle w:val="Hyperlink"/>
            <w:rFonts w:eastAsia="Helvetica Neue"/>
            <w:noProof/>
          </w:rPr>
          <w:t>The Queen v. Beauregard, 1986 CanLII 24 (SCC), Para [1986] 2 SCR 56</w:t>
        </w:r>
        <w:r>
          <w:rPr>
            <w:noProof/>
            <w:webHidden/>
          </w:rPr>
          <w:tab/>
        </w:r>
        <w:r>
          <w:rPr>
            <w:noProof/>
            <w:webHidden/>
          </w:rPr>
          <w:fldChar w:fldCharType="begin"/>
        </w:r>
        <w:r>
          <w:rPr>
            <w:noProof/>
            <w:webHidden/>
          </w:rPr>
          <w:instrText xml:space="preserve"> PAGEREF _Toc125376903 \h </w:instrText>
        </w:r>
        <w:r>
          <w:rPr>
            <w:noProof/>
            <w:webHidden/>
          </w:rPr>
        </w:r>
        <w:r>
          <w:rPr>
            <w:noProof/>
            <w:webHidden/>
          </w:rPr>
          <w:fldChar w:fldCharType="separate"/>
        </w:r>
        <w:r>
          <w:rPr>
            <w:noProof/>
            <w:webHidden/>
          </w:rPr>
          <w:t>5</w:t>
        </w:r>
        <w:r>
          <w:rPr>
            <w:noProof/>
            <w:webHidden/>
          </w:rPr>
          <w:fldChar w:fldCharType="end"/>
        </w:r>
      </w:hyperlink>
    </w:p>
    <w:p w14:paraId="1BFD661A" w14:textId="64D54B84" w:rsidR="007B3F61" w:rsidRDefault="007B3F61">
      <w:pPr>
        <w:pStyle w:val="TOC3"/>
        <w:tabs>
          <w:tab w:val="right" w:leader="dot" w:pos="10390"/>
        </w:tabs>
        <w:rPr>
          <w:rFonts w:eastAsiaTheme="minorEastAsia"/>
          <w:noProof/>
        </w:rPr>
      </w:pPr>
      <w:hyperlink w:anchor="_Toc125376904" w:history="1">
        <w:r w:rsidRPr="00493421">
          <w:rPr>
            <w:rStyle w:val="Hyperlink"/>
            <w:rFonts w:eastAsia="Helvetica Neue"/>
            <w:noProof/>
          </w:rPr>
          <w:t>Singh v. Minister of Employment and Immigration, 1985</w:t>
        </w:r>
        <w:r>
          <w:rPr>
            <w:noProof/>
            <w:webHidden/>
          </w:rPr>
          <w:tab/>
        </w:r>
        <w:r>
          <w:rPr>
            <w:noProof/>
            <w:webHidden/>
          </w:rPr>
          <w:fldChar w:fldCharType="begin"/>
        </w:r>
        <w:r>
          <w:rPr>
            <w:noProof/>
            <w:webHidden/>
          </w:rPr>
          <w:instrText xml:space="preserve"> PAGEREF _Toc125376904 \h </w:instrText>
        </w:r>
        <w:r>
          <w:rPr>
            <w:noProof/>
            <w:webHidden/>
          </w:rPr>
        </w:r>
        <w:r>
          <w:rPr>
            <w:noProof/>
            <w:webHidden/>
          </w:rPr>
          <w:fldChar w:fldCharType="separate"/>
        </w:r>
        <w:r>
          <w:rPr>
            <w:noProof/>
            <w:webHidden/>
          </w:rPr>
          <w:t>6</w:t>
        </w:r>
        <w:r>
          <w:rPr>
            <w:noProof/>
            <w:webHidden/>
          </w:rPr>
          <w:fldChar w:fldCharType="end"/>
        </w:r>
      </w:hyperlink>
    </w:p>
    <w:p w14:paraId="6342C6C4" w14:textId="6C73119F" w:rsidR="007B3F61" w:rsidRDefault="007B3F61">
      <w:pPr>
        <w:pStyle w:val="TOC3"/>
        <w:tabs>
          <w:tab w:val="right" w:leader="dot" w:pos="10390"/>
        </w:tabs>
        <w:rPr>
          <w:rFonts w:eastAsiaTheme="minorEastAsia"/>
          <w:noProof/>
        </w:rPr>
      </w:pPr>
      <w:hyperlink w:anchor="_Toc125376905" w:history="1">
        <w:r w:rsidRPr="00493421">
          <w:rPr>
            <w:rStyle w:val="Hyperlink"/>
            <w:rFonts w:eastAsia="Helvetica Neue"/>
            <w:noProof/>
          </w:rPr>
          <w:t>MacBain v. Lederman, 1985 CanLII 5548</w:t>
        </w:r>
        <w:r>
          <w:rPr>
            <w:noProof/>
            <w:webHidden/>
          </w:rPr>
          <w:tab/>
        </w:r>
        <w:r>
          <w:rPr>
            <w:noProof/>
            <w:webHidden/>
          </w:rPr>
          <w:fldChar w:fldCharType="begin"/>
        </w:r>
        <w:r>
          <w:rPr>
            <w:noProof/>
            <w:webHidden/>
          </w:rPr>
          <w:instrText xml:space="preserve"> PAGEREF _Toc125376905 \h </w:instrText>
        </w:r>
        <w:r>
          <w:rPr>
            <w:noProof/>
            <w:webHidden/>
          </w:rPr>
        </w:r>
        <w:r>
          <w:rPr>
            <w:noProof/>
            <w:webHidden/>
          </w:rPr>
          <w:fldChar w:fldCharType="separate"/>
        </w:r>
        <w:r>
          <w:rPr>
            <w:noProof/>
            <w:webHidden/>
          </w:rPr>
          <w:t>6</w:t>
        </w:r>
        <w:r>
          <w:rPr>
            <w:noProof/>
            <w:webHidden/>
          </w:rPr>
          <w:fldChar w:fldCharType="end"/>
        </w:r>
      </w:hyperlink>
    </w:p>
    <w:p w14:paraId="13D02672" w14:textId="0243646F" w:rsidR="007B3F61" w:rsidRDefault="007B3F61">
      <w:pPr>
        <w:pStyle w:val="TOC3"/>
        <w:tabs>
          <w:tab w:val="right" w:leader="dot" w:pos="10390"/>
        </w:tabs>
        <w:rPr>
          <w:rFonts w:eastAsiaTheme="minorEastAsia"/>
          <w:noProof/>
        </w:rPr>
      </w:pPr>
      <w:hyperlink w:anchor="_Toc125376906" w:history="1">
        <w:r w:rsidRPr="00493421">
          <w:rPr>
            <w:rStyle w:val="Hyperlink"/>
            <w:rFonts w:eastAsia="Helvetica Neue"/>
            <w:noProof/>
          </w:rPr>
          <w:t>Oglaza v. J.A.K.K. Tuesdays Sports Pub Inc., 2021 ONSC 7701</w:t>
        </w:r>
        <w:r>
          <w:rPr>
            <w:noProof/>
            <w:webHidden/>
          </w:rPr>
          <w:tab/>
        </w:r>
        <w:r>
          <w:rPr>
            <w:noProof/>
            <w:webHidden/>
          </w:rPr>
          <w:fldChar w:fldCharType="begin"/>
        </w:r>
        <w:r>
          <w:rPr>
            <w:noProof/>
            <w:webHidden/>
          </w:rPr>
          <w:instrText xml:space="preserve"> PAGEREF _Toc125376906 \h </w:instrText>
        </w:r>
        <w:r>
          <w:rPr>
            <w:noProof/>
            <w:webHidden/>
          </w:rPr>
        </w:r>
        <w:r>
          <w:rPr>
            <w:noProof/>
            <w:webHidden/>
          </w:rPr>
          <w:fldChar w:fldCharType="separate"/>
        </w:r>
        <w:r>
          <w:rPr>
            <w:noProof/>
            <w:webHidden/>
          </w:rPr>
          <w:t>6</w:t>
        </w:r>
        <w:r>
          <w:rPr>
            <w:noProof/>
            <w:webHidden/>
          </w:rPr>
          <w:fldChar w:fldCharType="end"/>
        </w:r>
      </w:hyperlink>
    </w:p>
    <w:p w14:paraId="335FA3B4" w14:textId="56D9B7A1" w:rsidR="007B3F61" w:rsidRDefault="007B3F61">
      <w:pPr>
        <w:pStyle w:val="TOC1"/>
        <w:tabs>
          <w:tab w:val="right" w:leader="dot" w:pos="10390"/>
        </w:tabs>
        <w:rPr>
          <w:rFonts w:eastAsiaTheme="minorEastAsia"/>
          <w:noProof/>
        </w:rPr>
      </w:pPr>
      <w:hyperlink w:anchor="_Toc125376907" w:history="1">
        <w:r w:rsidRPr="00493421">
          <w:rPr>
            <w:rStyle w:val="Hyperlink"/>
            <w:rFonts w:cstheme="minorHAnsi"/>
            <w:noProof/>
          </w:rPr>
          <w:t>CASE LAW REGARDING THE RIGHT TO PROTEST:</w:t>
        </w:r>
        <w:r>
          <w:rPr>
            <w:noProof/>
            <w:webHidden/>
          </w:rPr>
          <w:tab/>
        </w:r>
        <w:r>
          <w:rPr>
            <w:noProof/>
            <w:webHidden/>
          </w:rPr>
          <w:fldChar w:fldCharType="begin"/>
        </w:r>
        <w:r>
          <w:rPr>
            <w:noProof/>
            <w:webHidden/>
          </w:rPr>
          <w:instrText xml:space="preserve"> PAGEREF _Toc125376907 \h </w:instrText>
        </w:r>
        <w:r>
          <w:rPr>
            <w:noProof/>
            <w:webHidden/>
          </w:rPr>
        </w:r>
        <w:r>
          <w:rPr>
            <w:noProof/>
            <w:webHidden/>
          </w:rPr>
          <w:fldChar w:fldCharType="separate"/>
        </w:r>
        <w:r>
          <w:rPr>
            <w:noProof/>
            <w:webHidden/>
          </w:rPr>
          <w:t>7</w:t>
        </w:r>
        <w:r>
          <w:rPr>
            <w:noProof/>
            <w:webHidden/>
          </w:rPr>
          <w:fldChar w:fldCharType="end"/>
        </w:r>
      </w:hyperlink>
    </w:p>
    <w:p w14:paraId="77180462" w14:textId="30C4737A" w:rsidR="007B3F61" w:rsidRDefault="007B3F61">
      <w:pPr>
        <w:pStyle w:val="TOC2"/>
        <w:tabs>
          <w:tab w:val="right" w:leader="dot" w:pos="10390"/>
        </w:tabs>
        <w:rPr>
          <w:rFonts w:eastAsiaTheme="minorEastAsia"/>
          <w:noProof/>
        </w:rPr>
      </w:pPr>
      <w:hyperlink w:anchor="_Toc125376908" w:history="1">
        <w:r w:rsidRPr="00493421">
          <w:rPr>
            <w:rStyle w:val="Hyperlink"/>
            <w:rFonts w:cstheme="minorHAnsi"/>
            <w:noProof/>
          </w:rPr>
          <w:t>Right to Protest, In a Time of Emergency:</w:t>
        </w:r>
        <w:r>
          <w:rPr>
            <w:noProof/>
            <w:webHidden/>
          </w:rPr>
          <w:tab/>
        </w:r>
        <w:r>
          <w:rPr>
            <w:noProof/>
            <w:webHidden/>
          </w:rPr>
          <w:fldChar w:fldCharType="begin"/>
        </w:r>
        <w:r>
          <w:rPr>
            <w:noProof/>
            <w:webHidden/>
          </w:rPr>
          <w:instrText xml:space="preserve"> PAGEREF _Toc125376908 \h </w:instrText>
        </w:r>
        <w:r>
          <w:rPr>
            <w:noProof/>
            <w:webHidden/>
          </w:rPr>
        </w:r>
        <w:r>
          <w:rPr>
            <w:noProof/>
            <w:webHidden/>
          </w:rPr>
          <w:fldChar w:fldCharType="separate"/>
        </w:r>
        <w:r>
          <w:rPr>
            <w:noProof/>
            <w:webHidden/>
          </w:rPr>
          <w:t>7</w:t>
        </w:r>
        <w:r>
          <w:rPr>
            <w:noProof/>
            <w:webHidden/>
          </w:rPr>
          <w:fldChar w:fldCharType="end"/>
        </w:r>
      </w:hyperlink>
    </w:p>
    <w:p w14:paraId="6F6D1531" w14:textId="0C488740" w:rsidR="007B3F61" w:rsidRDefault="007B3F61">
      <w:pPr>
        <w:pStyle w:val="TOC3"/>
        <w:tabs>
          <w:tab w:val="right" w:leader="dot" w:pos="10390"/>
        </w:tabs>
        <w:rPr>
          <w:rFonts w:eastAsiaTheme="minorEastAsia"/>
          <w:noProof/>
        </w:rPr>
      </w:pPr>
      <w:hyperlink w:anchor="_Toc125376909" w:history="1">
        <w:r w:rsidRPr="00493421">
          <w:rPr>
            <w:rStyle w:val="Hyperlink"/>
            <w:noProof/>
          </w:rPr>
          <w:t>Beaudoin v British Columbia, 2021, Supreme Court of BC:</w:t>
        </w:r>
        <w:r>
          <w:rPr>
            <w:noProof/>
            <w:webHidden/>
          </w:rPr>
          <w:tab/>
        </w:r>
        <w:r>
          <w:rPr>
            <w:noProof/>
            <w:webHidden/>
          </w:rPr>
          <w:fldChar w:fldCharType="begin"/>
        </w:r>
        <w:r>
          <w:rPr>
            <w:noProof/>
            <w:webHidden/>
          </w:rPr>
          <w:instrText xml:space="preserve"> PAGEREF _Toc125376909 \h </w:instrText>
        </w:r>
        <w:r>
          <w:rPr>
            <w:noProof/>
            <w:webHidden/>
          </w:rPr>
        </w:r>
        <w:r>
          <w:rPr>
            <w:noProof/>
            <w:webHidden/>
          </w:rPr>
          <w:fldChar w:fldCharType="separate"/>
        </w:r>
        <w:r>
          <w:rPr>
            <w:noProof/>
            <w:webHidden/>
          </w:rPr>
          <w:t>7</w:t>
        </w:r>
        <w:r>
          <w:rPr>
            <w:noProof/>
            <w:webHidden/>
          </w:rPr>
          <w:fldChar w:fldCharType="end"/>
        </w:r>
      </w:hyperlink>
    </w:p>
    <w:p w14:paraId="46D2E0BA" w14:textId="1E86853C" w:rsidR="007B3F61" w:rsidRDefault="007B3F61">
      <w:pPr>
        <w:pStyle w:val="TOC2"/>
        <w:tabs>
          <w:tab w:val="right" w:leader="dot" w:pos="10390"/>
        </w:tabs>
        <w:rPr>
          <w:rFonts w:eastAsiaTheme="minorEastAsia"/>
          <w:noProof/>
        </w:rPr>
      </w:pPr>
      <w:hyperlink w:anchor="_Toc125376910" w:history="1">
        <w:r w:rsidRPr="00493421">
          <w:rPr>
            <w:rStyle w:val="Hyperlink"/>
            <w:rFonts w:cstheme="minorHAnsi"/>
            <w:noProof/>
          </w:rPr>
          <w:t>Police Cannot Arrest to Prevent a Breach of the Peace:</w:t>
        </w:r>
        <w:r>
          <w:rPr>
            <w:noProof/>
            <w:webHidden/>
          </w:rPr>
          <w:tab/>
        </w:r>
        <w:r>
          <w:rPr>
            <w:noProof/>
            <w:webHidden/>
          </w:rPr>
          <w:fldChar w:fldCharType="begin"/>
        </w:r>
        <w:r>
          <w:rPr>
            <w:noProof/>
            <w:webHidden/>
          </w:rPr>
          <w:instrText xml:space="preserve"> PAGEREF _Toc125376910 \h </w:instrText>
        </w:r>
        <w:r>
          <w:rPr>
            <w:noProof/>
            <w:webHidden/>
          </w:rPr>
        </w:r>
        <w:r>
          <w:rPr>
            <w:noProof/>
            <w:webHidden/>
          </w:rPr>
          <w:fldChar w:fldCharType="separate"/>
        </w:r>
        <w:r>
          <w:rPr>
            <w:noProof/>
            <w:webHidden/>
          </w:rPr>
          <w:t>7</w:t>
        </w:r>
        <w:r>
          <w:rPr>
            <w:noProof/>
            <w:webHidden/>
          </w:rPr>
          <w:fldChar w:fldCharType="end"/>
        </w:r>
      </w:hyperlink>
    </w:p>
    <w:p w14:paraId="23041704" w14:textId="722BF371" w:rsidR="007B3F61" w:rsidRDefault="007B3F61">
      <w:pPr>
        <w:pStyle w:val="TOC3"/>
        <w:tabs>
          <w:tab w:val="right" w:leader="dot" w:pos="10390"/>
        </w:tabs>
        <w:rPr>
          <w:rFonts w:eastAsiaTheme="minorEastAsia"/>
          <w:noProof/>
        </w:rPr>
      </w:pPr>
      <w:hyperlink w:anchor="_Toc125376911" w:history="1">
        <w:r w:rsidRPr="00493421">
          <w:rPr>
            <w:rStyle w:val="Hyperlink"/>
            <w:noProof/>
          </w:rPr>
          <w:t>Fleming v Ontario, 2009, Supreme Court of Canada:</w:t>
        </w:r>
        <w:r>
          <w:rPr>
            <w:noProof/>
            <w:webHidden/>
          </w:rPr>
          <w:tab/>
        </w:r>
        <w:r>
          <w:rPr>
            <w:noProof/>
            <w:webHidden/>
          </w:rPr>
          <w:fldChar w:fldCharType="begin"/>
        </w:r>
        <w:r>
          <w:rPr>
            <w:noProof/>
            <w:webHidden/>
          </w:rPr>
          <w:instrText xml:space="preserve"> PAGEREF _Toc125376911 \h </w:instrText>
        </w:r>
        <w:r>
          <w:rPr>
            <w:noProof/>
            <w:webHidden/>
          </w:rPr>
        </w:r>
        <w:r>
          <w:rPr>
            <w:noProof/>
            <w:webHidden/>
          </w:rPr>
          <w:fldChar w:fldCharType="separate"/>
        </w:r>
        <w:r>
          <w:rPr>
            <w:noProof/>
            <w:webHidden/>
          </w:rPr>
          <w:t>7</w:t>
        </w:r>
        <w:r>
          <w:rPr>
            <w:noProof/>
            <w:webHidden/>
          </w:rPr>
          <w:fldChar w:fldCharType="end"/>
        </w:r>
      </w:hyperlink>
    </w:p>
    <w:p w14:paraId="6EF3A6F4" w14:textId="549B5391" w:rsidR="007B3F61" w:rsidRDefault="007B3F61">
      <w:pPr>
        <w:pStyle w:val="TOC2"/>
        <w:tabs>
          <w:tab w:val="right" w:leader="dot" w:pos="10390"/>
        </w:tabs>
        <w:rPr>
          <w:rFonts w:eastAsiaTheme="minorEastAsia"/>
          <w:noProof/>
        </w:rPr>
      </w:pPr>
      <w:hyperlink w:anchor="_Toc125376912" w:history="1">
        <w:r w:rsidRPr="00493421">
          <w:rPr>
            <w:rStyle w:val="Hyperlink"/>
            <w:rFonts w:cstheme="minorHAnsi"/>
            <w:noProof/>
          </w:rPr>
          <w:t>Right to Protest on Public Land:</w:t>
        </w:r>
        <w:r>
          <w:rPr>
            <w:noProof/>
            <w:webHidden/>
          </w:rPr>
          <w:tab/>
        </w:r>
        <w:r>
          <w:rPr>
            <w:noProof/>
            <w:webHidden/>
          </w:rPr>
          <w:fldChar w:fldCharType="begin"/>
        </w:r>
        <w:r>
          <w:rPr>
            <w:noProof/>
            <w:webHidden/>
          </w:rPr>
          <w:instrText xml:space="preserve"> PAGEREF _Toc125376912 \h </w:instrText>
        </w:r>
        <w:r>
          <w:rPr>
            <w:noProof/>
            <w:webHidden/>
          </w:rPr>
        </w:r>
        <w:r>
          <w:rPr>
            <w:noProof/>
            <w:webHidden/>
          </w:rPr>
          <w:fldChar w:fldCharType="separate"/>
        </w:r>
        <w:r>
          <w:rPr>
            <w:noProof/>
            <w:webHidden/>
          </w:rPr>
          <w:t>8</w:t>
        </w:r>
        <w:r>
          <w:rPr>
            <w:noProof/>
            <w:webHidden/>
          </w:rPr>
          <w:fldChar w:fldCharType="end"/>
        </w:r>
      </w:hyperlink>
    </w:p>
    <w:p w14:paraId="1458C8D1" w14:textId="4DD5631B" w:rsidR="007B3F61" w:rsidRDefault="007B3F61">
      <w:pPr>
        <w:pStyle w:val="TOC3"/>
        <w:tabs>
          <w:tab w:val="right" w:leader="dot" w:pos="10390"/>
        </w:tabs>
        <w:rPr>
          <w:rFonts w:eastAsiaTheme="minorEastAsia"/>
          <w:noProof/>
        </w:rPr>
      </w:pPr>
      <w:hyperlink w:anchor="_Toc125376913" w:history="1">
        <w:r w:rsidRPr="00493421">
          <w:rPr>
            <w:rStyle w:val="Hyperlink"/>
            <w:noProof/>
          </w:rPr>
          <w:t>Bracken v Town of Fort Erie, Court of Appeal Ontario 2017:</w:t>
        </w:r>
        <w:r>
          <w:rPr>
            <w:noProof/>
            <w:webHidden/>
          </w:rPr>
          <w:tab/>
        </w:r>
        <w:r>
          <w:rPr>
            <w:noProof/>
            <w:webHidden/>
          </w:rPr>
          <w:fldChar w:fldCharType="begin"/>
        </w:r>
        <w:r>
          <w:rPr>
            <w:noProof/>
            <w:webHidden/>
          </w:rPr>
          <w:instrText xml:space="preserve"> PAGEREF _Toc125376913 \h </w:instrText>
        </w:r>
        <w:r>
          <w:rPr>
            <w:noProof/>
            <w:webHidden/>
          </w:rPr>
        </w:r>
        <w:r>
          <w:rPr>
            <w:noProof/>
            <w:webHidden/>
          </w:rPr>
          <w:fldChar w:fldCharType="separate"/>
        </w:r>
        <w:r>
          <w:rPr>
            <w:noProof/>
            <w:webHidden/>
          </w:rPr>
          <w:t>8</w:t>
        </w:r>
        <w:r>
          <w:rPr>
            <w:noProof/>
            <w:webHidden/>
          </w:rPr>
          <w:fldChar w:fldCharType="end"/>
        </w:r>
      </w:hyperlink>
    </w:p>
    <w:p w14:paraId="2D1CBC3D" w14:textId="726BCA1F" w:rsidR="007B3F61" w:rsidRDefault="007B3F61">
      <w:pPr>
        <w:pStyle w:val="TOC1"/>
        <w:tabs>
          <w:tab w:val="right" w:leader="dot" w:pos="10390"/>
        </w:tabs>
        <w:rPr>
          <w:rFonts w:eastAsiaTheme="minorEastAsia"/>
          <w:noProof/>
        </w:rPr>
      </w:pPr>
      <w:hyperlink w:anchor="_Toc125376914" w:history="1">
        <w:r w:rsidRPr="00493421">
          <w:rPr>
            <w:rStyle w:val="Hyperlink"/>
            <w:rFonts w:cstheme="minorHAnsi"/>
            <w:noProof/>
          </w:rPr>
          <w:t>CASE LAW ON EMPLOYMENT RIGHTS:</w:t>
        </w:r>
        <w:r>
          <w:rPr>
            <w:noProof/>
            <w:webHidden/>
          </w:rPr>
          <w:tab/>
        </w:r>
        <w:r>
          <w:rPr>
            <w:noProof/>
            <w:webHidden/>
          </w:rPr>
          <w:fldChar w:fldCharType="begin"/>
        </w:r>
        <w:r>
          <w:rPr>
            <w:noProof/>
            <w:webHidden/>
          </w:rPr>
          <w:instrText xml:space="preserve"> PAGEREF _Toc125376914 \h </w:instrText>
        </w:r>
        <w:r>
          <w:rPr>
            <w:noProof/>
            <w:webHidden/>
          </w:rPr>
        </w:r>
        <w:r>
          <w:rPr>
            <w:noProof/>
            <w:webHidden/>
          </w:rPr>
          <w:fldChar w:fldCharType="separate"/>
        </w:r>
        <w:r>
          <w:rPr>
            <w:noProof/>
            <w:webHidden/>
          </w:rPr>
          <w:t>8</w:t>
        </w:r>
        <w:r>
          <w:rPr>
            <w:noProof/>
            <w:webHidden/>
          </w:rPr>
          <w:fldChar w:fldCharType="end"/>
        </w:r>
      </w:hyperlink>
    </w:p>
    <w:p w14:paraId="426E407C" w14:textId="0DA8CBBF" w:rsidR="007B3F61" w:rsidRDefault="007B3F61">
      <w:pPr>
        <w:pStyle w:val="TOC2"/>
        <w:tabs>
          <w:tab w:val="right" w:leader="dot" w:pos="10390"/>
        </w:tabs>
        <w:rPr>
          <w:rFonts w:eastAsiaTheme="minorEastAsia"/>
          <w:noProof/>
        </w:rPr>
      </w:pPr>
      <w:hyperlink w:anchor="_Toc125376915" w:history="1">
        <w:r w:rsidRPr="00493421">
          <w:rPr>
            <w:rStyle w:val="Hyperlink"/>
            <w:rFonts w:cstheme="minorHAnsi"/>
            <w:noProof/>
            <w:shd w:val="clear" w:color="auto" w:fill="FFFFFF"/>
          </w:rPr>
          <w:t>Leave Without Pay:</w:t>
        </w:r>
        <w:r>
          <w:rPr>
            <w:noProof/>
            <w:webHidden/>
          </w:rPr>
          <w:tab/>
        </w:r>
        <w:r>
          <w:rPr>
            <w:noProof/>
            <w:webHidden/>
          </w:rPr>
          <w:fldChar w:fldCharType="begin"/>
        </w:r>
        <w:r>
          <w:rPr>
            <w:noProof/>
            <w:webHidden/>
          </w:rPr>
          <w:instrText xml:space="preserve"> PAGEREF _Toc125376915 \h </w:instrText>
        </w:r>
        <w:r>
          <w:rPr>
            <w:noProof/>
            <w:webHidden/>
          </w:rPr>
        </w:r>
        <w:r>
          <w:rPr>
            <w:noProof/>
            <w:webHidden/>
          </w:rPr>
          <w:fldChar w:fldCharType="separate"/>
        </w:r>
        <w:r>
          <w:rPr>
            <w:noProof/>
            <w:webHidden/>
          </w:rPr>
          <w:t>8</w:t>
        </w:r>
        <w:r>
          <w:rPr>
            <w:noProof/>
            <w:webHidden/>
          </w:rPr>
          <w:fldChar w:fldCharType="end"/>
        </w:r>
      </w:hyperlink>
    </w:p>
    <w:p w14:paraId="1AACA419" w14:textId="6AF8252A" w:rsidR="007B3F61" w:rsidRDefault="007B3F61">
      <w:pPr>
        <w:pStyle w:val="TOC3"/>
        <w:tabs>
          <w:tab w:val="right" w:leader="dot" w:pos="10390"/>
        </w:tabs>
        <w:rPr>
          <w:rFonts w:eastAsiaTheme="minorEastAsia"/>
          <w:noProof/>
        </w:rPr>
      </w:pPr>
      <w:hyperlink w:anchor="_Toc125376916" w:history="1">
        <w:r w:rsidRPr="00493421">
          <w:rPr>
            <w:rStyle w:val="Hyperlink"/>
            <w:noProof/>
          </w:rPr>
          <w:t>Cabiakman v. Industrial Alliance Life Insurance Co., 2004, Court of Appeal for Quebec:</w:t>
        </w:r>
        <w:r>
          <w:rPr>
            <w:noProof/>
            <w:webHidden/>
          </w:rPr>
          <w:tab/>
        </w:r>
        <w:r>
          <w:rPr>
            <w:noProof/>
            <w:webHidden/>
          </w:rPr>
          <w:fldChar w:fldCharType="begin"/>
        </w:r>
        <w:r>
          <w:rPr>
            <w:noProof/>
            <w:webHidden/>
          </w:rPr>
          <w:instrText xml:space="preserve"> PAGEREF _Toc125376916 \h </w:instrText>
        </w:r>
        <w:r>
          <w:rPr>
            <w:noProof/>
            <w:webHidden/>
          </w:rPr>
        </w:r>
        <w:r>
          <w:rPr>
            <w:noProof/>
            <w:webHidden/>
          </w:rPr>
          <w:fldChar w:fldCharType="separate"/>
        </w:r>
        <w:r>
          <w:rPr>
            <w:noProof/>
            <w:webHidden/>
          </w:rPr>
          <w:t>8</w:t>
        </w:r>
        <w:r>
          <w:rPr>
            <w:noProof/>
            <w:webHidden/>
          </w:rPr>
          <w:fldChar w:fldCharType="end"/>
        </w:r>
      </w:hyperlink>
    </w:p>
    <w:p w14:paraId="6C201EC2" w14:textId="0039E220" w:rsidR="007B3F61" w:rsidRDefault="007B3F61">
      <w:pPr>
        <w:pStyle w:val="TOC2"/>
        <w:tabs>
          <w:tab w:val="right" w:leader="dot" w:pos="10390"/>
        </w:tabs>
        <w:rPr>
          <w:rFonts w:eastAsiaTheme="minorEastAsia"/>
          <w:noProof/>
        </w:rPr>
      </w:pPr>
      <w:hyperlink w:anchor="_Toc125376917" w:history="1">
        <w:r w:rsidRPr="00493421">
          <w:rPr>
            <w:rStyle w:val="Hyperlink"/>
            <w:rFonts w:cstheme="minorHAnsi"/>
            <w:noProof/>
          </w:rPr>
          <w:t>Arbitration Ruling Upholding Section 63 Of OHSA and a Collective Agreement:</w:t>
        </w:r>
        <w:r>
          <w:rPr>
            <w:noProof/>
            <w:webHidden/>
          </w:rPr>
          <w:tab/>
        </w:r>
        <w:r>
          <w:rPr>
            <w:noProof/>
            <w:webHidden/>
          </w:rPr>
          <w:fldChar w:fldCharType="begin"/>
        </w:r>
        <w:r>
          <w:rPr>
            <w:noProof/>
            <w:webHidden/>
          </w:rPr>
          <w:instrText xml:space="preserve"> PAGEREF _Toc125376917 \h </w:instrText>
        </w:r>
        <w:r>
          <w:rPr>
            <w:noProof/>
            <w:webHidden/>
          </w:rPr>
        </w:r>
        <w:r>
          <w:rPr>
            <w:noProof/>
            <w:webHidden/>
          </w:rPr>
          <w:fldChar w:fldCharType="separate"/>
        </w:r>
        <w:r>
          <w:rPr>
            <w:noProof/>
            <w:webHidden/>
          </w:rPr>
          <w:t>9</w:t>
        </w:r>
        <w:r>
          <w:rPr>
            <w:noProof/>
            <w:webHidden/>
          </w:rPr>
          <w:fldChar w:fldCharType="end"/>
        </w:r>
      </w:hyperlink>
    </w:p>
    <w:p w14:paraId="2748E3DA" w14:textId="4809A7F3" w:rsidR="007B3F61" w:rsidRDefault="007B3F61">
      <w:pPr>
        <w:pStyle w:val="TOC3"/>
        <w:tabs>
          <w:tab w:val="right" w:leader="dot" w:pos="10390"/>
        </w:tabs>
        <w:rPr>
          <w:rFonts w:eastAsiaTheme="minorEastAsia"/>
          <w:noProof/>
        </w:rPr>
      </w:pPr>
      <w:hyperlink w:anchor="_Toc125376918" w:history="1">
        <w:r w:rsidRPr="00493421">
          <w:rPr>
            <w:rStyle w:val="Hyperlink"/>
            <w:noProof/>
          </w:rPr>
          <w:t>St. Patrick's Home of Ottawa Inc. v Canadian Union of Public Employees, Local 2437, 2016:</w:t>
        </w:r>
        <w:r>
          <w:rPr>
            <w:noProof/>
            <w:webHidden/>
          </w:rPr>
          <w:tab/>
        </w:r>
        <w:r>
          <w:rPr>
            <w:noProof/>
            <w:webHidden/>
          </w:rPr>
          <w:fldChar w:fldCharType="begin"/>
        </w:r>
        <w:r>
          <w:rPr>
            <w:noProof/>
            <w:webHidden/>
          </w:rPr>
          <w:instrText xml:space="preserve"> PAGEREF _Toc125376918 \h </w:instrText>
        </w:r>
        <w:r>
          <w:rPr>
            <w:noProof/>
            <w:webHidden/>
          </w:rPr>
        </w:r>
        <w:r>
          <w:rPr>
            <w:noProof/>
            <w:webHidden/>
          </w:rPr>
          <w:fldChar w:fldCharType="separate"/>
        </w:r>
        <w:r>
          <w:rPr>
            <w:noProof/>
            <w:webHidden/>
          </w:rPr>
          <w:t>9</w:t>
        </w:r>
        <w:r>
          <w:rPr>
            <w:noProof/>
            <w:webHidden/>
          </w:rPr>
          <w:fldChar w:fldCharType="end"/>
        </w:r>
      </w:hyperlink>
    </w:p>
    <w:p w14:paraId="3259E0E9" w14:textId="04F7A5CB" w:rsidR="007B3F61" w:rsidRDefault="007B3F61">
      <w:pPr>
        <w:pStyle w:val="TOC1"/>
        <w:tabs>
          <w:tab w:val="right" w:leader="dot" w:pos="10390"/>
        </w:tabs>
        <w:rPr>
          <w:rFonts w:eastAsiaTheme="minorEastAsia"/>
          <w:noProof/>
        </w:rPr>
      </w:pPr>
      <w:hyperlink w:anchor="_Toc125376919" w:history="1">
        <w:r w:rsidRPr="00493421">
          <w:rPr>
            <w:rStyle w:val="Hyperlink"/>
            <w:rFonts w:cstheme="minorHAnsi"/>
            <w:noProof/>
          </w:rPr>
          <w:t>CASE LAW ON INFORMED CONSENT:</w:t>
        </w:r>
        <w:r>
          <w:rPr>
            <w:noProof/>
            <w:webHidden/>
          </w:rPr>
          <w:tab/>
        </w:r>
        <w:r>
          <w:rPr>
            <w:noProof/>
            <w:webHidden/>
          </w:rPr>
          <w:fldChar w:fldCharType="begin"/>
        </w:r>
        <w:r>
          <w:rPr>
            <w:noProof/>
            <w:webHidden/>
          </w:rPr>
          <w:instrText xml:space="preserve"> PAGEREF _Toc125376919 \h </w:instrText>
        </w:r>
        <w:r>
          <w:rPr>
            <w:noProof/>
            <w:webHidden/>
          </w:rPr>
        </w:r>
        <w:r>
          <w:rPr>
            <w:noProof/>
            <w:webHidden/>
          </w:rPr>
          <w:fldChar w:fldCharType="separate"/>
        </w:r>
        <w:r>
          <w:rPr>
            <w:noProof/>
            <w:webHidden/>
          </w:rPr>
          <w:t>9</w:t>
        </w:r>
        <w:r>
          <w:rPr>
            <w:noProof/>
            <w:webHidden/>
          </w:rPr>
          <w:fldChar w:fldCharType="end"/>
        </w:r>
      </w:hyperlink>
    </w:p>
    <w:p w14:paraId="3D1625C2" w14:textId="04014761" w:rsidR="007B3F61" w:rsidRDefault="007B3F61">
      <w:pPr>
        <w:pStyle w:val="TOC2"/>
        <w:tabs>
          <w:tab w:val="right" w:leader="dot" w:pos="10390"/>
        </w:tabs>
        <w:rPr>
          <w:rFonts w:eastAsiaTheme="minorEastAsia"/>
          <w:noProof/>
        </w:rPr>
      </w:pPr>
      <w:hyperlink w:anchor="_Toc125376920" w:history="1">
        <w:r w:rsidRPr="00493421">
          <w:rPr>
            <w:rStyle w:val="Hyperlink"/>
            <w:rFonts w:cstheme="minorHAnsi"/>
            <w:noProof/>
          </w:rPr>
          <w:t>Informed Medical Consent:</w:t>
        </w:r>
        <w:r>
          <w:rPr>
            <w:noProof/>
            <w:webHidden/>
          </w:rPr>
          <w:tab/>
        </w:r>
        <w:r>
          <w:rPr>
            <w:noProof/>
            <w:webHidden/>
          </w:rPr>
          <w:fldChar w:fldCharType="begin"/>
        </w:r>
        <w:r>
          <w:rPr>
            <w:noProof/>
            <w:webHidden/>
          </w:rPr>
          <w:instrText xml:space="preserve"> PAGEREF _Toc125376920 \h </w:instrText>
        </w:r>
        <w:r>
          <w:rPr>
            <w:noProof/>
            <w:webHidden/>
          </w:rPr>
        </w:r>
        <w:r>
          <w:rPr>
            <w:noProof/>
            <w:webHidden/>
          </w:rPr>
          <w:fldChar w:fldCharType="separate"/>
        </w:r>
        <w:r>
          <w:rPr>
            <w:noProof/>
            <w:webHidden/>
          </w:rPr>
          <w:t>9</w:t>
        </w:r>
        <w:r>
          <w:rPr>
            <w:noProof/>
            <w:webHidden/>
          </w:rPr>
          <w:fldChar w:fldCharType="end"/>
        </w:r>
      </w:hyperlink>
    </w:p>
    <w:p w14:paraId="15B35886" w14:textId="2C3DED43" w:rsidR="007B3F61" w:rsidRDefault="007B3F61">
      <w:pPr>
        <w:pStyle w:val="TOC3"/>
        <w:tabs>
          <w:tab w:val="right" w:leader="dot" w:pos="10390"/>
        </w:tabs>
        <w:rPr>
          <w:rFonts w:eastAsiaTheme="minorEastAsia"/>
          <w:noProof/>
        </w:rPr>
      </w:pPr>
      <w:hyperlink w:anchor="_Toc125376921" w:history="1">
        <w:r w:rsidRPr="00493421">
          <w:rPr>
            <w:rStyle w:val="Hyperlink"/>
            <w:noProof/>
          </w:rPr>
          <w:t>Parmley vs Parmley, 1945, Court of Appeal BC:</w:t>
        </w:r>
        <w:r>
          <w:rPr>
            <w:noProof/>
            <w:webHidden/>
          </w:rPr>
          <w:tab/>
        </w:r>
        <w:r>
          <w:rPr>
            <w:noProof/>
            <w:webHidden/>
          </w:rPr>
          <w:fldChar w:fldCharType="begin"/>
        </w:r>
        <w:r>
          <w:rPr>
            <w:noProof/>
            <w:webHidden/>
          </w:rPr>
          <w:instrText xml:space="preserve"> PAGEREF _Toc125376921 \h </w:instrText>
        </w:r>
        <w:r>
          <w:rPr>
            <w:noProof/>
            <w:webHidden/>
          </w:rPr>
        </w:r>
        <w:r>
          <w:rPr>
            <w:noProof/>
            <w:webHidden/>
          </w:rPr>
          <w:fldChar w:fldCharType="separate"/>
        </w:r>
        <w:r>
          <w:rPr>
            <w:noProof/>
            <w:webHidden/>
          </w:rPr>
          <w:t>9</w:t>
        </w:r>
        <w:r>
          <w:rPr>
            <w:noProof/>
            <w:webHidden/>
          </w:rPr>
          <w:fldChar w:fldCharType="end"/>
        </w:r>
      </w:hyperlink>
    </w:p>
    <w:p w14:paraId="1C57C661" w14:textId="592E4072" w:rsidR="007B3F61" w:rsidRDefault="007B3F61">
      <w:pPr>
        <w:pStyle w:val="TOC3"/>
        <w:tabs>
          <w:tab w:val="right" w:leader="dot" w:pos="10390"/>
        </w:tabs>
        <w:rPr>
          <w:rFonts w:eastAsiaTheme="minorEastAsia"/>
          <w:noProof/>
        </w:rPr>
      </w:pPr>
      <w:hyperlink w:anchor="_Toc125376922" w:history="1">
        <w:r w:rsidRPr="00493421">
          <w:rPr>
            <w:rStyle w:val="Hyperlink"/>
            <w:noProof/>
          </w:rPr>
          <w:t>Hopp vs Lepp, 1980, Supreme Court of Appeal Alberta:</w:t>
        </w:r>
        <w:r>
          <w:rPr>
            <w:noProof/>
            <w:webHidden/>
          </w:rPr>
          <w:tab/>
        </w:r>
        <w:r>
          <w:rPr>
            <w:noProof/>
            <w:webHidden/>
          </w:rPr>
          <w:fldChar w:fldCharType="begin"/>
        </w:r>
        <w:r>
          <w:rPr>
            <w:noProof/>
            <w:webHidden/>
          </w:rPr>
          <w:instrText xml:space="preserve"> PAGEREF _Toc125376922 \h </w:instrText>
        </w:r>
        <w:r>
          <w:rPr>
            <w:noProof/>
            <w:webHidden/>
          </w:rPr>
        </w:r>
        <w:r>
          <w:rPr>
            <w:noProof/>
            <w:webHidden/>
          </w:rPr>
          <w:fldChar w:fldCharType="separate"/>
        </w:r>
        <w:r>
          <w:rPr>
            <w:noProof/>
            <w:webHidden/>
          </w:rPr>
          <w:t>9</w:t>
        </w:r>
        <w:r>
          <w:rPr>
            <w:noProof/>
            <w:webHidden/>
          </w:rPr>
          <w:fldChar w:fldCharType="end"/>
        </w:r>
      </w:hyperlink>
    </w:p>
    <w:p w14:paraId="6E622577" w14:textId="26326D36" w:rsidR="007B3F61" w:rsidRDefault="007B3F61">
      <w:pPr>
        <w:pStyle w:val="TOC2"/>
        <w:tabs>
          <w:tab w:val="right" w:leader="dot" w:pos="10390"/>
        </w:tabs>
        <w:rPr>
          <w:rFonts w:eastAsiaTheme="minorEastAsia"/>
          <w:noProof/>
        </w:rPr>
      </w:pPr>
      <w:hyperlink w:anchor="_Toc125376923" w:history="1">
        <w:r w:rsidRPr="00493421">
          <w:rPr>
            <w:rStyle w:val="Hyperlink"/>
            <w:rFonts w:cstheme="minorHAnsi"/>
            <w:noProof/>
          </w:rPr>
          <w:t>If There is No Consent, the Act is Assault:</w:t>
        </w:r>
        <w:r>
          <w:rPr>
            <w:noProof/>
            <w:webHidden/>
          </w:rPr>
          <w:tab/>
        </w:r>
        <w:r>
          <w:rPr>
            <w:noProof/>
            <w:webHidden/>
          </w:rPr>
          <w:fldChar w:fldCharType="begin"/>
        </w:r>
        <w:r>
          <w:rPr>
            <w:noProof/>
            <w:webHidden/>
          </w:rPr>
          <w:instrText xml:space="preserve"> PAGEREF _Toc125376923 \h </w:instrText>
        </w:r>
        <w:r>
          <w:rPr>
            <w:noProof/>
            <w:webHidden/>
          </w:rPr>
        </w:r>
        <w:r>
          <w:rPr>
            <w:noProof/>
            <w:webHidden/>
          </w:rPr>
          <w:fldChar w:fldCharType="separate"/>
        </w:r>
        <w:r>
          <w:rPr>
            <w:noProof/>
            <w:webHidden/>
          </w:rPr>
          <w:t>9</w:t>
        </w:r>
        <w:r>
          <w:rPr>
            <w:noProof/>
            <w:webHidden/>
          </w:rPr>
          <w:fldChar w:fldCharType="end"/>
        </w:r>
      </w:hyperlink>
    </w:p>
    <w:p w14:paraId="46444934" w14:textId="45A5AD4F" w:rsidR="007B3F61" w:rsidRDefault="007B3F61">
      <w:pPr>
        <w:pStyle w:val="TOC3"/>
        <w:tabs>
          <w:tab w:val="right" w:leader="dot" w:pos="10390"/>
        </w:tabs>
        <w:rPr>
          <w:rFonts w:eastAsiaTheme="minorEastAsia"/>
          <w:noProof/>
        </w:rPr>
      </w:pPr>
      <w:hyperlink w:anchor="_Toc125376924" w:history="1">
        <w:r w:rsidRPr="00493421">
          <w:rPr>
            <w:rStyle w:val="Hyperlink"/>
            <w:noProof/>
          </w:rPr>
          <w:t>R vs Ewanchuk, 1999, Court of Appeal Alberta:</w:t>
        </w:r>
        <w:r>
          <w:rPr>
            <w:noProof/>
            <w:webHidden/>
          </w:rPr>
          <w:tab/>
        </w:r>
        <w:r>
          <w:rPr>
            <w:noProof/>
            <w:webHidden/>
          </w:rPr>
          <w:fldChar w:fldCharType="begin"/>
        </w:r>
        <w:r>
          <w:rPr>
            <w:noProof/>
            <w:webHidden/>
          </w:rPr>
          <w:instrText xml:space="preserve"> PAGEREF _Toc125376924 \h </w:instrText>
        </w:r>
        <w:r>
          <w:rPr>
            <w:noProof/>
            <w:webHidden/>
          </w:rPr>
        </w:r>
        <w:r>
          <w:rPr>
            <w:noProof/>
            <w:webHidden/>
          </w:rPr>
          <w:fldChar w:fldCharType="separate"/>
        </w:r>
        <w:r>
          <w:rPr>
            <w:noProof/>
            <w:webHidden/>
          </w:rPr>
          <w:t>9</w:t>
        </w:r>
        <w:r>
          <w:rPr>
            <w:noProof/>
            <w:webHidden/>
          </w:rPr>
          <w:fldChar w:fldCharType="end"/>
        </w:r>
      </w:hyperlink>
    </w:p>
    <w:p w14:paraId="44B93D36" w14:textId="2A1E8E18" w:rsidR="007B3F61" w:rsidRDefault="007B3F61">
      <w:pPr>
        <w:pStyle w:val="TOC1"/>
        <w:tabs>
          <w:tab w:val="right" w:leader="dot" w:pos="10390"/>
        </w:tabs>
        <w:rPr>
          <w:rFonts w:eastAsiaTheme="minorEastAsia"/>
          <w:noProof/>
        </w:rPr>
      </w:pPr>
      <w:hyperlink w:anchor="_Toc125376925" w:history="1">
        <w:r w:rsidRPr="00493421">
          <w:rPr>
            <w:rStyle w:val="Hyperlink"/>
            <w:rFonts w:cstheme="minorHAnsi"/>
            <w:noProof/>
          </w:rPr>
          <w:t>PERSONAL/CRIMINAL LIABILITY OF AGENTS OF THE CROWN/MEMBER OF EXECUTIVE BRANCH:</w:t>
        </w:r>
        <w:r>
          <w:rPr>
            <w:noProof/>
            <w:webHidden/>
          </w:rPr>
          <w:tab/>
        </w:r>
        <w:r>
          <w:rPr>
            <w:noProof/>
            <w:webHidden/>
          </w:rPr>
          <w:fldChar w:fldCharType="begin"/>
        </w:r>
        <w:r>
          <w:rPr>
            <w:noProof/>
            <w:webHidden/>
          </w:rPr>
          <w:instrText xml:space="preserve"> PAGEREF _Toc125376925 \h </w:instrText>
        </w:r>
        <w:r>
          <w:rPr>
            <w:noProof/>
            <w:webHidden/>
          </w:rPr>
        </w:r>
        <w:r>
          <w:rPr>
            <w:noProof/>
            <w:webHidden/>
          </w:rPr>
          <w:fldChar w:fldCharType="separate"/>
        </w:r>
        <w:r>
          <w:rPr>
            <w:noProof/>
            <w:webHidden/>
          </w:rPr>
          <w:t>9</w:t>
        </w:r>
        <w:r>
          <w:rPr>
            <w:noProof/>
            <w:webHidden/>
          </w:rPr>
          <w:fldChar w:fldCharType="end"/>
        </w:r>
      </w:hyperlink>
    </w:p>
    <w:p w14:paraId="116E1AFC" w14:textId="3A65A3FA" w:rsidR="007B3F61" w:rsidRDefault="007B3F61">
      <w:pPr>
        <w:pStyle w:val="TOC2"/>
        <w:tabs>
          <w:tab w:val="right" w:leader="dot" w:pos="10390"/>
        </w:tabs>
        <w:rPr>
          <w:rFonts w:eastAsiaTheme="minorEastAsia"/>
          <w:noProof/>
        </w:rPr>
      </w:pPr>
      <w:hyperlink w:anchor="_Toc125376926" w:history="1">
        <w:r w:rsidRPr="00493421">
          <w:rPr>
            <w:rStyle w:val="Hyperlink"/>
            <w:rFonts w:cstheme="minorHAnsi"/>
            <w:noProof/>
          </w:rPr>
          <w:t>Immunity Regarding Crown Agent:</w:t>
        </w:r>
        <w:r>
          <w:rPr>
            <w:noProof/>
            <w:webHidden/>
          </w:rPr>
          <w:tab/>
        </w:r>
        <w:r>
          <w:rPr>
            <w:noProof/>
            <w:webHidden/>
          </w:rPr>
          <w:fldChar w:fldCharType="begin"/>
        </w:r>
        <w:r>
          <w:rPr>
            <w:noProof/>
            <w:webHidden/>
          </w:rPr>
          <w:instrText xml:space="preserve"> PAGEREF _Toc125376926 \h </w:instrText>
        </w:r>
        <w:r>
          <w:rPr>
            <w:noProof/>
            <w:webHidden/>
          </w:rPr>
        </w:r>
        <w:r>
          <w:rPr>
            <w:noProof/>
            <w:webHidden/>
          </w:rPr>
          <w:fldChar w:fldCharType="separate"/>
        </w:r>
        <w:r>
          <w:rPr>
            <w:noProof/>
            <w:webHidden/>
          </w:rPr>
          <w:t>9</w:t>
        </w:r>
        <w:r>
          <w:rPr>
            <w:noProof/>
            <w:webHidden/>
          </w:rPr>
          <w:fldChar w:fldCharType="end"/>
        </w:r>
      </w:hyperlink>
    </w:p>
    <w:p w14:paraId="480DEB45" w14:textId="2616B50E" w:rsidR="007B3F61" w:rsidRDefault="007B3F61">
      <w:pPr>
        <w:pStyle w:val="TOC3"/>
        <w:tabs>
          <w:tab w:val="right" w:leader="dot" w:pos="10390"/>
        </w:tabs>
        <w:rPr>
          <w:rFonts w:eastAsiaTheme="minorEastAsia"/>
          <w:noProof/>
        </w:rPr>
      </w:pPr>
      <w:hyperlink w:anchor="_Toc125376927" w:history="1">
        <w:r w:rsidRPr="00493421">
          <w:rPr>
            <w:rStyle w:val="Hyperlink"/>
            <w:noProof/>
          </w:rPr>
          <w:t>R. v. Eldorado Nuclear Ltd.; R. v. Uranium Canada Ltd, 1983, Supreme Court of Canada:</w:t>
        </w:r>
        <w:r>
          <w:rPr>
            <w:noProof/>
            <w:webHidden/>
          </w:rPr>
          <w:tab/>
        </w:r>
        <w:r>
          <w:rPr>
            <w:noProof/>
            <w:webHidden/>
          </w:rPr>
          <w:fldChar w:fldCharType="begin"/>
        </w:r>
        <w:r>
          <w:rPr>
            <w:noProof/>
            <w:webHidden/>
          </w:rPr>
          <w:instrText xml:space="preserve"> PAGEREF _Toc125376927 \h </w:instrText>
        </w:r>
        <w:r>
          <w:rPr>
            <w:noProof/>
            <w:webHidden/>
          </w:rPr>
        </w:r>
        <w:r>
          <w:rPr>
            <w:noProof/>
            <w:webHidden/>
          </w:rPr>
          <w:fldChar w:fldCharType="separate"/>
        </w:r>
        <w:r>
          <w:rPr>
            <w:noProof/>
            <w:webHidden/>
          </w:rPr>
          <w:t>9</w:t>
        </w:r>
        <w:r>
          <w:rPr>
            <w:noProof/>
            <w:webHidden/>
          </w:rPr>
          <w:fldChar w:fldCharType="end"/>
        </w:r>
      </w:hyperlink>
    </w:p>
    <w:p w14:paraId="590798F8" w14:textId="2CA2CD4D" w:rsidR="007B3F61" w:rsidRDefault="007B3F61">
      <w:pPr>
        <w:pStyle w:val="TOC2"/>
        <w:tabs>
          <w:tab w:val="right" w:leader="dot" w:pos="10390"/>
        </w:tabs>
        <w:rPr>
          <w:rFonts w:eastAsiaTheme="minorEastAsia"/>
          <w:noProof/>
        </w:rPr>
      </w:pPr>
      <w:hyperlink w:anchor="_Toc125376928" w:history="1">
        <w:r w:rsidRPr="00493421">
          <w:rPr>
            <w:rStyle w:val="Hyperlink"/>
            <w:rFonts w:cstheme="minorHAnsi"/>
            <w:noProof/>
          </w:rPr>
          <w:t>Member of Executive Branch Liable for Punishment for Acting in Excess of Their Lawful Authority:</w:t>
        </w:r>
        <w:r>
          <w:rPr>
            <w:noProof/>
            <w:webHidden/>
          </w:rPr>
          <w:tab/>
        </w:r>
        <w:r>
          <w:rPr>
            <w:noProof/>
            <w:webHidden/>
          </w:rPr>
          <w:fldChar w:fldCharType="begin"/>
        </w:r>
        <w:r>
          <w:rPr>
            <w:noProof/>
            <w:webHidden/>
          </w:rPr>
          <w:instrText xml:space="preserve"> PAGEREF _Toc125376928 \h </w:instrText>
        </w:r>
        <w:r>
          <w:rPr>
            <w:noProof/>
            <w:webHidden/>
          </w:rPr>
        </w:r>
        <w:r>
          <w:rPr>
            <w:noProof/>
            <w:webHidden/>
          </w:rPr>
          <w:fldChar w:fldCharType="separate"/>
        </w:r>
        <w:r>
          <w:rPr>
            <w:noProof/>
            <w:webHidden/>
          </w:rPr>
          <w:t>10</w:t>
        </w:r>
        <w:r>
          <w:rPr>
            <w:noProof/>
            <w:webHidden/>
          </w:rPr>
          <w:fldChar w:fldCharType="end"/>
        </w:r>
      </w:hyperlink>
    </w:p>
    <w:p w14:paraId="1384594F" w14:textId="7BCB6AEA" w:rsidR="007B3F61" w:rsidRDefault="007B3F61">
      <w:pPr>
        <w:pStyle w:val="TOC3"/>
        <w:tabs>
          <w:tab w:val="right" w:leader="dot" w:pos="10390"/>
        </w:tabs>
        <w:rPr>
          <w:rFonts w:eastAsiaTheme="minorEastAsia"/>
          <w:noProof/>
        </w:rPr>
      </w:pPr>
      <w:hyperlink w:anchor="_Toc125376929" w:history="1">
        <w:r w:rsidRPr="00493421">
          <w:rPr>
            <w:rStyle w:val="Hyperlink"/>
            <w:noProof/>
          </w:rPr>
          <w:t>Roncarelli v. Duplessis, 1959, Supreme Court of Canada:</w:t>
        </w:r>
        <w:r>
          <w:rPr>
            <w:noProof/>
            <w:webHidden/>
          </w:rPr>
          <w:tab/>
        </w:r>
        <w:r>
          <w:rPr>
            <w:noProof/>
            <w:webHidden/>
          </w:rPr>
          <w:fldChar w:fldCharType="begin"/>
        </w:r>
        <w:r>
          <w:rPr>
            <w:noProof/>
            <w:webHidden/>
          </w:rPr>
          <w:instrText xml:space="preserve"> PAGEREF _Toc125376929 \h </w:instrText>
        </w:r>
        <w:r>
          <w:rPr>
            <w:noProof/>
            <w:webHidden/>
          </w:rPr>
        </w:r>
        <w:r>
          <w:rPr>
            <w:noProof/>
            <w:webHidden/>
          </w:rPr>
          <w:fldChar w:fldCharType="separate"/>
        </w:r>
        <w:r>
          <w:rPr>
            <w:noProof/>
            <w:webHidden/>
          </w:rPr>
          <w:t>10</w:t>
        </w:r>
        <w:r>
          <w:rPr>
            <w:noProof/>
            <w:webHidden/>
          </w:rPr>
          <w:fldChar w:fldCharType="end"/>
        </w:r>
      </w:hyperlink>
    </w:p>
    <w:p w14:paraId="5762DECD" w14:textId="509D2467" w:rsidR="007B3F61" w:rsidRDefault="007B3F61">
      <w:pPr>
        <w:pStyle w:val="TOC2"/>
        <w:tabs>
          <w:tab w:val="right" w:leader="dot" w:pos="10390"/>
        </w:tabs>
        <w:rPr>
          <w:rFonts w:eastAsiaTheme="minorEastAsia"/>
          <w:noProof/>
        </w:rPr>
      </w:pPr>
      <w:hyperlink w:anchor="_Toc125376930" w:history="1">
        <w:r w:rsidRPr="00493421">
          <w:rPr>
            <w:rStyle w:val="Hyperlink"/>
            <w:rFonts w:cstheme="minorHAnsi"/>
            <w:noProof/>
          </w:rPr>
          <w:t>Peace officer civil liability:</w:t>
        </w:r>
        <w:r>
          <w:rPr>
            <w:noProof/>
            <w:webHidden/>
          </w:rPr>
          <w:tab/>
        </w:r>
        <w:r>
          <w:rPr>
            <w:noProof/>
            <w:webHidden/>
          </w:rPr>
          <w:fldChar w:fldCharType="begin"/>
        </w:r>
        <w:r>
          <w:rPr>
            <w:noProof/>
            <w:webHidden/>
          </w:rPr>
          <w:instrText xml:space="preserve"> PAGEREF _Toc125376930 \h </w:instrText>
        </w:r>
        <w:r>
          <w:rPr>
            <w:noProof/>
            <w:webHidden/>
          </w:rPr>
        </w:r>
        <w:r>
          <w:rPr>
            <w:noProof/>
            <w:webHidden/>
          </w:rPr>
          <w:fldChar w:fldCharType="separate"/>
        </w:r>
        <w:r>
          <w:rPr>
            <w:noProof/>
            <w:webHidden/>
          </w:rPr>
          <w:t>10</w:t>
        </w:r>
        <w:r>
          <w:rPr>
            <w:noProof/>
            <w:webHidden/>
          </w:rPr>
          <w:fldChar w:fldCharType="end"/>
        </w:r>
      </w:hyperlink>
    </w:p>
    <w:p w14:paraId="070A33AC" w14:textId="15B86F5C" w:rsidR="007B3F61" w:rsidRDefault="007B3F61">
      <w:pPr>
        <w:pStyle w:val="TOC3"/>
        <w:tabs>
          <w:tab w:val="right" w:leader="dot" w:pos="10390"/>
        </w:tabs>
        <w:rPr>
          <w:rFonts w:eastAsiaTheme="minorEastAsia"/>
          <w:noProof/>
        </w:rPr>
      </w:pPr>
      <w:hyperlink w:anchor="_Toc125376931" w:history="1">
        <w:r w:rsidRPr="00493421">
          <w:rPr>
            <w:rStyle w:val="Hyperlink"/>
            <w:noProof/>
          </w:rPr>
          <w:t>Hudson v. Brantford Police Services, 2001, Court of Appeal Ontario:</w:t>
        </w:r>
        <w:r>
          <w:rPr>
            <w:noProof/>
            <w:webHidden/>
          </w:rPr>
          <w:tab/>
        </w:r>
        <w:r>
          <w:rPr>
            <w:noProof/>
            <w:webHidden/>
          </w:rPr>
          <w:fldChar w:fldCharType="begin"/>
        </w:r>
        <w:r>
          <w:rPr>
            <w:noProof/>
            <w:webHidden/>
          </w:rPr>
          <w:instrText xml:space="preserve"> PAGEREF _Toc125376931 \h </w:instrText>
        </w:r>
        <w:r>
          <w:rPr>
            <w:noProof/>
            <w:webHidden/>
          </w:rPr>
        </w:r>
        <w:r>
          <w:rPr>
            <w:noProof/>
            <w:webHidden/>
          </w:rPr>
          <w:fldChar w:fldCharType="separate"/>
        </w:r>
        <w:r>
          <w:rPr>
            <w:noProof/>
            <w:webHidden/>
          </w:rPr>
          <w:t>10</w:t>
        </w:r>
        <w:r>
          <w:rPr>
            <w:noProof/>
            <w:webHidden/>
          </w:rPr>
          <w:fldChar w:fldCharType="end"/>
        </w:r>
      </w:hyperlink>
    </w:p>
    <w:p w14:paraId="2D6CEEC1" w14:textId="24195FB5" w:rsidR="007B3F61" w:rsidRDefault="007B3F61">
      <w:pPr>
        <w:pStyle w:val="TOC3"/>
        <w:tabs>
          <w:tab w:val="right" w:leader="dot" w:pos="10390"/>
        </w:tabs>
        <w:rPr>
          <w:rFonts w:eastAsiaTheme="minorEastAsia"/>
          <w:noProof/>
        </w:rPr>
      </w:pPr>
      <w:hyperlink w:anchor="_Toc125376932" w:history="1">
        <w:r w:rsidRPr="00493421">
          <w:rPr>
            <w:rStyle w:val="Hyperlink"/>
            <w:noProof/>
          </w:rPr>
          <w:t>English Bill of Rights, Dispensing of Power:</w:t>
        </w:r>
        <w:r>
          <w:rPr>
            <w:noProof/>
            <w:webHidden/>
          </w:rPr>
          <w:tab/>
        </w:r>
        <w:r>
          <w:rPr>
            <w:noProof/>
            <w:webHidden/>
          </w:rPr>
          <w:fldChar w:fldCharType="begin"/>
        </w:r>
        <w:r>
          <w:rPr>
            <w:noProof/>
            <w:webHidden/>
          </w:rPr>
          <w:instrText xml:space="preserve"> PAGEREF _Toc125376932 \h </w:instrText>
        </w:r>
        <w:r>
          <w:rPr>
            <w:noProof/>
            <w:webHidden/>
          </w:rPr>
        </w:r>
        <w:r>
          <w:rPr>
            <w:noProof/>
            <w:webHidden/>
          </w:rPr>
          <w:fldChar w:fldCharType="separate"/>
        </w:r>
        <w:r>
          <w:rPr>
            <w:noProof/>
            <w:webHidden/>
          </w:rPr>
          <w:t>11</w:t>
        </w:r>
        <w:r>
          <w:rPr>
            <w:noProof/>
            <w:webHidden/>
          </w:rPr>
          <w:fldChar w:fldCharType="end"/>
        </w:r>
      </w:hyperlink>
    </w:p>
    <w:p w14:paraId="47102E77" w14:textId="3830117B" w:rsidR="007B3F61" w:rsidRDefault="007B3F61">
      <w:pPr>
        <w:pStyle w:val="TOC1"/>
        <w:tabs>
          <w:tab w:val="right" w:leader="dot" w:pos="10390"/>
        </w:tabs>
        <w:rPr>
          <w:rFonts w:eastAsiaTheme="minorEastAsia"/>
          <w:noProof/>
        </w:rPr>
      </w:pPr>
      <w:hyperlink w:anchor="_Toc125376933" w:history="1">
        <w:r w:rsidRPr="00493421">
          <w:rPr>
            <w:rStyle w:val="Hyperlink"/>
            <w:rFonts w:cstheme="minorHAnsi"/>
            <w:noProof/>
          </w:rPr>
          <w:t>PROCEDURAL CASE LAW:</w:t>
        </w:r>
        <w:r>
          <w:rPr>
            <w:noProof/>
            <w:webHidden/>
          </w:rPr>
          <w:tab/>
        </w:r>
        <w:r>
          <w:rPr>
            <w:noProof/>
            <w:webHidden/>
          </w:rPr>
          <w:fldChar w:fldCharType="begin"/>
        </w:r>
        <w:r>
          <w:rPr>
            <w:noProof/>
            <w:webHidden/>
          </w:rPr>
          <w:instrText xml:space="preserve"> PAGEREF _Toc125376933 \h </w:instrText>
        </w:r>
        <w:r>
          <w:rPr>
            <w:noProof/>
            <w:webHidden/>
          </w:rPr>
        </w:r>
        <w:r>
          <w:rPr>
            <w:noProof/>
            <w:webHidden/>
          </w:rPr>
          <w:fldChar w:fldCharType="separate"/>
        </w:r>
        <w:r>
          <w:rPr>
            <w:noProof/>
            <w:webHidden/>
          </w:rPr>
          <w:t>11</w:t>
        </w:r>
        <w:r>
          <w:rPr>
            <w:noProof/>
            <w:webHidden/>
          </w:rPr>
          <w:fldChar w:fldCharType="end"/>
        </w:r>
      </w:hyperlink>
    </w:p>
    <w:p w14:paraId="52D36897" w14:textId="490A494F" w:rsidR="007B3F61" w:rsidRDefault="007B3F61">
      <w:pPr>
        <w:pStyle w:val="TOC2"/>
        <w:tabs>
          <w:tab w:val="right" w:leader="dot" w:pos="10390"/>
        </w:tabs>
        <w:rPr>
          <w:rFonts w:eastAsiaTheme="minorEastAsia"/>
          <w:noProof/>
        </w:rPr>
      </w:pPr>
      <w:hyperlink w:anchor="_Toc125376934" w:history="1">
        <w:r w:rsidRPr="00493421">
          <w:rPr>
            <w:rStyle w:val="Hyperlink"/>
            <w:rFonts w:cstheme="minorHAnsi"/>
            <w:noProof/>
          </w:rPr>
          <w:t>Police Cannot Escalate Bylaw to Criminal Charges:</w:t>
        </w:r>
        <w:r>
          <w:rPr>
            <w:noProof/>
            <w:webHidden/>
          </w:rPr>
          <w:tab/>
        </w:r>
        <w:r>
          <w:rPr>
            <w:noProof/>
            <w:webHidden/>
          </w:rPr>
          <w:fldChar w:fldCharType="begin"/>
        </w:r>
        <w:r>
          <w:rPr>
            <w:noProof/>
            <w:webHidden/>
          </w:rPr>
          <w:instrText xml:space="preserve"> PAGEREF _Toc125376934 \h </w:instrText>
        </w:r>
        <w:r>
          <w:rPr>
            <w:noProof/>
            <w:webHidden/>
          </w:rPr>
        </w:r>
        <w:r>
          <w:rPr>
            <w:noProof/>
            <w:webHidden/>
          </w:rPr>
          <w:fldChar w:fldCharType="separate"/>
        </w:r>
        <w:r>
          <w:rPr>
            <w:noProof/>
            <w:webHidden/>
          </w:rPr>
          <w:t>11</w:t>
        </w:r>
        <w:r>
          <w:rPr>
            <w:noProof/>
            <w:webHidden/>
          </w:rPr>
          <w:fldChar w:fldCharType="end"/>
        </w:r>
      </w:hyperlink>
    </w:p>
    <w:p w14:paraId="13604F23" w14:textId="1E225C59" w:rsidR="007B3F61" w:rsidRDefault="007B3F61">
      <w:pPr>
        <w:pStyle w:val="TOC3"/>
        <w:tabs>
          <w:tab w:val="right" w:leader="dot" w:pos="10390"/>
        </w:tabs>
        <w:rPr>
          <w:rFonts w:eastAsiaTheme="minorEastAsia"/>
          <w:noProof/>
        </w:rPr>
      </w:pPr>
      <w:hyperlink w:anchor="_Toc125376935" w:history="1">
        <w:r w:rsidRPr="00493421">
          <w:rPr>
            <w:rStyle w:val="Hyperlink"/>
            <w:noProof/>
          </w:rPr>
          <w:t>R v Sharma, SCC 1993:</w:t>
        </w:r>
        <w:r>
          <w:rPr>
            <w:noProof/>
            <w:webHidden/>
          </w:rPr>
          <w:tab/>
        </w:r>
        <w:r>
          <w:rPr>
            <w:noProof/>
            <w:webHidden/>
          </w:rPr>
          <w:fldChar w:fldCharType="begin"/>
        </w:r>
        <w:r>
          <w:rPr>
            <w:noProof/>
            <w:webHidden/>
          </w:rPr>
          <w:instrText xml:space="preserve"> PAGEREF _Toc125376935 \h </w:instrText>
        </w:r>
        <w:r>
          <w:rPr>
            <w:noProof/>
            <w:webHidden/>
          </w:rPr>
        </w:r>
        <w:r>
          <w:rPr>
            <w:noProof/>
            <w:webHidden/>
          </w:rPr>
          <w:fldChar w:fldCharType="separate"/>
        </w:r>
        <w:r>
          <w:rPr>
            <w:noProof/>
            <w:webHidden/>
          </w:rPr>
          <w:t>11</w:t>
        </w:r>
        <w:r>
          <w:rPr>
            <w:noProof/>
            <w:webHidden/>
          </w:rPr>
          <w:fldChar w:fldCharType="end"/>
        </w:r>
      </w:hyperlink>
    </w:p>
    <w:p w14:paraId="70C8A2DD" w14:textId="00EC3F47" w:rsidR="007B3F61" w:rsidRDefault="007B3F61">
      <w:pPr>
        <w:pStyle w:val="TOC2"/>
        <w:tabs>
          <w:tab w:val="right" w:leader="dot" w:pos="10390"/>
        </w:tabs>
        <w:rPr>
          <w:rFonts w:eastAsiaTheme="minorEastAsia"/>
          <w:noProof/>
        </w:rPr>
      </w:pPr>
      <w:hyperlink w:anchor="_Toc125376936" w:history="1">
        <w:r w:rsidRPr="00493421">
          <w:rPr>
            <w:rStyle w:val="Hyperlink"/>
            <w:rFonts w:cstheme="minorHAnsi"/>
            <w:noProof/>
          </w:rPr>
          <w:t>Right To Be Tried Within a Reasonable Time:</w:t>
        </w:r>
        <w:r>
          <w:rPr>
            <w:noProof/>
            <w:webHidden/>
          </w:rPr>
          <w:tab/>
        </w:r>
        <w:r>
          <w:rPr>
            <w:noProof/>
            <w:webHidden/>
          </w:rPr>
          <w:fldChar w:fldCharType="begin"/>
        </w:r>
        <w:r>
          <w:rPr>
            <w:noProof/>
            <w:webHidden/>
          </w:rPr>
          <w:instrText xml:space="preserve"> PAGEREF _Toc125376936 \h </w:instrText>
        </w:r>
        <w:r>
          <w:rPr>
            <w:noProof/>
            <w:webHidden/>
          </w:rPr>
        </w:r>
        <w:r>
          <w:rPr>
            <w:noProof/>
            <w:webHidden/>
          </w:rPr>
          <w:fldChar w:fldCharType="separate"/>
        </w:r>
        <w:r>
          <w:rPr>
            <w:noProof/>
            <w:webHidden/>
          </w:rPr>
          <w:t>11</w:t>
        </w:r>
        <w:r>
          <w:rPr>
            <w:noProof/>
            <w:webHidden/>
          </w:rPr>
          <w:fldChar w:fldCharType="end"/>
        </w:r>
      </w:hyperlink>
    </w:p>
    <w:p w14:paraId="5C1CFE7B" w14:textId="6A417115" w:rsidR="007B3F61" w:rsidRDefault="007B3F61">
      <w:pPr>
        <w:pStyle w:val="TOC3"/>
        <w:tabs>
          <w:tab w:val="right" w:leader="dot" w:pos="10390"/>
        </w:tabs>
        <w:rPr>
          <w:rFonts w:eastAsiaTheme="minorEastAsia"/>
          <w:noProof/>
        </w:rPr>
      </w:pPr>
      <w:hyperlink w:anchor="_Toc125376937" w:history="1">
        <w:r w:rsidRPr="00493421">
          <w:rPr>
            <w:rStyle w:val="Hyperlink"/>
            <w:noProof/>
          </w:rPr>
          <w:t>R. v. Jordan, SCC 2016:</w:t>
        </w:r>
        <w:r>
          <w:rPr>
            <w:noProof/>
            <w:webHidden/>
          </w:rPr>
          <w:tab/>
        </w:r>
        <w:r>
          <w:rPr>
            <w:noProof/>
            <w:webHidden/>
          </w:rPr>
          <w:fldChar w:fldCharType="begin"/>
        </w:r>
        <w:r>
          <w:rPr>
            <w:noProof/>
            <w:webHidden/>
          </w:rPr>
          <w:instrText xml:space="preserve"> PAGEREF _Toc125376937 \h </w:instrText>
        </w:r>
        <w:r>
          <w:rPr>
            <w:noProof/>
            <w:webHidden/>
          </w:rPr>
        </w:r>
        <w:r>
          <w:rPr>
            <w:noProof/>
            <w:webHidden/>
          </w:rPr>
          <w:fldChar w:fldCharType="separate"/>
        </w:r>
        <w:r>
          <w:rPr>
            <w:noProof/>
            <w:webHidden/>
          </w:rPr>
          <w:t>11</w:t>
        </w:r>
        <w:r>
          <w:rPr>
            <w:noProof/>
            <w:webHidden/>
          </w:rPr>
          <w:fldChar w:fldCharType="end"/>
        </w:r>
      </w:hyperlink>
    </w:p>
    <w:p w14:paraId="5F5B9ACF" w14:textId="6A92E8D8" w:rsidR="007B3F61" w:rsidRDefault="007B3F61">
      <w:pPr>
        <w:pStyle w:val="TOC1"/>
        <w:tabs>
          <w:tab w:val="right" w:leader="dot" w:pos="10390"/>
        </w:tabs>
        <w:rPr>
          <w:rFonts w:eastAsiaTheme="minorEastAsia"/>
          <w:noProof/>
        </w:rPr>
      </w:pPr>
      <w:hyperlink w:anchor="_Toc125376938" w:history="1">
        <w:r w:rsidRPr="00493421">
          <w:rPr>
            <w:rStyle w:val="Hyperlink"/>
            <w:rFonts w:cstheme="minorHAnsi"/>
            <w:noProof/>
          </w:rPr>
          <w:t>MISCHIEF CRIMINAL CHARGES:</w:t>
        </w:r>
        <w:r>
          <w:rPr>
            <w:noProof/>
            <w:webHidden/>
          </w:rPr>
          <w:tab/>
        </w:r>
        <w:r>
          <w:rPr>
            <w:noProof/>
            <w:webHidden/>
          </w:rPr>
          <w:fldChar w:fldCharType="begin"/>
        </w:r>
        <w:r>
          <w:rPr>
            <w:noProof/>
            <w:webHidden/>
          </w:rPr>
          <w:instrText xml:space="preserve"> PAGEREF _Toc125376938 \h </w:instrText>
        </w:r>
        <w:r>
          <w:rPr>
            <w:noProof/>
            <w:webHidden/>
          </w:rPr>
        </w:r>
        <w:r>
          <w:rPr>
            <w:noProof/>
            <w:webHidden/>
          </w:rPr>
          <w:fldChar w:fldCharType="separate"/>
        </w:r>
        <w:r>
          <w:rPr>
            <w:noProof/>
            <w:webHidden/>
          </w:rPr>
          <w:t>12</w:t>
        </w:r>
        <w:r>
          <w:rPr>
            <w:noProof/>
            <w:webHidden/>
          </w:rPr>
          <w:fldChar w:fldCharType="end"/>
        </w:r>
      </w:hyperlink>
    </w:p>
    <w:p w14:paraId="584EE724" w14:textId="60185DE3" w:rsidR="007B3F61" w:rsidRDefault="007B3F61">
      <w:pPr>
        <w:pStyle w:val="TOC2"/>
        <w:tabs>
          <w:tab w:val="right" w:leader="dot" w:pos="10390"/>
        </w:tabs>
        <w:rPr>
          <w:rFonts w:eastAsiaTheme="minorEastAsia"/>
          <w:noProof/>
        </w:rPr>
      </w:pPr>
      <w:hyperlink w:anchor="_Toc125376939" w:history="1">
        <w:r w:rsidRPr="00493421">
          <w:rPr>
            <w:rStyle w:val="Hyperlink"/>
            <w:rFonts w:cstheme="minorHAnsi"/>
            <w:noProof/>
          </w:rPr>
          <w:t>Damage is Essential for a Mischief Charge:</w:t>
        </w:r>
        <w:r>
          <w:rPr>
            <w:noProof/>
            <w:webHidden/>
          </w:rPr>
          <w:tab/>
        </w:r>
        <w:r>
          <w:rPr>
            <w:noProof/>
            <w:webHidden/>
          </w:rPr>
          <w:fldChar w:fldCharType="begin"/>
        </w:r>
        <w:r>
          <w:rPr>
            <w:noProof/>
            <w:webHidden/>
          </w:rPr>
          <w:instrText xml:space="preserve"> PAGEREF _Toc125376939 \h </w:instrText>
        </w:r>
        <w:r>
          <w:rPr>
            <w:noProof/>
            <w:webHidden/>
          </w:rPr>
        </w:r>
        <w:r>
          <w:rPr>
            <w:noProof/>
            <w:webHidden/>
          </w:rPr>
          <w:fldChar w:fldCharType="separate"/>
        </w:r>
        <w:r>
          <w:rPr>
            <w:noProof/>
            <w:webHidden/>
          </w:rPr>
          <w:t>12</w:t>
        </w:r>
        <w:r>
          <w:rPr>
            <w:noProof/>
            <w:webHidden/>
          </w:rPr>
          <w:fldChar w:fldCharType="end"/>
        </w:r>
      </w:hyperlink>
    </w:p>
    <w:p w14:paraId="66063827" w14:textId="6B1621FE" w:rsidR="007B3F61" w:rsidRDefault="007B3F61">
      <w:pPr>
        <w:pStyle w:val="TOC3"/>
        <w:tabs>
          <w:tab w:val="right" w:leader="dot" w:pos="10390"/>
        </w:tabs>
        <w:rPr>
          <w:rFonts w:eastAsiaTheme="minorEastAsia"/>
          <w:noProof/>
        </w:rPr>
      </w:pPr>
      <w:hyperlink w:anchor="_Toc125376940" w:history="1">
        <w:r w:rsidRPr="00493421">
          <w:rPr>
            <w:rStyle w:val="Hyperlink"/>
            <w:noProof/>
          </w:rPr>
          <w:t>R vs K. T., 2005, Manitoba Court of Appeal:</w:t>
        </w:r>
        <w:r>
          <w:rPr>
            <w:noProof/>
            <w:webHidden/>
          </w:rPr>
          <w:tab/>
        </w:r>
        <w:r>
          <w:rPr>
            <w:noProof/>
            <w:webHidden/>
          </w:rPr>
          <w:fldChar w:fldCharType="begin"/>
        </w:r>
        <w:r>
          <w:rPr>
            <w:noProof/>
            <w:webHidden/>
          </w:rPr>
          <w:instrText xml:space="preserve"> PAGEREF _Toc125376940 \h </w:instrText>
        </w:r>
        <w:r>
          <w:rPr>
            <w:noProof/>
            <w:webHidden/>
          </w:rPr>
        </w:r>
        <w:r>
          <w:rPr>
            <w:noProof/>
            <w:webHidden/>
          </w:rPr>
          <w:fldChar w:fldCharType="separate"/>
        </w:r>
        <w:r>
          <w:rPr>
            <w:noProof/>
            <w:webHidden/>
          </w:rPr>
          <w:t>12</w:t>
        </w:r>
        <w:r>
          <w:rPr>
            <w:noProof/>
            <w:webHidden/>
          </w:rPr>
          <w:fldChar w:fldCharType="end"/>
        </w:r>
      </w:hyperlink>
    </w:p>
    <w:p w14:paraId="17A51579" w14:textId="48E57CFD" w:rsidR="007B3F61" w:rsidRDefault="007B3F61">
      <w:pPr>
        <w:pStyle w:val="TOC3"/>
        <w:tabs>
          <w:tab w:val="right" w:leader="dot" w:pos="10390"/>
        </w:tabs>
        <w:rPr>
          <w:rFonts w:eastAsiaTheme="minorEastAsia"/>
          <w:noProof/>
        </w:rPr>
      </w:pPr>
      <w:hyperlink w:anchor="_Toc125376941" w:history="1">
        <w:r w:rsidRPr="00493421">
          <w:rPr>
            <w:rStyle w:val="Hyperlink"/>
            <w:noProof/>
          </w:rPr>
          <w:t>The charge of "Obstructing" police includes disobeying a lawful police order. It was not a LAWFUL order.</w:t>
        </w:r>
        <w:r>
          <w:rPr>
            <w:noProof/>
            <w:webHidden/>
          </w:rPr>
          <w:tab/>
        </w:r>
        <w:r>
          <w:rPr>
            <w:noProof/>
            <w:webHidden/>
          </w:rPr>
          <w:fldChar w:fldCharType="begin"/>
        </w:r>
        <w:r>
          <w:rPr>
            <w:noProof/>
            <w:webHidden/>
          </w:rPr>
          <w:instrText xml:space="preserve"> PAGEREF _Toc125376941 \h </w:instrText>
        </w:r>
        <w:r>
          <w:rPr>
            <w:noProof/>
            <w:webHidden/>
          </w:rPr>
        </w:r>
        <w:r>
          <w:rPr>
            <w:noProof/>
            <w:webHidden/>
          </w:rPr>
          <w:fldChar w:fldCharType="separate"/>
        </w:r>
        <w:r>
          <w:rPr>
            <w:noProof/>
            <w:webHidden/>
          </w:rPr>
          <w:t>12</w:t>
        </w:r>
        <w:r>
          <w:rPr>
            <w:noProof/>
            <w:webHidden/>
          </w:rPr>
          <w:fldChar w:fldCharType="end"/>
        </w:r>
      </w:hyperlink>
    </w:p>
    <w:p w14:paraId="0C4A0652" w14:textId="33358C9D" w:rsidR="00024664" w:rsidRPr="009E1586" w:rsidRDefault="00024664" w:rsidP="009E1586">
      <w:pPr>
        <w:jc w:val="center"/>
        <w:rPr>
          <w:rFonts w:cstheme="minorHAnsi"/>
          <w:b/>
          <w:bCs/>
          <w:sz w:val="22"/>
          <w:szCs w:val="22"/>
        </w:rPr>
      </w:pPr>
      <w:r w:rsidRPr="009E1586">
        <w:rPr>
          <w:rFonts w:cstheme="minorHAnsi"/>
          <w:b/>
          <w:bCs/>
          <w:sz w:val="22"/>
          <w:szCs w:val="22"/>
        </w:rPr>
        <w:fldChar w:fldCharType="end"/>
      </w:r>
    </w:p>
    <w:p w14:paraId="61E9E688" w14:textId="2BEEEECB" w:rsidR="00AE3740" w:rsidRPr="009E1586" w:rsidRDefault="00024664" w:rsidP="009E1586">
      <w:pPr>
        <w:rPr>
          <w:rFonts w:cstheme="minorHAnsi"/>
          <w:b/>
          <w:bCs/>
          <w:sz w:val="22"/>
          <w:szCs w:val="22"/>
        </w:rPr>
      </w:pPr>
      <w:r w:rsidRPr="009E1586">
        <w:rPr>
          <w:rFonts w:cstheme="minorHAnsi"/>
          <w:b/>
          <w:bCs/>
          <w:sz w:val="22"/>
          <w:szCs w:val="22"/>
        </w:rPr>
        <w:br w:type="page"/>
      </w:r>
    </w:p>
    <w:p w14:paraId="1D2FD5D3" w14:textId="17ED196B" w:rsidR="00AF47C2" w:rsidRPr="009E1586" w:rsidRDefault="00D55BDB" w:rsidP="009E1586">
      <w:pPr>
        <w:pStyle w:val="Heading1"/>
        <w:rPr>
          <w:rFonts w:asciiTheme="minorHAnsi" w:hAnsiTheme="minorHAnsi" w:cstheme="minorHAnsi"/>
          <w:sz w:val="22"/>
          <w:szCs w:val="22"/>
        </w:rPr>
      </w:pPr>
      <w:bookmarkStart w:id="0" w:name="_Toc125376888"/>
      <w:r w:rsidRPr="009E1586">
        <w:rPr>
          <w:rFonts w:asciiTheme="minorHAnsi" w:hAnsiTheme="minorHAnsi" w:cstheme="minorHAnsi"/>
          <w:sz w:val="22"/>
          <w:szCs w:val="22"/>
        </w:rPr>
        <w:lastRenderedPageBreak/>
        <w:t>CASE LAW REGARDING RIGHTS:</w:t>
      </w:r>
      <w:bookmarkEnd w:id="0"/>
    </w:p>
    <w:p w14:paraId="7685C6C7" w14:textId="083DA947" w:rsidR="00024664" w:rsidRPr="009E1586" w:rsidRDefault="00AF47C2" w:rsidP="009E1586">
      <w:pPr>
        <w:pStyle w:val="Heading2"/>
        <w:rPr>
          <w:rStyle w:val="Strong"/>
          <w:rFonts w:asciiTheme="minorHAnsi" w:hAnsiTheme="minorHAnsi" w:cstheme="minorHAnsi"/>
          <w:b/>
          <w:bCs/>
          <w:sz w:val="22"/>
          <w:szCs w:val="22"/>
        </w:rPr>
      </w:pPr>
      <w:bookmarkStart w:id="1" w:name="_Toc125376889"/>
      <w:r w:rsidRPr="009E1586">
        <w:rPr>
          <w:rStyle w:val="Strong"/>
          <w:rFonts w:asciiTheme="minorHAnsi" w:hAnsiTheme="minorHAnsi" w:cstheme="minorHAnsi"/>
          <w:b/>
          <w:bCs/>
          <w:sz w:val="22"/>
          <w:szCs w:val="22"/>
        </w:rPr>
        <w:t>Province Cannot Override Fundamental Rights:</w:t>
      </w:r>
      <w:bookmarkEnd w:id="1"/>
    </w:p>
    <w:p w14:paraId="536CD2D3" w14:textId="2BF1CE58" w:rsidR="00D55BDB" w:rsidRPr="009E1586" w:rsidRDefault="00D55BDB" w:rsidP="009E1586">
      <w:pPr>
        <w:pStyle w:val="Heading3"/>
      </w:pPr>
      <w:bookmarkStart w:id="2" w:name="_Toc125376890"/>
      <w:r w:rsidRPr="009E1586">
        <w:t>The Credit of Alberta Regulation Act; and the Accurate News and Information Act, SCR 100,</w:t>
      </w:r>
      <w:r w:rsidR="00C96DD0" w:rsidRPr="009E1586">
        <w:t xml:space="preserve"> </w:t>
      </w:r>
      <w:r w:rsidRPr="009E1586">
        <w:t>1938</w:t>
      </w:r>
      <w:r w:rsidR="00C96DD0" w:rsidRPr="009E1586">
        <w:t>, Supreme Court of Canada:</w:t>
      </w:r>
      <w:bookmarkEnd w:id="2"/>
    </w:p>
    <w:p w14:paraId="122D2F60" w14:textId="55F6AD8E" w:rsidR="00D55BDB" w:rsidRPr="009E1586" w:rsidRDefault="00000000" w:rsidP="009E1586">
      <w:pPr>
        <w:rPr>
          <w:rFonts w:cstheme="minorHAnsi"/>
          <w:color w:val="5E5E5E"/>
          <w:sz w:val="22"/>
          <w:szCs w:val="22"/>
        </w:rPr>
      </w:pPr>
      <w:hyperlink r:id="rId7" w:tgtFrame="_blank" w:history="1">
        <w:r w:rsidR="00D55BDB" w:rsidRPr="009E1586">
          <w:rPr>
            <w:rStyle w:val="Hyperlink"/>
            <w:rFonts w:cstheme="minorHAnsi"/>
            <w:color w:val="E81A22"/>
            <w:sz w:val="22"/>
            <w:szCs w:val="22"/>
            <w:bdr w:val="single" w:sz="2" w:space="0" w:color="ED1A23" w:frame="1"/>
          </w:rPr>
          <w:t>https://www.canlii.org/en/ca/scc/doc/1938/1938canlii1/1938canlii1.html</w:t>
        </w:r>
      </w:hyperlink>
    </w:p>
    <w:p w14:paraId="6EE2CC5D" w14:textId="77777777" w:rsidR="00D55BDB" w:rsidRPr="009E1586" w:rsidRDefault="00D55BDB" w:rsidP="009E1586">
      <w:pPr>
        <w:rPr>
          <w:rFonts w:cstheme="minorHAnsi"/>
          <w:color w:val="5E5E5E"/>
          <w:sz w:val="22"/>
          <w:szCs w:val="22"/>
        </w:rPr>
      </w:pPr>
    </w:p>
    <w:p w14:paraId="4D4AB8C9" w14:textId="03AB7D22" w:rsidR="00D55BDB" w:rsidRPr="009E1586" w:rsidRDefault="00D55BDB" w:rsidP="009E1586">
      <w:pPr>
        <w:rPr>
          <w:rFonts w:cstheme="minorHAnsi"/>
          <w:sz w:val="22"/>
          <w:szCs w:val="22"/>
        </w:rPr>
      </w:pPr>
      <w:r w:rsidRPr="009E1586">
        <w:rPr>
          <w:rFonts w:cstheme="minorHAnsi"/>
          <w:sz w:val="22"/>
          <w:szCs w:val="22"/>
        </w:rPr>
        <w:t>Implied Bill of Rights</w:t>
      </w:r>
      <w:r w:rsidR="00C96DD0" w:rsidRPr="009E1586">
        <w:rPr>
          <w:rFonts w:cstheme="minorHAnsi"/>
          <w:sz w:val="22"/>
          <w:szCs w:val="22"/>
        </w:rPr>
        <w:t>, t</w:t>
      </w:r>
      <w:r w:rsidRPr="009E1586">
        <w:rPr>
          <w:rFonts w:cstheme="minorHAnsi"/>
          <w:sz w:val="22"/>
          <w:szCs w:val="22"/>
        </w:rPr>
        <w:t>he Supreme Court of Canada ruled on the Reference re Alberta Statutes. It found that the Accurate News and Information Act, along with the others submitted to it for evaluation, was ultra vires (beyond the powers of) the Alberta government. In the case of the Accurate News and Information Act, the court found that the Canadian constitution included an "implied bill of rights" that protected freedom of speech as being critical to a parliamentary democracy.</w:t>
      </w:r>
      <w:r w:rsidRPr="009E1586">
        <w:rPr>
          <w:rStyle w:val="apple-converted-space"/>
          <w:rFonts w:cstheme="minorHAnsi"/>
          <w:sz w:val="22"/>
          <w:szCs w:val="22"/>
        </w:rPr>
        <w:t> </w:t>
      </w:r>
    </w:p>
    <w:p w14:paraId="793BDE4D" w14:textId="1A4D8FD4" w:rsidR="00024664" w:rsidRPr="009E1586" w:rsidRDefault="00AF47C2" w:rsidP="009E1586">
      <w:pPr>
        <w:pStyle w:val="Heading2"/>
        <w:rPr>
          <w:rFonts w:asciiTheme="minorHAnsi" w:hAnsiTheme="minorHAnsi" w:cstheme="minorHAnsi"/>
          <w:b w:val="0"/>
          <w:bCs w:val="0"/>
          <w:sz w:val="22"/>
          <w:szCs w:val="22"/>
        </w:rPr>
      </w:pPr>
      <w:bookmarkStart w:id="3" w:name="_Toc125376891"/>
      <w:r w:rsidRPr="009E1586">
        <w:rPr>
          <w:rStyle w:val="Strong"/>
          <w:rFonts w:asciiTheme="minorHAnsi" w:hAnsiTheme="minorHAnsi" w:cstheme="minorHAnsi"/>
          <w:b/>
          <w:bCs/>
          <w:sz w:val="22"/>
          <w:szCs w:val="22"/>
        </w:rPr>
        <w:t>Right to You to Sue for Breach of Privacy:</w:t>
      </w:r>
      <w:bookmarkEnd w:id="3"/>
    </w:p>
    <w:p w14:paraId="4F1AA49E" w14:textId="2CF6CE5E" w:rsidR="00D55BDB" w:rsidRPr="009E1586" w:rsidRDefault="00D55BDB" w:rsidP="009E1586">
      <w:pPr>
        <w:pStyle w:val="Heading3"/>
      </w:pPr>
      <w:bookmarkStart w:id="4" w:name="_Toc125376892"/>
      <w:r w:rsidRPr="009E1586">
        <w:t>Jones v. Tsige, 2012, Ontario Court of Appeal</w:t>
      </w:r>
      <w:r w:rsidR="00C96DD0" w:rsidRPr="009E1586">
        <w:t>:</w:t>
      </w:r>
      <w:bookmarkEnd w:id="4"/>
    </w:p>
    <w:p w14:paraId="4C2A1984" w14:textId="77777777" w:rsidR="00D55BDB" w:rsidRPr="009E1586" w:rsidRDefault="00000000" w:rsidP="009E1586">
      <w:pPr>
        <w:rPr>
          <w:rFonts w:cstheme="minorHAnsi"/>
          <w:color w:val="5E5E5E"/>
          <w:sz w:val="22"/>
          <w:szCs w:val="22"/>
        </w:rPr>
      </w:pPr>
      <w:hyperlink r:id="rId8" w:tgtFrame="_blank" w:history="1">
        <w:r w:rsidR="00D55BDB" w:rsidRPr="009E1586">
          <w:rPr>
            <w:rStyle w:val="Hyperlink"/>
            <w:rFonts w:cstheme="minorHAnsi"/>
            <w:color w:val="E81A22"/>
            <w:sz w:val="22"/>
            <w:szCs w:val="22"/>
            <w:bdr w:val="single" w:sz="2" w:space="0" w:color="ED1A23" w:frame="1"/>
          </w:rPr>
          <w:t>https://www.canlii.org/en/on/onca/doc/2012/2012onca32/2012onca32.html</w:t>
        </w:r>
      </w:hyperlink>
    </w:p>
    <w:p w14:paraId="2BE1F80F" w14:textId="77777777" w:rsidR="00D55BDB" w:rsidRPr="009E1586" w:rsidRDefault="00D55BDB" w:rsidP="009E1586">
      <w:pPr>
        <w:rPr>
          <w:rFonts w:cstheme="minorHAnsi"/>
          <w:sz w:val="22"/>
          <w:szCs w:val="22"/>
          <w:u w:val="single"/>
        </w:rPr>
      </w:pPr>
    </w:p>
    <w:p w14:paraId="3FCB3470" w14:textId="4631F274" w:rsidR="009E1586" w:rsidRPr="009E1586" w:rsidRDefault="00D55BDB" w:rsidP="009E1586">
      <w:pPr>
        <w:rPr>
          <w:rStyle w:val="Strong"/>
          <w:rFonts w:cstheme="minorHAnsi"/>
          <w:b w:val="0"/>
          <w:bCs w:val="0"/>
          <w:sz w:val="22"/>
          <w:szCs w:val="22"/>
        </w:rPr>
      </w:pPr>
      <w:r w:rsidRPr="009E1586">
        <w:rPr>
          <w:rFonts w:cstheme="minorHAnsi"/>
          <w:sz w:val="22"/>
          <w:szCs w:val="22"/>
        </w:rPr>
        <w:t>The ruling declared that the common law in Canada recognizes a right to personal privacy, more specifically identified as a "tort of intrusion upon seclusion", as well as considering that appropriation of personality is already recognized as a tort in Ontario law.</w:t>
      </w:r>
    </w:p>
    <w:p w14:paraId="0A7D2DC6" w14:textId="0357307B" w:rsidR="00AE6F90" w:rsidRPr="00AE6F90" w:rsidRDefault="00AE6F90" w:rsidP="00AE6F90">
      <w:pPr>
        <w:pStyle w:val="Heading2"/>
        <w:rPr>
          <w:rFonts w:asciiTheme="minorHAnsi" w:hAnsiTheme="minorHAnsi" w:cstheme="minorHAnsi"/>
          <w:b w:val="0"/>
          <w:bCs w:val="0"/>
          <w:sz w:val="22"/>
          <w:szCs w:val="22"/>
        </w:rPr>
      </w:pPr>
      <w:bookmarkStart w:id="5" w:name="_Toc125376893"/>
      <w:r w:rsidRPr="00AE6F90">
        <w:rPr>
          <w:rStyle w:val="Strong"/>
          <w:rFonts w:asciiTheme="minorHAnsi" w:hAnsiTheme="minorHAnsi" w:cstheme="minorHAnsi"/>
          <w:b/>
          <w:bCs/>
          <w:sz w:val="22"/>
          <w:szCs w:val="22"/>
        </w:rPr>
        <w:t>Case Law Civil Liberties Is Federal Matter:</w:t>
      </w:r>
      <w:bookmarkEnd w:id="5"/>
      <w:r w:rsidRPr="00AE6F90">
        <w:rPr>
          <w:rStyle w:val="Strong"/>
          <w:rFonts w:asciiTheme="minorHAnsi" w:hAnsiTheme="minorHAnsi" w:cstheme="minorHAnsi"/>
          <w:b/>
          <w:bCs/>
          <w:sz w:val="22"/>
          <w:szCs w:val="22"/>
        </w:rPr>
        <w:t xml:space="preserve"> </w:t>
      </w:r>
    </w:p>
    <w:p w14:paraId="1CD852BA" w14:textId="23ECA4A6" w:rsidR="009E1586" w:rsidRPr="009E1586" w:rsidRDefault="009E1586" w:rsidP="009E1586">
      <w:pPr>
        <w:pStyle w:val="Heading3"/>
      </w:pPr>
      <w:bookmarkStart w:id="6" w:name="_Toc125376894"/>
      <w:r w:rsidRPr="009E1586">
        <w:t xml:space="preserve">R. v. </w:t>
      </w:r>
      <w:proofErr w:type="spellStart"/>
      <w:r w:rsidRPr="009E1586">
        <w:t>Coldbeck</w:t>
      </w:r>
      <w:proofErr w:type="spellEnd"/>
      <w:r w:rsidRPr="009E1586">
        <w:t>, 1970 CanLII 1203 (AB PC)</w:t>
      </w:r>
      <w:bookmarkEnd w:id="6"/>
    </w:p>
    <w:p w14:paraId="55F6421D" w14:textId="77777777" w:rsidR="009E1586" w:rsidRPr="009E1586" w:rsidRDefault="009E1586" w:rsidP="009E1586">
      <w:pPr>
        <w:rPr>
          <w:rFonts w:eastAsia="Helvetica Neue" w:cstheme="minorHAnsi"/>
          <w:sz w:val="22"/>
          <w:szCs w:val="22"/>
        </w:rPr>
      </w:pPr>
      <w:hyperlink r:id="rId9">
        <w:r w:rsidRPr="009E1586">
          <w:rPr>
            <w:rFonts w:eastAsia="Helvetica Neue" w:cstheme="minorHAnsi"/>
            <w:color w:val="0563C1"/>
            <w:sz w:val="22"/>
            <w:szCs w:val="22"/>
            <w:u w:val="single"/>
          </w:rPr>
          <w:t>https://www.canlii.org/en/ab/abpc/doc/1970/1970canlii1203/1970canlii1203.html?searchUrlHash=AAAAAQAVUi4gdi4gQ29sZGJlY2ssIDE5NzAgAAAAAAE&amp;resultIndex=1&amp;fbclid=IwAR2Z-jMnI5U-hs6C7jGuHqtBpebDiz_7sHcUz_Wu6Y8_7pRhqWrZmAV</w:t>
        </w:r>
        <w:r w:rsidRPr="009E1586">
          <w:rPr>
            <w:rFonts w:eastAsia="Helvetica Neue" w:cstheme="minorHAnsi"/>
            <w:color w:val="0563C1"/>
            <w:sz w:val="22"/>
            <w:szCs w:val="22"/>
            <w:u w:val="single"/>
          </w:rPr>
          <w:t>b</w:t>
        </w:r>
        <w:r w:rsidRPr="009E1586">
          <w:rPr>
            <w:rFonts w:eastAsia="Helvetica Neue" w:cstheme="minorHAnsi"/>
            <w:color w:val="0563C1"/>
            <w:sz w:val="22"/>
            <w:szCs w:val="22"/>
            <w:u w:val="single"/>
          </w:rPr>
          <w:t>Gf4</w:t>
        </w:r>
      </w:hyperlink>
    </w:p>
    <w:p w14:paraId="48754574" w14:textId="77777777" w:rsidR="009E1586" w:rsidRPr="009E1586" w:rsidRDefault="009E1586" w:rsidP="009E1586">
      <w:pPr>
        <w:pBdr>
          <w:top w:val="nil"/>
          <w:left w:val="nil"/>
          <w:bottom w:val="nil"/>
          <w:right w:val="nil"/>
          <w:between w:val="nil"/>
        </w:pBdr>
        <w:rPr>
          <w:rFonts w:eastAsia="Helvetica Neue" w:cstheme="minorHAnsi"/>
          <w:b/>
          <w:color w:val="000000"/>
          <w:sz w:val="22"/>
          <w:szCs w:val="22"/>
        </w:rPr>
      </w:pPr>
    </w:p>
    <w:p w14:paraId="31EA746D"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This case law indicates that the province cannot enact punitive law with sanction without due process </w:t>
      </w:r>
      <w:proofErr w:type="spellStart"/>
      <w:proofErr w:type="gramStart"/>
      <w:r w:rsidRPr="009E1586">
        <w:rPr>
          <w:rFonts w:eastAsia="Helvetica Neue" w:cstheme="minorHAnsi"/>
          <w:sz w:val="22"/>
          <w:szCs w:val="22"/>
        </w:rPr>
        <w:t>ie</w:t>
      </w:r>
      <w:proofErr w:type="spellEnd"/>
      <w:proofErr w:type="gramEnd"/>
      <w:r w:rsidRPr="009E1586">
        <w:rPr>
          <w:rFonts w:eastAsia="Helvetica Neue" w:cstheme="minorHAnsi"/>
          <w:sz w:val="22"/>
          <w:szCs w:val="22"/>
        </w:rPr>
        <w:t xml:space="preserve"> a hearing.</w:t>
      </w:r>
    </w:p>
    <w:p w14:paraId="0A813EAF"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1B4E852F" w14:textId="3BAD3408"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The court found that a provincial law must comply with the principles of due process protected </w:t>
      </w:r>
      <w:r w:rsidR="00AE6F90">
        <w:rPr>
          <w:rFonts w:eastAsia="Helvetica Neue" w:cstheme="minorHAnsi"/>
          <w:sz w:val="22"/>
          <w:szCs w:val="22"/>
        </w:rPr>
        <w:t xml:space="preserve">of the </w:t>
      </w:r>
      <w:r w:rsidRPr="009E1586">
        <w:rPr>
          <w:rFonts w:eastAsia="Helvetica Neue" w:cstheme="minorHAnsi"/>
          <w:sz w:val="22"/>
          <w:szCs w:val="22"/>
        </w:rPr>
        <w:t>Canadian Bill of Rights and the Magna Carta which include the right to a trial.</w:t>
      </w:r>
    </w:p>
    <w:p w14:paraId="2E582C19"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07A094A0"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“Substantive law is created which in every instance 'is ultra vires the Lieutenant-Governor in Council, is an invasion of the field of legislation, reserved to the Parliament of Canada, and is unconstitutionally in violation both of the Canadian Bill of Rights and of the fundamental liberties preserved by the Magna Carta in the administration of justice over the past 755 years.”</w:t>
      </w:r>
    </w:p>
    <w:p w14:paraId="31FB4366" w14:textId="63533D9B" w:rsidR="009E1586" w:rsidRPr="009E1586" w:rsidRDefault="009E1586" w:rsidP="009E1586">
      <w:pPr>
        <w:rPr>
          <w:rFonts w:eastAsia="Helvetica Neue" w:cstheme="minorHAnsi"/>
          <w:b/>
          <w:sz w:val="22"/>
          <w:szCs w:val="22"/>
        </w:rPr>
      </w:pPr>
    </w:p>
    <w:p w14:paraId="0F5579E6" w14:textId="0AE185CD" w:rsidR="009E1586" w:rsidRPr="009E1586" w:rsidRDefault="009E1586" w:rsidP="009E1586">
      <w:pPr>
        <w:pStyle w:val="Heading3"/>
      </w:pPr>
      <w:bookmarkStart w:id="7" w:name="_Toc125376895"/>
      <w:r w:rsidRPr="009E1586">
        <w:t>Corporation of the City of London and London Civic Employees Union, Local 107, 1978 CanLII 3475 (ON LA)</w:t>
      </w:r>
      <w:bookmarkEnd w:id="7"/>
    </w:p>
    <w:p w14:paraId="436AD540" w14:textId="77777777" w:rsidR="009E1586" w:rsidRPr="009E1586" w:rsidRDefault="009E1586" w:rsidP="009E1586">
      <w:pPr>
        <w:rPr>
          <w:rFonts w:eastAsia="Helvetica Neue" w:cstheme="minorHAnsi"/>
          <w:color w:val="0563C1"/>
          <w:sz w:val="22"/>
          <w:szCs w:val="22"/>
          <w:u w:val="single"/>
        </w:rPr>
      </w:pPr>
      <w:hyperlink r:id="rId10">
        <w:r w:rsidRPr="009E1586">
          <w:rPr>
            <w:rFonts w:eastAsia="Helvetica Neue" w:cstheme="minorHAnsi"/>
            <w:color w:val="0563C1"/>
            <w:sz w:val="22"/>
            <w:szCs w:val="22"/>
            <w:u w:val="single"/>
          </w:rPr>
          <w:t>https://www.canlii.org/en/on/onla/doc/1978/1978canlii3475/1978canlii3475.html?searchUrlHash=AAAAAQBSQ29ycG9yYXRpb24gb2YgdGhlIENpdHkgb2YgTG9uZG9uIGFuZCBMb25kb24gQ2l2aWMgRW1wbG95ZWVzIFVuaW9uLCBMb2NhbCAxMDcgMTk3OAAAAAAB&amp;resultIndex=1&amp;fbclid=IwAR0YJ9h4HKmyZbpqpY3uE6VCKmZGQ0HwTsknPqHb4oDmQPEr9dYtL4Okn9U</w:t>
        </w:r>
      </w:hyperlink>
    </w:p>
    <w:p w14:paraId="5D3217DD" w14:textId="77777777" w:rsidR="009E1586" w:rsidRPr="009E1586" w:rsidRDefault="009E1586" w:rsidP="009E1586">
      <w:pPr>
        <w:pBdr>
          <w:top w:val="nil"/>
          <w:left w:val="nil"/>
          <w:bottom w:val="nil"/>
          <w:right w:val="nil"/>
          <w:between w:val="nil"/>
        </w:pBdr>
        <w:rPr>
          <w:rFonts w:eastAsia="Helvetica Neue" w:cstheme="minorHAnsi"/>
          <w:b/>
          <w:sz w:val="22"/>
          <w:szCs w:val="22"/>
        </w:rPr>
      </w:pPr>
    </w:p>
    <w:p w14:paraId="65CA52AC" w14:textId="7FC951E7" w:rsid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Free speech is inferred by the province. This reinforces civil liberties as being a federal matter conferred on the provinces.</w:t>
      </w:r>
    </w:p>
    <w:p w14:paraId="1DD28513"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3047F5A8"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lastRenderedPageBreak/>
        <w:t>“Merits For a variety of reasons, I strongly disagree with the decision of the majority that a union official can be disciplined for exercis­ing his rights to free speech. First, a board of arbitration which derives its jurisdiction from provincial legislation, such as this board, cannot impose restric­tions upon freedom of speech unless the statements are made by an employee, qua employee, to his employer. Otherwise, free speech falls within federal control under Parliament's general power to make laws "for the Peace, Order, and good Government of Canada", or under Parliament's power to make laws in rela­tion to criminal law. Attempts by provincial Legislatures to limit free speech have been held by the Supreme Court of Canada to be ultra vires. For example, in Reference re Alberta Legislation, [1938] 2 D.L.R. 81, [1938] S.C.R. 100 [</w:t>
      </w:r>
      <w:proofErr w:type="spellStart"/>
      <w:r w:rsidRPr="009E1586">
        <w:rPr>
          <w:rFonts w:eastAsia="Helvetica Neue" w:cstheme="minorHAnsi"/>
          <w:sz w:val="22"/>
          <w:szCs w:val="22"/>
        </w:rPr>
        <w:t>affd</w:t>
      </w:r>
      <w:proofErr w:type="spellEnd"/>
      <w:r w:rsidRPr="009E1586">
        <w:rPr>
          <w:rFonts w:eastAsia="Helvetica Neue" w:cstheme="minorHAnsi"/>
          <w:sz w:val="22"/>
          <w:szCs w:val="22"/>
        </w:rPr>
        <w:t xml:space="preserve"> [1938] 4 D.L.R. 433, [1939] A.C. 117, [1938] 3 W.W.R. 337], the Supreme Court of Canada was asked to con­sider the constitutionality of provincial legislation which at­tempted to create a tribunal to monitor the press in the Province of Alberta. Chief Justice Duff stated, at p. 108: </w:t>
      </w:r>
    </w:p>
    <w:p w14:paraId="53A7FA02"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Any attempt to abrogate this right of public debate or to suppress the tradi­tional forms of the exercise of the right (in public meeting and through the press) would, in our opinion, be incompetent to the Legislatures of the Prov­inces ... as repugnant to the provisions of the B.N.A. Act ... </w:t>
      </w:r>
    </w:p>
    <w:p w14:paraId="6E2EFF9B"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Moreover, the Canadian Bill of Rights sets out the wishes of Parliament </w:t>
      </w:r>
      <w:proofErr w:type="gramStart"/>
      <w:r w:rsidRPr="009E1586">
        <w:rPr>
          <w:rFonts w:eastAsia="Helvetica Neue" w:cstheme="minorHAnsi"/>
          <w:sz w:val="22"/>
          <w:szCs w:val="22"/>
        </w:rPr>
        <w:t>in the area of</w:t>
      </w:r>
      <w:proofErr w:type="gramEnd"/>
      <w:r w:rsidRPr="009E1586">
        <w:rPr>
          <w:rFonts w:eastAsia="Helvetica Neue" w:cstheme="minorHAnsi"/>
          <w:sz w:val="22"/>
          <w:szCs w:val="22"/>
        </w:rPr>
        <w:t xml:space="preserve"> free speech in s. 1(d) which states: </w:t>
      </w:r>
    </w:p>
    <w:p w14:paraId="1C10D832" w14:textId="77777777" w:rsidR="009E1586" w:rsidRPr="009E1586" w:rsidRDefault="009E1586" w:rsidP="00AE6F90">
      <w:pPr>
        <w:pBdr>
          <w:top w:val="nil"/>
          <w:left w:val="nil"/>
          <w:bottom w:val="nil"/>
          <w:right w:val="nil"/>
          <w:between w:val="nil"/>
        </w:pBdr>
        <w:ind w:left="720"/>
        <w:rPr>
          <w:rFonts w:eastAsia="Helvetica Neue" w:cstheme="minorHAnsi"/>
          <w:sz w:val="22"/>
          <w:szCs w:val="22"/>
        </w:rPr>
      </w:pPr>
      <w:r w:rsidRPr="009E1586">
        <w:rPr>
          <w:rFonts w:eastAsia="Helvetica Neue" w:cstheme="minorHAnsi"/>
          <w:sz w:val="22"/>
          <w:szCs w:val="22"/>
        </w:rPr>
        <w:t>1. It is hereby recognized and declared that in Canada there have existed and shall continue to exist ... the following human rights and fundamental freedoms, namely, (d) freedom of speech”</w:t>
      </w:r>
    </w:p>
    <w:p w14:paraId="4D42A571" w14:textId="77777777" w:rsidR="009E1586" w:rsidRPr="009E1586" w:rsidRDefault="009E1586" w:rsidP="00AE6F90">
      <w:pPr>
        <w:pBdr>
          <w:top w:val="nil"/>
          <w:left w:val="nil"/>
          <w:bottom w:val="nil"/>
          <w:right w:val="nil"/>
          <w:between w:val="nil"/>
        </w:pBdr>
        <w:ind w:left="720"/>
        <w:rPr>
          <w:rFonts w:eastAsia="Helvetica Neue" w:cstheme="minorHAnsi"/>
          <w:b/>
          <w:sz w:val="22"/>
          <w:szCs w:val="22"/>
        </w:rPr>
      </w:pPr>
    </w:p>
    <w:p w14:paraId="10D1D17F" w14:textId="77777777" w:rsidR="009E1586" w:rsidRPr="009E1586" w:rsidRDefault="009E1586" w:rsidP="00AE6F90">
      <w:pPr>
        <w:pBdr>
          <w:top w:val="nil"/>
          <w:left w:val="nil"/>
          <w:bottom w:val="nil"/>
          <w:right w:val="nil"/>
          <w:between w:val="nil"/>
        </w:pBdr>
        <w:ind w:left="720"/>
        <w:rPr>
          <w:rFonts w:eastAsia="Helvetica Neue" w:cstheme="minorHAnsi"/>
          <w:sz w:val="22"/>
          <w:szCs w:val="22"/>
        </w:rPr>
      </w:pPr>
      <w:r w:rsidRPr="009E1586">
        <w:rPr>
          <w:rFonts w:eastAsia="Helvetica Neue" w:cstheme="minorHAnsi"/>
          <w:sz w:val="22"/>
          <w:szCs w:val="22"/>
        </w:rPr>
        <w:t xml:space="preserve">Therefore, an arbitral finding which limits the griever's right to free speech is: </w:t>
      </w:r>
    </w:p>
    <w:p w14:paraId="5C5EA8C3" w14:textId="77777777" w:rsidR="009E1586" w:rsidRPr="009E1586" w:rsidRDefault="009E1586" w:rsidP="00AE6F90">
      <w:pPr>
        <w:pBdr>
          <w:top w:val="nil"/>
          <w:left w:val="nil"/>
          <w:bottom w:val="nil"/>
          <w:right w:val="nil"/>
          <w:between w:val="nil"/>
        </w:pBdr>
        <w:ind w:left="720"/>
        <w:rPr>
          <w:rFonts w:eastAsia="Helvetica Neue" w:cstheme="minorHAnsi"/>
          <w:sz w:val="22"/>
          <w:szCs w:val="22"/>
        </w:rPr>
      </w:pPr>
      <w:r w:rsidRPr="009E1586">
        <w:rPr>
          <w:rFonts w:eastAsia="Helvetica Neue" w:cstheme="minorHAnsi"/>
          <w:sz w:val="22"/>
          <w:szCs w:val="22"/>
        </w:rPr>
        <w:t xml:space="preserve">(1) ultra vires the arbitrator's authority as an appointed official pursuant to provincial legislation, and </w:t>
      </w:r>
    </w:p>
    <w:p w14:paraId="367D2073" w14:textId="7483CFD7" w:rsidR="009E1586" w:rsidRPr="009E1586" w:rsidRDefault="009E1586" w:rsidP="00AE6F90">
      <w:pPr>
        <w:pBdr>
          <w:top w:val="nil"/>
          <w:left w:val="nil"/>
          <w:bottom w:val="nil"/>
          <w:right w:val="nil"/>
          <w:between w:val="nil"/>
        </w:pBdr>
        <w:ind w:left="720"/>
        <w:rPr>
          <w:rFonts w:eastAsia="Helvetica Neue" w:cstheme="minorHAnsi"/>
          <w:b/>
          <w:sz w:val="22"/>
          <w:szCs w:val="22"/>
        </w:rPr>
      </w:pPr>
      <w:r w:rsidRPr="009E1586">
        <w:rPr>
          <w:rFonts w:eastAsia="Helvetica Neue" w:cstheme="minorHAnsi"/>
          <w:sz w:val="22"/>
          <w:szCs w:val="22"/>
        </w:rPr>
        <w:t xml:space="preserve">(2) an interference with the griever's status as a Canadian citi­zen wherein is found his fundamental and sacred right to ex­press freely his opinion and discuss the matters of public concern. </w:t>
      </w:r>
    </w:p>
    <w:p w14:paraId="73C0CF12" w14:textId="77777777" w:rsidR="009E1586" w:rsidRPr="009E1586" w:rsidRDefault="009E1586" w:rsidP="009E1586">
      <w:pPr>
        <w:rPr>
          <w:rFonts w:eastAsia="Helvetica Neue" w:cstheme="minorHAnsi"/>
          <w:sz w:val="22"/>
          <w:szCs w:val="22"/>
        </w:rPr>
      </w:pPr>
    </w:p>
    <w:p w14:paraId="46D4D0C3" w14:textId="127CA05C" w:rsidR="009E1586" w:rsidRDefault="009E1586" w:rsidP="000742AC">
      <w:pPr>
        <w:pStyle w:val="Heading3"/>
        <w:rPr>
          <w:rFonts w:eastAsia="Helvetica Neue"/>
        </w:rPr>
      </w:pPr>
      <w:bookmarkStart w:id="8" w:name="_Toc125376896"/>
      <w:r w:rsidRPr="009E1586">
        <w:rPr>
          <w:rFonts w:eastAsia="Helvetica Neue"/>
        </w:rPr>
        <w:t>Cogan et al. and City of Toronto et al. (1974), 3 O.R. (2d) 661</w:t>
      </w:r>
      <w:bookmarkEnd w:id="8"/>
    </w:p>
    <w:p w14:paraId="52209B06" w14:textId="2DFF3432" w:rsidR="000742AC" w:rsidRPr="000742AC" w:rsidRDefault="000742AC" w:rsidP="000742AC">
      <w:pPr>
        <w:rPr>
          <w:rFonts w:eastAsia="Helvetica Neue" w:cstheme="minorHAnsi"/>
          <w:sz w:val="22"/>
          <w:szCs w:val="22"/>
        </w:rPr>
      </w:pPr>
      <w:hyperlink r:id="rId11">
        <w:r w:rsidRPr="009E1586">
          <w:rPr>
            <w:rFonts w:eastAsia="Helvetica Neue" w:cstheme="minorHAnsi"/>
            <w:color w:val="0563C1"/>
            <w:sz w:val="22"/>
            <w:szCs w:val="22"/>
            <w:u w:val="single"/>
          </w:rPr>
          <w:t>https://www.canlii.org/en/on/onsc/doc/1974/1974canlii586/1974canlii586.html?searchUrlHash=AAAAAQAiIkNhbmFkaWFuIGJpbGwgb2YgcmlnaHRzIiAiYnktbGF3IgAAAAAB&amp;resultIndex=183</w:t>
        </w:r>
      </w:hyperlink>
    </w:p>
    <w:p w14:paraId="6D599FFB" w14:textId="77777777" w:rsidR="009E1586" w:rsidRPr="009E1586" w:rsidRDefault="009E1586" w:rsidP="009E1586">
      <w:pPr>
        <w:rPr>
          <w:rFonts w:eastAsia="Helvetica Neue" w:cstheme="minorHAnsi"/>
          <w:b/>
          <w:sz w:val="22"/>
          <w:szCs w:val="22"/>
        </w:rPr>
      </w:pPr>
    </w:p>
    <w:p w14:paraId="225B438A" w14:textId="77777777" w:rsidR="009E1586" w:rsidRPr="009E1586" w:rsidRDefault="009E1586" w:rsidP="009E1586">
      <w:pPr>
        <w:rPr>
          <w:rFonts w:eastAsia="Helvetica Neue" w:cstheme="minorHAnsi"/>
          <w:sz w:val="22"/>
          <w:szCs w:val="22"/>
        </w:rPr>
      </w:pPr>
      <w:r w:rsidRPr="009E1586">
        <w:rPr>
          <w:rFonts w:eastAsia="Helvetica Neue" w:cstheme="minorHAnsi"/>
          <w:sz w:val="22"/>
          <w:szCs w:val="22"/>
        </w:rPr>
        <w:t>This case law required the city of Toronto to treat citizens equally before the law as per the Canadian Bill of Rights section 1 (b).</w:t>
      </w:r>
    </w:p>
    <w:p w14:paraId="223AD994" w14:textId="77777777" w:rsidR="009E1586" w:rsidRPr="009E1586" w:rsidRDefault="009E1586" w:rsidP="009E1586">
      <w:pPr>
        <w:rPr>
          <w:rFonts w:eastAsia="Helvetica Neue" w:cstheme="minorHAnsi"/>
          <w:sz w:val="22"/>
          <w:szCs w:val="22"/>
        </w:rPr>
      </w:pPr>
    </w:p>
    <w:p w14:paraId="46B9D171"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 xml:space="preserve">“It may not be amiss however, to raise serious doubts as to the propriety of municipal legislation that openly invites uneven application to citizens, private or corporate. Such legislation would appear to fly in the face of a principle enshrined in the </w:t>
      </w:r>
      <w:r w:rsidRPr="009E1586">
        <w:rPr>
          <w:rFonts w:eastAsia="Helvetica Neue" w:cstheme="minorHAnsi"/>
          <w:sz w:val="22"/>
          <w:szCs w:val="22"/>
          <w:highlight w:val="white"/>
        </w:rPr>
        <w:t>Canadian Bill of Rights</w:t>
      </w:r>
      <w:r w:rsidRPr="009E1586">
        <w:rPr>
          <w:rFonts w:eastAsia="Helvetica Neue" w:cstheme="minorHAnsi"/>
          <w:sz w:val="22"/>
          <w:szCs w:val="22"/>
        </w:rPr>
        <w:t>, namely, that all citizens are equal before the law. This legislation openly provides for special treatment for some, who for reasons that can never be truly known, will obtain exemptions from</w:t>
      </w:r>
      <w:r w:rsidRPr="009E1586">
        <w:rPr>
          <w:rFonts w:eastAsia="Helvetica Neue" w:cstheme="minorHAnsi"/>
          <w:color w:val="FFFFFF"/>
          <w:sz w:val="22"/>
          <w:szCs w:val="22"/>
        </w:rPr>
        <w:t xml:space="preserve"> </w:t>
      </w:r>
      <w:r w:rsidRPr="009E1586">
        <w:rPr>
          <w:rFonts w:eastAsia="Helvetica Neue" w:cstheme="minorHAnsi"/>
          <w:sz w:val="22"/>
          <w:szCs w:val="22"/>
          <w:highlight w:val="white"/>
        </w:rPr>
        <w:t>By-law</w:t>
      </w:r>
      <w:r w:rsidRPr="009E1586">
        <w:rPr>
          <w:rFonts w:eastAsia="Helvetica Neue" w:cstheme="minorHAnsi"/>
          <w:sz w:val="22"/>
          <w:szCs w:val="22"/>
        </w:rPr>
        <w:t xml:space="preserve"> 348-73 or amendments to the zoning </w:t>
      </w:r>
      <w:r w:rsidRPr="009E1586">
        <w:rPr>
          <w:rFonts w:eastAsia="Helvetica Neue" w:cstheme="minorHAnsi"/>
          <w:sz w:val="22"/>
          <w:szCs w:val="22"/>
          <w:highlight w:val="white"/>
        </w:rPr>
        <w:t>by-law</w:t>
      </w:r>
      <w:r w:rsidRPr="009E1586">
        <w:rPr>
          <w:rFonts w:eastAsia="Helvetica Neue" w:cstheme="minorHAnsi"/>
          <w:sz w:val="22"/>
          <w:szCs w:val="22"/>
        </w:rPr>
        <w:t xml:space="preserve"> and others will be refused. Apart from the objection that it is designed to be unequally applied, despite the declared benevolent intention of such legislation, it is fraught with obvious possibilities for abuse.”</w:t>
      </w:r>
    </w:p>
    <w:p w14:paraId="187DF46B" w14:textId="345762B4" w:rsidR="009E1586" w:rsidRPr="009E1586" w:rsidRDefault="009E1586" w:rsidP="009E1586">
      <w:pPr>
        <w:rPr>
          <w:rFonts w:eastAsia="Helvetica Neue" w:cstheme="minorHAnsi"/>
          <w:sz w:val="22"/>
          <w:szCs w:val="22"/>
        </w:rPr>
      </w:pPr>
    </w:p>
    <w:p w14:paraId="33166C43" w14:textId="048473A8" w:rsidR="009E1586" w:rsidRDefault="009E1586" w:rsidP="000742AC">
      <w:pPr>
        <w:pStyle w:val="Heading3"/>
        <w:rPr>
          <w:rFonts w:eastAsia="Helvetica Neue"/>
        </w:rPr>
      </w:pPr>
      <w:bookmarkStart w:id="9" w:name="_Toc125376897"/>
      <w:r w:rsidRPr="009E1586">
        <w:rPr>
          <w:rFonts w:eastAsia="Helvetica Neue"/>
        </w:rPr>
        <w:t>Henry Birks &amp; Sons (Montreal) Ltd. v. City of Montreal, 1955 CanLII 69 (SCC), [1955] SCR 799</w:t>
      </w:r>
      <w:bookmarkEnd w:id="9"/>
    </w:p>
    <w:p w14:paraId="6855A1BC" w14:textId="5690325D" w:rsidR="000742AC" w:rsidRPr="000742AC" w:rsidRDefault="000742AC" w:rsidP="000742AC">
      <w:pPr>
        <w:rPr>
          <w:rFonts w:eastAsia="Helvetica Neue" w:cstheme="minorHAnsi"/>
          <w:sz w:val="22"/>
          <w:szCs w:val="22"/>
        </w:rPr>
      </w:pPr>
      <w:hyperlink r:id="rId12">
        <w:r w:rsidRPr="009E1586">
          <w:rPr>
            <w:rFonts w:eastAsia="Helvetica Neue" w:cstheme="minorHAnsi"/>
            <w:color w:val="0563C1"/>
            <w:sz w:val="22"/>
            <w:szCs w:val="22"/>
            <w:u w:val="single"/>
          </w:rPr>
          <w:t>https://www.canlii.org/en/ca/scc/doc/1955/1955canlii69/1955canlii69.html</w:t>
        </w:r>
      </w:hyperlink>
    </w:p>
    <w:p w14:paraId="7E441370" w14:textId="77777777" w:rsidR="009E1586" w:rsidRPr="009E1586" w:rsidRDefault="009E1586" w:rsidP="009E1586">
      <w:pPr>
        <w:pBdr>
          <w:top w:val="nil"/>
          <w:left w:val="nil"/>
          <w:bottom w:val="nil"/>
          <w:right w:val="nil"/>
          <w:between w:val="nil"/>
        </w:pBdr>
        <w:rPr>
          <w:rFonts w:eastAsia="Helvetica Neue" w:cstheme="minorHAnsi"/>
          <w:b/>
          <w:sz w:val="22"/>
          <w:szCs w:val="22"/>
        </w:rPr>
      </w:pPr>
    </w:p>
    <w:p w14:paraId="14AAAC5F"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The court decided that the restrictive laws regarding religion would be federal jurisdiction because they were criminal laws. The law was struck down.</w:t>
      </w:r>
    </w:p>
    <w:p w14:paraId="72A37593"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03E28A08"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Arial" w:cstheme="minorHAnsi"/>
          <w:sz w:val="22"/>
          <w:szCs w:val="22"/>
        </w:rPr>
        <w:t xml:space="preserve">“Even if it could be said that legislation of the character here in question is not properly "criminal law" within the meaning of s. 91(27), it would, in my opinion, still be beyond the jurisdiction of a provincial legislature as being legislation with respect to freedom of religion dealt with by the statute of 1852, 14-15 </w:t>
      </w:r>
      <w:proofErr w:type="spellStart"/>
      <w:r w:rsidRPr="009E1586">
        <w:rPr>
          <w:rFonts w:eastAsia="Arial" w:cstheme="minorHAnsi"/>
          <w:sz w:val="22"/>
          <w:szCs w:val="22"/>
        </w:rPr>
        <w:t>Vict</w:t>
      </w:r>
      <w:proofErr w:type="spellEnd"/>
      <w:r w:rsidRPr="009E1586">
        <w:rPr>
          <w:rFonts w:eastAsia="Arial" w:cstheme="minorHAnsi"/>
          <w:sz w:val="22"/>
          <w:szCs w:val="22"/>
        </w:rPr>
        <w:t>., c. 175, Can.”</w:t>
      </w:r>
    </w:p>
    <w:p w14:paraId="5B4AC643" w14:textId="77777777" w:rsidR="009E1586" w:rsidRPr="009E1586" w:rsidRDefault="009E1586" w:rsidP="009E1586">
      <w:pPr>
        <w:pBdr>
          <w:top w:val="nil"/>
          <w:left w:val="nil"/>
          <w:bottom w:val="nil"/>
          <w:right w:val="nil"/>
          <w:between w:val="nil"/>
        </w:pBdr>
        <w:rPr>
          <w:rFonts w:eastAsia="Helvetica Neue" w:cstheme="minorHAnsi"/>
          <w:b/>
          <w:sz w:val="22"/>
          <w:szCs w:val="22"/>
        </w:rPr>
      </w:pPr>
    </w:p>
    <w:p w14:paraId="5EA4CEA8" w14:textId="77777777" w:rsidR="009E1586" w:rsidRPr="009E1586" w:rsidRDefault="009E1586" w:rsidP="00AF3FAF">
      <w:pPr>
        <w:pStyle w:val="Heading3"/>
        <w:rPr>
          <w:rFonts w:eastAsia="Helvetica Neue"/>
        </w:rPr>
      </w:pPr>
      <w:bookmarkStart w:id="10" w:name="_Toc125376898"/>
      <w:r w:rsidRPr="009E1586">
        <w:rPr>
          <w:rFonts w:eastAsia="Helvetica Neue"/>
        </w:rPr>
        <w:t>SWITZMAN v. ELBING AND A.G. OF QUEBEC, [1957] S.C.R. 285</w:t>
      </w:r>
      <w:bookmarkEnd w:id="10"/>
    </w:p>
    <w:p w14:paraId="4268F97D" w14:textId="77777777" w:rsidR="00AF3FAF" w:rsidRPr="009E1586" w:rsidRDefault="00AF3FAF" w:rsidP="00AF3FAF">
      <w:pPr>
        <w:rPr>
          <w:rFonts w:eastAsia="Helvetica Neue" w:cstheme="minorHAnsi"/>
          <w:sz w:val="22"/>
          <w:szCs w:val="22"/>
        </w:rPr>
      </w:pPr>
      <w:hyperlink r:id="rId13">
        <w:r w:rsidRPr="009E1586">
          <w:rPr>
            <w:rFonts w:eastAsia="Helvetica Neue" w:cstheme="minorHAnsi"/>
            <w:color w:val="0563C1"/>
            <w:sz w:val="22"/>
            <w:szCs w:val="22"/>
            <w:u w:val="single"/>
          </w:rPr>
          <w:t>htt</w:t>
        </w:r>
        <w:r w:rsidRPr="009E1586">
          <w:rPr>
            <w:rFonts w:eastAsia="Helvetica Neue" w:cstheme="minorHAnsi"/>
            <w:color w:val="0563C1"/>
            <w:sz w:val="22"/>
            <w:szCs w:val="22"/>
            <w:u w:val="single"/>
          </w:rPr>
          <w:t>p</w:t>
        </w:r>
        <w:r w:rsidRPr="009E1586">
          <w:rPr>
            <w:rFonts w:eastAsia="Helvetica Neue" w:cstheme="minorHAnsi"/>
            <w:color w:val="0563C1"/>
            <w:sz w:val="22"/>
            <w:szCs w:val="22"/>
            <w:u w:val="single"/>
          </w:rPr>
          <w:t>s://scc-csc.lexum.com/scc-csc/scc-csc/en/item/2748/index.do</w:t>
        </w:r>
      </w:hyperlink>
    </w:p>
    <w:p w14:paraId="7398E675" w14:textId="77777777" w:rsidR="009E1586" w:rsidRPr="009E1586" w:rsidRDefault="009E1586" w:rsidP="009E1586">
      <w:pPr>
        <w:pBdr>
          <w:top w:val="nil"/>
          <w:left w:val="nil"/>
          <w:bottom w:val="nil"/>
          <w:right w:val="nil"/>
          <w:between w:val="nil"/>
        </w:pBdr>
        <w:rPr>
          <w:rFonts w:eastAsia="Helvetica Neue" w:cstheme="minorHAnsi"/>
          <w:b/>
          <w:sz w:val="22"/>
          <w:szCs w:val="22"/>
        </w:rPr>
      </w:pPr>
    </w:p>
    <w:p w14:paraId="4BCE1821" w14:textId="77777777" w:rsidR="009E1586" w:rsidRPr="009E1586" w:rsidRDefault="009E1586" w:rsidP="009E1586">
      <w:pPr>
        <w:pBdr>
          <w:top w:val="nil"/>
          <w:left w:val="nil"/>
          <w:bottom w:val="nil"/>
          <w:right w:val="nil"/>
          <w:between w:val="nil"/>
        </w:pBdr>
        <w:rPr>
          <w:rFonts w:eastAsia="Helvetica Neue" w:cstheme="minorHAnsi"/>
          <w:sz w:val="22"/>
          <w:szCs w:val="22"/>
        </w:rPr>
      </w:pPr>
      <w:r w:rsidRPr="009E1586">
        <w:rPr>
          <w:rFonts w:eastAsia="Helvetica Neue" w:cstheme="minorHAnsi"/>
          <w:sz w:val="22"/>
          <w:szCs w:val="22"/>
        </w:rPr>
        <w:t>The court found provincial law ultra vires because it was criminal in nature and therefore in violation of section 91 of the Constitution Act of Canada 1867.</w:t>
      </w:r>
    </w:p>
    <w:p w14:paraId="3C808D1E" w14:textId="77777777" w:rsidR="009E1586" w:rsidRPr="009E1586" w:rsidRDefault="009E1586" w:rsidP="009E1586">
      <w:pPr>
        <w:pBdr>
          <w:top w:val="nil"/>
          <w:left w:val="nil"/>
          <w:bottom w:val="nil"/>
          <w:right w:val="nil"/>
          <w:between w:val="nil"/>
        </w:pBdr>
        <w:rPr>
          <w:rFonts w:eastAsia="Helvetica Neue" w:cstheme="minorHAnsi"/>
          <w:sz w:val="22"/>
          <w:szCs w:val="22"/>
        </w:rPr>
      </w:pPr>
    </w:p>
    <w:p w14:paraId="2AB29DA7" w14:textId="77777777" w:rsidR="009E1586" w:rsidRPr="009E1586" w:rsidRDefault="009E1586" w:rsidP="00AE6F90">
      <w:pPr>
        <w:ind w:left="555" w:right="1140"/>
        <w:rPr>
          <w:rFonts w:eastAsia="Arial" w:cstheme="minorHAnsi"/>
          <w:sz w:val="22"/>
          <w:szCs w:val="22"/>
        </w:rPr>
      </w:pPr>
      <w:r w:rsidRPr="009E1586">
        <w:rPr>
          <w:rFonts w:eastAsia="Arial" w:cstheme="minorHAnsi"/>
          <w:sz w:val="22"/>
          <w:szCs w:val="22"/>
        </w:rPr>
        <w:t xml:space="preserve">“The </w:t>
      </w:r>
      <w:r w:rsidRPr="009E1586">
        <w:rPr>
          <w:rFonts w:eastAsia="Arial" w:cstheme="minorHAnsi"/>
          <w:i/>
          <w:sz w:val="22"/>
          <w:szCs w:val="22"/>
        </w:rPr>
        <w:t xml:space="preserve">Act Respecting Communistic Propaganda </w:t>
      </w:r>
      <w:r w:rsidRPr="009E1586">
        <w:rPr>
          <w:rFonts w:eastAsia="Arial" w:cstheme="minorHAnsi"/>
          <w:sz w:val="22"/>
          <w:szCs w:val="22"/>
        </w:rPr>
        <w:t xml:space="preserve">of the Province of Quebec, R.S.Q. 1941, c. 52, is </w:t>
      </w:r>
      <w:r w:rsidRPr="009E1586">
        <w:rPr>
          <w:rFonts w:eastAsia="Arial" w:cstheme="minorHAnsi"/>
          <w:i/>
          <w:sz w:val="22"/>
          <w:szCs w:val="22"/>
        </w:rPr>
        <w:t xml:space="preserve">ultra vires of </w:t>
      </w:r>
      <w:r w:rsidRPr="009E1586">
        <w:rPr>
          <w:rFonts w:eastAsia="Arial" w:cstheme="minorHAnsi"/>
          <w:sz w:val="22"/>
          <w:szCs w:val="22"/>
        </w:rPr>
        <w:t xml:space="preserve">the Provincial Legislature. </w:t>
      </w:r>
      <w:proofErr w:type="spellStart"/>
      <w:r w:rsidRPr="009E1586">
        <w:rPr>
          <w:rFonts w:eastAsia="Arial" w:cstheme="minorHAnsi"/>
          <w:i/>
          <w:sz w:val="22"/>
          <w:szCs w:val="22"/>
        </w:rPr>
        <w:t>Fineberg</w:t>
      </w:r>
      <w:proofErr w:type="spellEnd"/>
      <w:r w:rsidRPr="009E1586">
        <w:rPr>
          <w:rFonts w:eastAsia="Arial" w:cstheme="minorHAnsi"/>
          <w:i/>
          <w:sz w:val="22"/>
          <w:szCs w:val="22"/>
        </w:rPr>
        <w:t xml:space="preserve"> v. Taub </w:t>
      </w:r>
      <w:r w:rsidRPr="009E1586">
        <w:rPr>
          <w:rFonts w:eastAsia="Arial" w:cstheme="minorHAnsi"/>
          <w:sz w:val="22"/>
          <w:szCs w:val="22"/>
        </w:rPr>
        <w:t>(1939), 77 Que. S.C. 233, overruled.</w:t>
      </w:r>
    </w:p>
    <w:p w14:paraId="37CBDBAF" w14:textId="0577FDF2" w:rsidR="009E1586" w:rsidRPr="00AE6F90" w:rsidRDefault="009E1586" w:rsidP="00AE6F90">
      <w:pPr>
        <w:ind w:left="555" w:right="1140"/>
        <w:rPr>
          <w:rFonts w:eastAsia="Arial" w:cstheme="minorHAnsi"/>
          <w:sz w:val="22"/>
          <w:szCs w:val="22"/>
        </w:rPr>
      </w:pPr>
      <w:r w:rsidRPr="009E1586">
        <w:rPr>
          <w:rFonts w:eastAsia="Arial" w:cstheme="minorHAnsi"/>
          <w:i/>
          <w:sz w:val="22"/>
          <w:szCs w:val="22"/>
        </w:rPr>
        <w:t xml:space="preserve">Per </w:t>
      </w:r>
      <w:proofErr w:type="spellStart"/>
      <w:r w:rsidRPr="009E1586">
        <w:rPr>
          <w:rFonts w:eastAsia="Arial" w:cstheme="minorHAnsi"/>
          <w:sz w:val="22"/>
          <w:szCs w:val="22"/>
        </w:rPr>
        <w:t>Kerwin</w:t>
      </w:r>
      <w:proofErr w:type="spellEnd"/>
      <w:r w:rsidRPr="009E1586">
        <w:rPr>
          <w:rFonts w:eastAsia="Arial" w:cstheme="minorHAnsi"/>
          <w:sz w:val="22"/>
          <w:szCs w:val="22"/>
        </w:rPr>
        <w:t xml:space="preserve"> C.J. and Locke, Cartwright, </w:t>
      </w:r>
      <w:proofErr w:type="spellStart"/>
      <w:r w:rsidRPr="009E1586">
        <w:rPr>
          <w:rFonts w:eastAsia="Arial" w:cstheme="minorHAnsi"/>
          <w:sz w:val="22"/>
          <w:szCs w:val="22"/>
        </w:rPr>
        <w:t>Fauteux</w:t>
      </w:r>
      <w:proofErr w:type="spellEnd"/>
      <w:r w:rsidRPr="009E1586">
        <w:rPr>
          <w:rFonts w:eastAsia="Arial" w:cstheme="minorHAnsi"/>
          <w:sz w:val="22"/>
          <w:szCs w:val="22"/>
        </w:rPr>
        <w:t xml:space="preserve"> and Nolan JJ.: The statute is legislation in respect of criminal law which, under head 27 of</w:t>
      </w:r>
      <w:r w:rsidR="00AE6F90">
        <w:rPr>
          <w:rFonts w:eastAsia="Arial" w:cstheme="minorHAnsi"/>
          <w:sz w:val="22"/>
          <w:szCs w:val="22"/>
        </w:rPr>
        <w:t xml:space="preserve"> </w:t>
      </w:r>
      <w:r w:rsidRPr="009E1586">
        <w:rPr>
          <w:rFonts w:eastAsia="Arial" w:cstheme="minorHAnsi"/>
          <w:sz w:val="22"/>
          <w:szCs w:val="22"/>
        </w:rPr>
        <w:t xml:space="preserve">s. 91 of the </w:t>
      </w:r>
      <w:r w:rsidRPr="009E1586">
        <w:rPr>
          <w:rFonts w:eastAsia="Arial" w:cstheme="minorHAnsi"/>
          <w:i/>
          <w:sz w:val="22"/>
          <w:szCs w:val="22"/>
        </w:rPr>
        <w:t xml:space="preserve">British North America Act, is </w:t>
      </w:r>
      <w:r w:rsidRPr="009E1586">
        <w:rPr>
          <w:rFonts w:eastAsia="Arial" w:cstheme="minorHAnsi"/>
          <w:sz w:val="22"/>
          <w:szCs w:val="22"/>
        </w:rPr>
        <w:t xml:space="preserve">within the exclusive competence of the Parliament </w:t>
      </w:r>
      <w:r w:rsidRPr="009E1586">
        <w:rPr>
          <w:rFonts w:eastAsia="Arial" w:cstheme="minorHAnsi"/>
          <w:i/>
          <w:sz w:val="22"/>
          <w:szCs w:val="22"/>
        </w:rPr>
        <w:t xml:space="preserve">of </w:t>
      </w:r>
      <w:r w:rsidRPr="009E1586">
        <w:rPr>
          <w:rFonts w:eastAsia="Arial" w:cstheme="minorHAnsi"/>
          <w:sz w:val="22"/>
          <w:szCs w:val="22"/>
        </w:rPr>
        <w:t xml:space="preserve">Canada. </w:t>
      </w:r>
      <w:r w:rsidRPr="009E1586">
        <w:rPr>
          <w:rFonts w:eastAsia="Arial" w:cstheme="minorHAnsi"/>
          <w:i/>
          <w:sz w:val="22"/>
          <w:szCs w:val="22"/>
        </w:rPr>
        <w:t xml:space="preserve">Bédard v. Dawson et al., </w:t>
      </w:r>
      <w:r w:rsidRPr="009E1586">
        <w:rPr>
          <w:rFonts w:eastAsia="Arial" w:cstheme="minorHAnsi"/>
          <w:sz w:val="22"/>
          <w:szCs w:val="22"/>
        </w:rPr>
        <w:t>[1923] S.C.R. 681, distinguished.</w:t>
      </w:r>
      <w:r w:rsidR="00AE6F90">
        <w:rPr>
          <w:rFonts w:eastAsia="Arial" w:cstheme="minorHAnsi"/>
          <w:sz w:val="22"/>
          <w:szCs w:val="22"/>
        </w:rPr>
        <w:t xml:space="preserve"> </w:t>
      </w:r>
      <w:r w:rsidRPr="009E1586">
        <w:rPr>
          <w:rFonts w:eastAsia="Arial" w:cstheme="minorHAnsi"/>
          <w:i/>
          <w:sz w:val="22"/>
          <w:szCs w:val="22"/>
        </w:rPr>
        <w:t xml:space="preserve">Per </w:t>
      </w:r>
      <w:r w:rsidRPr="009E1586">
        <w:rPr>
          <w:rFonts w:eastAsia="Arial" w:cstheme="minorHAnsi"/>
          <w:sz w:val="22"/>
          <w:szCs w:val="22"/>
        </w:rPr>
        <w:t xml:space="preserve">Rand, Kellock and Abbott M.: The subject-matter of the statute is not within any of the powers specifically assigned to the </w:t>
      </w:r>
      <w:proofErr w:type="gramStart"/>
      <w:r w:rsidRPr="009E1586">
        <w:rPr>
          <w:rFonts w:eastAsia="Arial" w:cstheme="minorHAnsi"/>
          <w:sz w:val="22"/>
          <w:szCs w:val="22"/>
        </w:rPr>
        <w:t>Provinces</w:t>
      </w:r>
      <w:proofErr w:type="gramEnd"/>
      <w:r w:rsidRPr="009E1586">
        <w:rPr>
          <w:rFonts w:eastAsia="Arial" w:cstheme="minorHAnsi"/>
          <w:sz w:val="22"/>
          <w:szCs w:val="22"/>
        </w:rPr>
        <w:t xml:space="preserve"> by</w:t>
      </w:r>
      <w:r w:rsidR="00AE6F90">
        <w:rPr>
          <w:rFonts w:eastAsia="Arial" w:cstheme="minorHAnsi"/>
          <w:sz w:val="22"/>
          <w:szCs w:val="22"/>
        </w:rPr>
        <w:t xml:space="preserve"> </w:t>
      </w:r>
      <w:r w:rsidRPr="009E1586">
        <w:rPr>
          <w:rFonts w:eastAsia="Arial" w:cstheme="minorHAnsi"/>
          <w:sz w:val="22"/>
          <w:szCs w:val="22"/>
        </w:rPr>
        <w:t xml:space="preserve">s. 92 </w:t>
      </w:r>
      <w:r w:rsidRPr="009E1586">
        <w:rPr>
          <w:rFonts w:eastAsia="Arial" w:cstheme="minorHAnsi"/>
          <w:i/>
          <w:sz w:val="22"/>
          <w:szCs w:val="22"/>
        </w:rPr>
        <w:t xml:space="preserve">of </w:t>
      </w:r>
      <w:r w:rsidRPr="009E1586">
        <w:rPr>
          <w:rFonts w:eastAsia="Arial" w:cstheme="minorHAnsi"/>
          <w:sz w:val="22"/>
          <w:szCs w:val="22"/>
        </w:rPr>
        <w:t xml:space="preserve">the </w:t>
      </w:r>
      <w:r w:rsidRPr="009E1586">
        <w:rPr>
          <w:rFonts w:eastAsia="Arial" w:cstheme="minorHAnsi"/>
          <w:i/>
          <w:sz w:val="22"/>
          <w:szCs w:val="22"/>
        </w:rPr>
        <w:t xml:space="preserve">British North America Act </w:t>
      </w:r>
      <w:r w:rsidRPr="009E1586">
        <w:rPr>
          <w:rFonts w:eastAsia="Arial" w:cstheme="minorHAnsi"/>
          <w:sz w:val="22"/>
          <w:szCs w:val="22"/>
        </w:rPr>
        <w:t>and it constitutes an unjustifiable interference with freedom of speech and expression essential under the democratic form of government established in Canada.”</w:t>
      </w:r>
    </w:p>
    <w:p w14:paraId="22B79E25" w14:textId="77777777" w:rsidR="009E1586" w:rsidRPr="009E1586" w:rsidRDefault="009E1586" w:rsidP="009E1586">
      <w:pPr>
        <w:rPr>
          <w:rFonts w:eastAsia="Helvetica Neue" w:cstheme="minorHAnsi"/>
          <w:sz w:val="22"/>
          <w:szCs w:val="22"/>
        </w:rPr>
      </w:pPr>
    </w:p>
    <w:p w14:paraId="793AB58C" w14:textId="5731C554" w:rsidR="009E1586" w:rsidRDefault="009E1586" w:rsidP="00AF3FAF">
      <w:pPr>
        <w:pStyle w:val="Heading3"/>
        <w:rPr>
          <w:rFonts w:eastAsia="Helvetica Neue"/>
        </w:rPr>
      </w:pPr>
      <w:bookmarkStart w:id="11" w:name="_Toc125376899"/>
      <w:r w:rsidRPr="009E1586">
        <w:rPr>
          <w:rFonts w:eastAsia="Helvetica Neue"/>
        </w:rPr>
        <w:t>R. v. Asante-Mensah, 2003 SCC 38 (CanLII), [2003] 2 SCR 3</w:t>
      </w:r>
      <w:bookmarkEnd w:id="11"/>
    </w:p>
    <w:p w14:paraId="2B6BF9F0" w14:textId="4F4BD926" w:rsidR="00AF3FAF" w:rsidRPr="00AF3FAF" w:rsidRDefault="00AF3FAF" w:rsidP="00AF3FAF">
      <w:pPr>
        <w:rPr>
          <w:rFonts w:eastAsia="Helvetica Neue" w:cstheme="minorHAnsi"/>
          <w:color w:val="4A86E8"/>
          <w:sz w:val="22"/>
          <w:szCs w:val="22"/>
        </w:rPr>
      </w:pPr>
      <w:hyperlink r:id="rId14" w:history="1">
        <w:r w:rsidRPr="009E1586">
          <w:rPr>
            <w:rStyle w:val="Hyperlink"/>
            <w:rFonts w:eastAsia="Helvetica Neue" w:cstheme="minorHAnsi"/>
            <w:sz w:val="22"/>
            <w:szCs w:val="22"/>
          </w:rPr>
          <w:t>https://www.canlii.org/en/ca/scc/doc/2003/2003scc38/2003scc38.html</w:t>
        </w:r>
      </w:hyperlink>
    </w:p>
    <w:p w14:paraId="14065C1E" w14:textId="77777777" w:rsidR="009E1586" w:rsidRPr="009E1586" w:rsidRDefault="009E1586" w:rsidP="009E1586">
      <w:pPr>
        <w:rPr>
          <w:rFonts w:eastAsia="Helvetica Neue" w:cstheme="minorHAnsi"/>
          <w:sz w:val="22"/>
          <w:szCs w:val="22"/>
        </w:rPr>
      </w:pPr>
    </w:p>
    <w:p w14:paraId="53089934" w14:textId="27F433D6" w:rsidR="009E1586" w:rsidRDefault="009E1586" w:rsidP="009E1586">
      <w:pPr>
        <w:rPr>
          <w:rFonts w:eastAsia="Helvetica Neue" w:cstheme="minorHAnsi"/>
          <w:sz w:val="22"/>
          <w:szCs w:val="22"/>
        </w:rPr>
      </w:pPr>
      <w:r w:rsidRPr="009E1586">
        <w:rPr>
          <w:rFonts w:eastAsia="Helvetica Neue" w:cstheme="minorHAnsi"/>
          <w:sz w:val="22"/>
          <w:szCs w:val="22"/>
        </w:rPr>
        <w:t>This case law showed that the supreme court used the criminal code to analyze whether the use of force was done according to C</w:t>
      </w:r>
      <w:r w:rsidR="00AE6F90">
        <w:rPr>
          <w:rFonts w:eastAsia="Helvetica Neue" w:cstheme="minorHAnsi"/>
          <w:sz w:val="22"/>
          <w:szCs w:val="22"/>
        </w:rPr>
        <w:t>riminal Code of Canada</w:t>
      </w:r>
      <w:r w:rsidRPr="009E1586">
        <w:rPr>
          <w:rFonts w:eastAsia="Helvetica Neue" w:cstheme="minorHAnsi"/>
          <w:sz w:val="22"/>
          <w:szCs w:val="22"/>
        </w:rPr>
        <w:t xml:space="preserve"> regulation on use of force section 25 which includes private citizens enforcing the law under the provincial Trespass to Property Act. Trespass to Property Act arrest authority is federal jurisdiction and therefore subject federal regulations and therefore the provisions of the Canadian Bill of Rights.</w:t>
      </w:r>
    </w:p>
    <w:p w14:paraId="5E756ACA" w14:textId="598E9D40" w:rsidR="00AE6F90" w:rsidRDefault="00AE6F90" w:rsidP="009E1586">
      <w:pPr>
        <w:rPr>
          <w:rFonts w:eastAsia="Helvetica Neue" w:cstheme="minorHAnsi"/>
          <w:sz w:val="22"/>
          <w:szCs w:val="22"/>
        </w:rPr>
      </w:pPr>
    </w:p>
    <w:p w14:paraId="047BC7EC" w14:textId="32860794" w:rsidR="00AE6F90" w:rsidRDefault="00AE6F90" w:rsidP="007B3F61">
      <w:pPr>
        <w:pStyle w:val="Heading3"/>
        <w:rPr>
          <w:rFonts w:eastAsia="Helvetica Neue" w:cstheme="minorHAnsi"/>
          <w:sz w:val="22"/>
          <w:szCs w:val="22"/>
        </w:rPr>
      </w:pPr>
      <w:bookmarkStart w:id="12" w:name="_Toc125376900"/>
      <w:r w:rsidRPr="00AE6F90">
        <w:rPr>
          <w:rFonts w:eastAsia="Helvetica Neue"/>
        </w:rPr>
        <w:t>Canadian Bill of Rights</w:t>
      </w:r>
      <w:bookmarkEnd w:id="12"/>
    </w:p>
    <w:p w14:paraId="66FDBF2E" w14:textId="57972413" w:rsidR="00AE6F90" w:rsidRPr="007B3F61" w:rsidRDefault="00AE6F90" w:rsidP="007B3F61">
      <w:pPr>
        <w:pStyle w:val="Heading2"/>
        <w:rPr>
          <w:rFonts w:asciiTheme="minorHAnsi" w:hAnsiTheme="minorHAnsi" w:cstheme="minorHAnsi"/>
          <w:b w:val="0"/>
          <w:bCs w:val="0"/>
          <w:color w:val="222222"/>
          <w:sz w:val="22"/>
          <w:szCs w:val="22"/>
        </w:rPr>
      </w:pPr>
      <w:bookmarkStart w:id="13" w:name="_Toc125376901"/>
      <w:r w:rsidRPr="007B3F61">
        <w:rPr>
          <w:rStyle w:val="Strong"/>
          <w:rFonts w:asciiTheme="minorHAnsi" w:hAnsiTheme="minorHAnsi" w:cstheme="minorHAnsi"/>
          <w:b/>
          <w:bCs/>
          <w:sz w:val="22"/>
          <w:szCs w:val="22"/>
        </w:rPr>
        <w:t>Canadian Bill of Rights - Post Charter relevance:</w:t>
      </w:r>
      <w:bookmarkEnd w:id="13"/>
    </w:p>
    <w:p w14:paraId="148646F9" w14:textId="77777777" w:rsidR="00AE6F90" w:rsidRPr="007B3F61" w:rsidRDefault="00AE6F90" w:rsidP="007B3F61">
      <w:pPr>
        <w:pStyle w:val="Heading3"/>
      </w:pPr>
      <w:bookmarkStart w:id="14" w:name="_Toc125376902"/>
      <w:r w:rsidRPr="00F35302">
        <w:t>R. v. Andrew, 1986 CanLII 966 (BC SC)</w:t>
      </w:r>
      <w:bookmarkEnd w:id="14"/>
    </w:p>
    <w:p w14:paraId="7E5D8808" w14:textId="77777777" w:rsidR="00AE6F90" w:rsidRPr="00AE6F90" w:rsidRDefault="00AE6F90" w:rsidP="00AE6F90">
      <w:pPr>
        <w:rPr>
          <w:rFonts w:eastAsia="Times New Roman" w:cstheme="minorHAnsi"/>
          <w:color w:val="222222"/>
          <w:sz w:val="22"/>
          <w:szCs w:val="22"/>
        </w:rPr>
      </w:pPr>
      <w:hyperlink r:id="rId15" w:history="1">
        <w:r w:rsidRPr="00AE6F90">
          <w:rPr>
            <w:rStyle w:val="Hyperlink"/>
            <w:rFonts w:eastAsia="Times New Roman" w:cstheme="minorHAnsi"/>
            <w:sz w:val="22"/>
            <w:szCs w:val="22"/>
          </w:rPr>
          <w:t>https://www.canlii.org/en/bc/bcsc/doc/1986/1986canlii966/1986canlii966.html?searchUrlHash=AAAAAQAlUi4gdi4gQW5kcmV3LCAxOTg2IENhbkxJSSA5NjYgKEJDIFNDKQAAAAAB&amp;resultIndex=1</w:t>
        </w:r>
      </w:hyperlink>
    </w:p>
    <w:p w14:paraId="6538A958" w14:textId="6D63AD3F"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br/>
        <w:t>The fact that I have held that the principle of equality before the law does not fail within s. 7</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does not mean however that it is not a principle of fundamental justice. It simply means that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principle is not yet entrenched by the Charter. The Charter did not repeal the Canadian Bill of</w:t>
      </w:r>
      <w:r w:rsidR="00284BF0">
        <w:rPr>
          <w:rFonts w:eastAsia="Times New Roman" w:cstheme="minorHAnsi"/>
          <w:color w:val="222222"/>
          <w:sz w:val="22"/>
          <w:szCs w:val="22"/>
        </w:rPr>
        <w:t xml:space="preserve"> </w:t>
      </w:r>
      <w:proofErr w:type="gramStart"/>
      <w:r w:rsidRPr="00F35302">
        <w:rPr>
          <w:rFonts w:eastAsia="Times New Roman" w:cstheme="minorHAnsi"/>
          <w:color w:val="222222"/>
          <w:sz w:val="22"/>
          <w:szCs w:val="22"/>
        </w:rPr>
        <w:t>Rights</w:t>
      </w:r>
      <w:proofErr w:type="gramEnd"/>
      <w:r w:rsidRPr="00F35302">
        <w:rPr>
          <w:rFonts w:eastAsia="Times New Roman" w:cstheme="minorHAnsi"/>
          <w:color w:val="222222"/>
          <w:sz w:val="22"/>
          <w:szCs w:val="22"/>
        </w:rPr>
        <w:t xml:space="preserve"> nor did it do away with principles of fundamental justice existing independently of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 xml:space="preserve">Bill of Rights. In the </w:t>
      </w:r>
      <w:proofErr w:type="spellStart"/>
      <w:r w:rsidRPr="00F35302">
        <w:rPr>
          <w:rFonts w:eastAsia="Times New Roman" w:cstheme="minorHAnsi"/>
          <w:color w:val="222222"/>
          <w:sz w:val="22"/>
          <w:szCs w:val="22"/>
        </w:rPr>
        <w:t>Gustavson</w:t>
      </w:r>
      <w:proofErr w:type="spellEnd"/>
      <w:r w:rsidRPr="00F35302">
        <w:rPr>
          <w:rFonts w:eastAsia="Times New Roman" w:cstheme="minorHAnsi"/>
          <w:color w:val="222222"/>
          <w:sz w:val="22"/>
          <w:szCs w:val="22"/>
        </w:rPr>
        <w:t xml:space="preserve"> decision McKenzie J. said at pp. 6-7, p. 474 C.C.C., p. 495</w:t>
      </w:r>
      <w:r w:rsidR="008120BF">
        <w:rPr>
          <w:rFonts w:eastAsia="Times New Roman" w:cstheme="minorHAnsi"/>
          <w:color w:val="222222"/>
          <w:sz w:val="22"/>
          <w:szCs w:val="22"/>
        </w:rPr>
        <w:t xml:space="preserve"> </w:t>
      </w:r>
      <w:r w:rsidRPr="00F35302">
        <w:rPr>
          <w:rFonts w:eastAsia="Times New Roman" w:cstheme="minorHAnsi"/>
          <w:color w:val="222222"/>
          <w:sz w:val="22"/>
          <w:szCs w:val="22"/>
        </w:rPr>
        <w:t>D.L.R.:</w:t>
      </w:r>
    </w:p>
    <w:p w14:paraId="49C57A59" w14:textId="77777777" w:rsidR="00AE6F90" w:rsidRPr="00AE6F90" w:rsidRDefault="00AE6F90" w:rsidP="00AE6F90">
      <w:pPr>
        <w:rPr>
          <w:rFonts w:eastAsia="Times New Roman" w:cstheme="minorHAnsi"/>
          <w:color w:val="222222"/>
          <w:sz w:val="22"/>
          <w:szCs w:val="22"/>
        </w:rPr>
      </w:pPr>
    </w:p>
    <w:p w14:paraId="37F378F5" w14:textId="77777777" w:rsidR="00AE6F90" w:rsidRPr="00AE6F90" w:rsidRDefault="00AE6F90" w:rsidP="007B3F61">
      <w:pPr>
        <w:pStyle w:val="Heading3"/>
        <w:rPr>
          <w:rFonts w:eastAsia="Helvetica Neue"/>
        </w:rPr>
      </w:pPr>
      <w:bookmarkStart w:id="15" w:name="_Toc125376903"/>
      <w:r w:rsidRPr="00F35302">
        <w:rPr>
          <w:rFonts w:eastAsia="Helvetica Neue"/>
        </w:rPr>
        <w:t xml:space="preserve">The Queen v. Beauregard, 1986 CanLII 24 (SCC), </w:t>
      </w:r>
      <w:r w:rsidRPr="00AE6F90">
        <w:rPr>
          <w:rFonts w:eastAsia="Helvetica Neue"/>
        </w:rPr>
        <w:t>Para [</w:t>
      </w:r>
      <w:r w:rsidRPr="00F35302">
        <w:rPr>
          <w:rFonts w:eastAsia="Helvetica Neue"/>
        </w:rPr>
        <w:t>1986] 2 SCR 56</w:t>
      </w:r>
      <w:bookmarkEnd w:id="15"/>
    </w:p>
    <w:p w14:paraId="12741391" w14:textId="77777777" w:rsidR="00AE6F90" w:rsidRPr="00AE6F90" w:rsidRDefault="00AE6F90" w:rsidP="00AE6F90">
      <w:pPr>
        <w:rPr>
          <w:rFonts w:eastAsia="Times New Roman" w:cstheme="minorHAnsi"/>
          <w:color w:val="222222"/>
          <w:sz w:val="22"/>
          <w:szCs w:val="22"/>
        </w:rPr>
      </w:pPr>
      <w:hyperlink r:id="rId16" w:history="1">
        <w:r w:rsidRPr="00AE6F90">
          <w:rPr>
            <w:rStyle w:val="Hyperlink"/>
            <w:rFonts w:eastAsia="Times New Roman" w:cstheme="minorHAnsi"/>
            <w:sz w:val="22"/>
            <w:szCs w:val="22"/>
          </w:rPr>
          <w:t>https://www.canlii.org/en/ca/scc/doc/1986/1986canlii24/1986canlii24.html?searchUrlHash=AAAAAQA-VGhlIFF1ZWVuIHYuIEJlYXVyZWdhcmQsIDE5ODYgQ2FuTElJIDI0IChTQ0MpLCBbMTk4Nl0gMiBTQ1IgNTYAAAAAAQ&amp;resultIndex=1</w:t>
        </w:r>
      </w:hyperlink>
    </w:p>
    <w:p w14:paraId="0A1F5CDF" w14:textId="77777777" w:rsidR="00AE6F90" w:rsidRPr="00AE6F90" w:rsidRDefault="00AE6F90" w:rsidP="00AE6F90">
      <w:pPr>
        <w:rPr>
          <w:rFonts w:eastAsia="Times New Roman" w:cstheme="minorHAnsi"/>
          <w:color w:val="222222"/>
          <w:sz w:val="22"/>
          <w:szCs w:val="22"/>
        </w:rPr>
      </w:pPr>
    </w:p>
    <w:p w14:paraId="703A9D84" w14:textId="48FD3C58"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t>I have reached the conclusion that s. 29.1(2) of the Judges Act is inconsistent with s. 1(b) of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Canadian Bill of Rights and that the respondent is entitled to a declaration that this subsection is</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inoperative in so far as the respondent is concerned.</w:t>
      </w:r>
    </w:p>
    <w:p w14:paraId="13B9CE3C" w14:textId="77777777" w:rsidR="00AE6F90" w:rsidRPr="00AE6F90" w:rsidRDefault="00AE6F90" w:rsidP="00AE6F90">
      <w:pPr>
        <w:rPr>
          <w:rFonts w:asciiTheme="majorHAnsi" w:eastAsia="Helvetica Neue" w:hAnsiTheme="majorHAnsi" w:cstheme="majorBidi"/>
          <w:color w:val="1F3763" w:themeColor="accent1" w:themeShade="7F"/>
        </w:rPr>
      </w:pPr>
    </w:p>
    <w:p w14:paraId="5A29A23F" w14:textId="77777777" w:rsidR="00AE6F90" w:rsidRPr="00AE6F90" w:rsidRDefault="00AE6F90" w:rsidP="007B3F61">
      <w:pPr>
        <w:pStyle w:val="Heading3"/>
        <w:rPr>
          <w:rFonts w:eastAsia="Helvetica Neue"/>
        </w:rPr>
      </w:pPr>
      <w:bookmarkStart w:id="16" w:name="_Toc125376904"/>
      <w:r w:rsidRPr="00F35302">
        <w:rPr>
          <w:rFonts w:eastAsia="Helvetica Neue"/>
        </w:rPr>
        <w:t>Singh v. Minister of Employment and Immigration, 1985</w:t>
      </w:r>
      <w:bookmarkEnd w:id="16"/>
    </w:p>
    <w:p w14:paraId="0A422B8C" w14:textId="77777777" w:rsidR="00AE6F90" w:rsidRPr="00AE6F90" w:rsidRDefault="00AE6F90" w:rsidP="00AE6F90">
      <w:pPr>
        <w:rPr>
          <w:rFonts w:eastAsia="Times New Roman" w:cstheme="minorHAnsi"/>
          <w:color w:val="222222"/>
          <w:sz w:val="22"/>
          <w:szCs w:val="22"/>
        </w:rPr>
      </w:pPr>
      <w:hyperlink r:id="rId17" w:history="1">
        <w:r w:rsidRPr="00AE6F90">
          <w:rPr>
            <w:rStyle w:val="Hyperlink"/>
            <w:rFonts w:eastAsia="Times New Roman" w:cstheme="minorHAnsi"/>
            <w:sz w:val="22"/>
            <w:szCs w:val="22"/>
          </w:rPr>
          <w:t>https://www.canlii.org/en/ca/scc/doc/1985/1985canlii65/1985canlii65.html?searchUrlHash=AAAAAQA1U2luZ2ggdi4gTWluaXN0ZXIgb2YgRW1wbG95bWVudCBhbmQgSW1taWdyYXRpb24sIDE5ODUAAAAAAQ&amp;resultIndex=1</w:t>
        </w:r>
      </w:hyperlink>
    </w:p>
    <w:p w14:paraId="278D597A" w14:textId="77777777" w:rsidR="00AE6F90" w:rsidRPr="00AE6F90" w:rsidRDefault="00AE6F90" w:rsidP="00AE6F90">
      <w:pPr>
        <w:rPr>
          <w:rFonts w:eastAsia="Times New Roman" w:cstheme="minorHAnsi"/>
          <w:color w:val="222222"/>
          <w:sz w:val="22"/>
          <w:szCs w:val="22"/>
        </w:rPr>
      </w:pPr>
    </w:p>
    <w:p w14:paraId="74AE58F6" w14:textId="232CD986"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lastRenderedPageBreak/>
        <w:t>It has not been declared by any Act of the Parliament of Canada that the Immigration Act, 1976</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shall operate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notwithstanding the Canadian Bill of Rights. In view of s. 5(2) of An Act for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Recognition and Protection of Human Rights and Fundamental Freedoms, 1960 (Can.), c. 44, in</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Part II which follows the Canadian Bill of Rights, I do not see any reason not to apply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 xml:space="preserve">principle in the </w:t>
      </w:r>
      <w:proofErr w:type="spellStart"/>
      <w:r w:rsidRPr="00F35302">
        <w:rPr>
          <w:rFonts w:eastAsia="Times New Roman" w:cstheme="minorHAnsi"/>
          <w:color w:val="222222"/>
          <w:sz w:val="22"/>
          <w:szCs w:val="22"/>
        </w:rPr>
        <w:t>Drybones</w:t>
      </w:r>
      <w:proofErr w:type="spellEnd"/>
      <w:r w:rsidRPr="00F35302">
        <w:rPr>
          <w:rFonts w:eastAsia="Times New Roman" w:cstheme="minorHAnsi"/>
          <w:color w:val="222222"/>
          <w:sz w:val="22"/>
          <w:szCs w:val="22"/>
        </w:rPr>
        <w:t xml:space="preserve"> case to a provision enacted after the Canadian Bill of Rights</w:t>
      </w:r>
      <w:r w:rsidRPr="00AE6F90">
        <w:rPr>
          <w:rFonts w:eastAsia="Times New Roman" w:cstheme="minorHAnsi"/>
          <w:color w:val="222222"/>
          <w:sz w:val="22"/>
          <w:szCs w:val="22"/>
        </w:rPr>
        <w:t>.</w:t>
      </w:r>
    </w:p>
    <w:p w14:paraId="5F97C5AF" w14:textId="77777777" w:rsidR="00AE6F90" w:rsidRPr="00AE6F90" w:rsidRDefault="00AE6F90" w:rsidP="00AE6F90">
      <w:pPr>
        <w:rPr>
          <w:rFonts w:eastAsia="Times New Roman" w:cstheme="minorHAnsi"/>
          <w:color w:val="222222"/>
          <w:sz w:val="22"/>
          <w:szCs w:val="22"/>
        </w:rPr>
      </w:pPr>
    </w:p>
    <w:p w14:paraId="5C87AF34" w14:textId="77777777" w:rsidR="00AE6F90" w:rsidRPr="00AE6F90" w:rsidRDefault="00AE6F90" w:rsidP="007B3F61">
      <w:pPr>
        <w:pStyle w:val="Heading3"/>
        <w:rPr>
          <w:rFonts w:eastAsia="Helvetica Neue"/>
        </w:rPr>
      </w:pPr>
      <w:bookmarkStart w:id="17" w:name="_Toc125376905"/>
      <w:r w:rsidRPr="00F35302">
        <w:rPr>
          <w:rFonts w:eastAsia="Helvetica Neue"/>
        </w:rPr>
        <w:t>MacBain v. Lederman, 1985 CanLII 5548</w:t>
      </w:r>
      <w:bookmarkEnd w:id="17"/>
    </w:p>
    <w:p w14:paraId="5C59358E" w14:textId="77777777" w:rsidR="00AE6F90" w:rsidRPr="00AE6F90" w:rsidRDefault="00AE6F90" w:rsidP="00AE6F90">
      <w:pPr>
        <w:rPr>
          <w:rFonts w:eastAsia="Times New Roman" w:cstheme="minorHAnsi"/>
          <w:color w:val="222222"/>
          <w:sz w:val="22"/>
          <w:szCs w:val="22"/>
        </w:rPr>
      </w:pPr>
      <w:hyperlink r:id="rId18" w:history="1">
        <w:r w:rsidRPr="00AE6F90">
          <w:rPr>
            <w:rStyle w:val="Hyperlink"/>
            <w:rFonts w:eastAsia="Times New Roman" w:cstheme="minorHAnsi"/>
            <w:sz w:val="22"/>
            <w:szCs w:val="22"/>
          </w:rPr>
          <w:t>https://www.canlii.org/en/ca/fca/doc/1985/1985canlii3160/1985canlii3160.html?searchUrlHash=AAAAAQAlTWFjQmFpbiB2LiBMZWRlcm1hbiwgMTk4NSBDYW5MSUkgNTU0OAAAAAAB&amp;resultIndex=1</w:t>
        </w:r>
      </w:hyperlink>
    </w:p>
    <w:p w14:paraId="6568765B" w14:textId="77777777" w:rsidR="00AE6F90" w:rsidRPr="00AE6F90" w:rsidRDefault="00AE6F90" w:rsidP="00AE6F90">
      <w:pPr>
        <w:rPr>
          <w:rFonts w:eastAsia="Times New Roman" w:cstheme="minorHAnsi"/>
          <w:color w:val="222222"/>
          <w:sz w:val="22"/>
          <w:szCs w:val="22"/>
        </w:rPr>
      </w:pPr>
    </w:p>
    <w:p w14:paraId="73915EDE" w14:textId="37E81F26"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t>Another successful outcome was in the 1985 Federal Court of Appeal case of MacBain v</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Lederman, where the Court considered whether parts of the federal Human Rights Act violated</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the right to a fair hearing.</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18] In that case, Mr. MacBain faced a discrimination complaint</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brought against him by one of his employees.</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19] However, the procedures outlined in the Act</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allowed the same people who prosecuted the complaint against Mr. MacBain to select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decision makers in the hearing process.</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20] The Court found that those sections of the Act that</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defined how decision makers were appointed were inoperative because they violated Mr.</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MacBain’s right to a fair hearing in section 2(e) of the Bill of Rights.</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21]</w:t>
      </w:r>
      <w:r w:rsidRPr="00AE6F90">
        <w:rPr>
          <w:rFonts w:eastAsia="Times New Roman" w:cstheme="minorHAnsi"/>
          <w:color w:val="222222"/>
          <w:sz w:val="22"/>
          <w:szCs w:val="22"/>
        </w:rPr>
        <w:t>.</w:t>
      </w:r>
    </w:p>
    <w:p w14:paraId="2AF15460" w14:textId="77777777" w:rsidR="00AE6F90" w:rsidRPr="00AE6F90" w:rsidRDefault="00AE6F90" w:rsidP="00AE6F90">
      <w:pPr>
        <w:rPr>
          <w:rFonts w:eastAsia="Times New Roman" w:cstheme="minorHAnsi"/>
          <w:color w:val="222222"/>
          <w:sz w:val="22"/>
          <w:szCs w:val="22"/>
        </w:rPr>
      </w:pPr>
    </w:p>
    <w:p w14:paraId="073EA5BE" w14:textId="76A8EFA4"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t xml:space="preserve">More recently, the Federal Court in </w:t>
      </w:r>
      <w:proofErr w:type="spellStart"/>
      <w:r w:rsidRPr="00F35302">
        <w:rPr>
          <w:rFonts w:eastAsia="Times New Roman" w:cstheme="minorHAnsi"/>
          <w:color w:val="222222"/>
          <w:sz w:val="22"/>
          <w:szCs w:val="22"/>
        </w:rPr>
        <w:t>Hassouna</w:t>
      </w:r>
      <w:proofErr w:type="spellEnd"/>
      <w:r w:rsidRPr="00F35302">
        <w:rPr>
          <w:rFonts w:eastAsia="Times New Roman" w:cstheme="minorHAnsi"/>
          <w:color w:val="222222"/>
          <w:sz w:val="22"/>
          <w:szCs w:val="22"/>
        </w:rPr>
        <w:t xml:space="preserve"> v Minister of Citizenship and Immigration</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 xml:space="preserve">Canada found that parts of the Citizenship Act were inconsistent with the right to a fair </w:t>
      </w:r>
      <w:proofErr w:type="gramStart"/>
      <w:r w:rsidRPr="00F35302">
        <w:rPr>
          <w:rFonts w:eastAsia="Times New Roman" w:cstheme="minorHAnsi"/>
          <w:color w:val="222222"/>
          <w:sz w:val="22"/>
          <w:szCs w:val="22"/>
        </w:rPr>
        <w:t>hearing,</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and</w:t>
      </w:r>
      <w:proofErr w:type="gramEnd"/>
      <w:r w:rsidRPr="00F35302">
        <w:rPr>
          <w:rFonts w:eastAsia="Times New Roman" w:cstheme="minorHAnsi"/>
          <w:color w:val="222222"/>
          <w:sz w:val="22"/>
          <w:szCs w:val="22"/>
        </w:rPr>
        <w:t xml:space="preserve"> declared those sections inoperative.</w:t>
      </w:r>
      <w:r w:rsidRPr="00AE6F90">
        <w:rPr>
          <w:rFonts w:eastAsia="Times New Roman" w:cstheme="minorHAnsi"/>
          <w:color w:val="222222"/>
          <w:sz w:val="22"/>
          <w:szCs w:val="22"/>
        </w:rPr>
        <w:t xml:space="preserve"> Para [</w:t>
      </w:r>
      <w:r w:rsidRPr="00F35302">
        <w:rPr>
          <w:rFonts w:eastAsia="Times New Roman" w:cstheme="minorHAnsi"/>
          <w:color w:val="222222"/>
          <w:sz w:val="22"/>
          <w:szCs w:val="22"/>
        </w:rPr>
        <w:t>22] The Court said that allowing a federal minister to</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revoke citizenship without giving individuals the opportunity for a hearing was contrary to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protections in the Bill of Rights</w:t>
      </w:r>
      <w:r w:rsidRPr="00AE6F90">
        <w:rPr>
          <w:rFonts w:eastAsia="Times New Roman" w:cstheme="minorHAnsi"/>
          <w:color w:val="222222"/>
          <w:sz w:val="22"/>
          <w:szCs w:val="22"/>
        </w:rPr>
        <w:t>. Para [</w:t>
      </w:r>
      <w:r w:rsidRPr="00F35302">
        <w:rPr>
          <w:rFonts w:eastAsia="Times New Roman" w:cstheme="minorHAnsi"/>
          <w:color w:val="222222"/>
          <w:sz w:val="22"/>
          <w:szCs w:val="22"/>
        </w:rPr>
        <w:t>23]</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 xml:space="preserve">R. v. Demers, </w:t>
      </w:r>
      <w:r w:rsidRPr="00AE6F90">
        <w:rPr>
          <w:rFonts w:eastAsia="Times New Roman" w:cstheme="minorHAnsi"/>
          <w:color w:val="222222"/>
          <w:sz w:val="22"/>
          <w:szCs w:val="22"/>
        </w:rPr>
        <w:t>Para [</w:t>
      </w:r>
      <w:r w:rsidRPr="00F35302">
        <w:rPr>
          <w:rFonts w:eastAsia="Times New Roman" w:cstheme="minorHAnsi"/>
          <w:color w:val="222222"/>
          <w:sz w:val="22"/>
          <w:szCs w:val="22"/>
        </w:rPr>
        <w:t xml:space="preserve">2004] 2 S.C.R. 489 </w:t>
      </w:r>
      <w:r w:rsidRPr="00AE6F90">
        <w:rPr>
          <w:rFonts w:eastAsia="Times New Roman" w:cstheme="minorHAnsi"/>
          <w:color w:val="222222"/>
          <w:sz w:val="22"/>
          <w:szCs w:val="22"/>
        </w:rPr>
        <w:t>h</w:t>
      </w:r>
      <w:r w:rsidRPr="00F35302">
        <w:rPr>
          <w:rFonts w:eastAsia="Times New Roman" w:cstheme="minorHAnsi"/>
          <w:color w:val="222222"/>
          <w:sz w:val="22"/>
          <w:szCs w:val="22"/>
        </w:rPr>
        <w:t>arkens back to The Bill to inform judgement and further, to,</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an ‘implied bill of rights’ birthed in the Constitution Act, 1867 in paras. 80-84. Although The</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 xml:space="preserve">Bill maintains as law, its modern application is questioned, as seen in R. v. Kapp, </w:t>
      </w:r>
      <w:r w:rsidRPr="00AE6F90">
        <w:rPr>
          <w:rFonts w:eastAsia="Times New Roman" w:cstheme="minorHAnsi"/>
          <w:color w:val="222222"/>
          <w:sz w:val="22"/>
          <w:szCs w:val="22"/>
        </w:rPr>
        <w:t>Para [</w:t>
      </w:r>
      <w:r w:rsidRPr="00F35302">
        <w:rPr>
          <w:rFonts w:eastAsia="Times New Roman" w:cstheme="minorHAnsi"/>
          <w:color w:val="222222"/>
          <w:sz w:val="22"/>
          <w:szCs w:val="22"/>
        </w:rPr>
        <w:t>2008] 2</w:t>
      </w:r>
      <w:r w:rsidRPr="00AE6F90">
        <w:rPr>
          <w:rFonts w:eastAsia="Times New Roman" w:cstheme="minorHAnsi"/>
          <w:color w:val="222222"/>
          <w:sz w:val="22"/>
          <w:szCs w:val="22"/>
        </w:rPr>
        <w:t xml:space="preserve"> </w:t>
      </w:r>
      <w:r w:rsidRPr="00F35302">
        <w:rPr>
          <w:rFonts w:eastAsia="Times New Roman" w:cstheme="minorHAnsi"/>
          <w:color w:val="222222"/>
          <w:sz w:val="22"/>
          <w:szCs w:val="22"/>
        </w:rPr>
        <w:t>S.C.R. 463.</w:t>
      </w:r>
    </w:p>
    <w:p w14:paraId="09692CB7" w14:textId="77777777" w:rsidR="00AE6F90" w:rsidRPr="00AE6F90" w:rsidRDefault="00AE6F90" w:rsidP="00AE6F90">
      <w:pPr>
        <w:rPr>
          <w:rFonts w:eastAsia="Times New Roman" w:cstheme="minorHAnsi"/>
          <w:color w:val="222222"/>
          <w:sz w:val="22"/>
          <w:szCs w:val="22"/>
        </w:rPr>
      </w:pPr>
    </w:p>
    <w:p w14:paraId="22E50EEC" w14:textId="259CC20E" w:rsidR="00AE6F90" w:rsidRPr="00AE6F90" w:rsidRDefault="00AE6F90" w:rsidP="00AE6F90">
      <w:pPr>
        <w:rPr>
          <w:rFonts w:eastAsia="Times New Roman" w:cstheme="minorHAnsi"/>
          <w:color w:val="222222"/>
          <w:sz w:val="22"/>
          <w:szCs w:val="22"/>
        </w:rPr>
      </w:pPr>
      <w:r w:rsidRPr="00F35302">
        <w:rPr>
          <w:rFonts w:eastAsia="Times New Roman" w:cstheme="minorHAnsi"/>
          <w:color w:val="222222"/>
          <w:sz w:val="22"/>
          <w:szCs w:val="22"/>
        </w:rPr>
        <w:t>Whether or not its stand-alone power has diminished, little can be taken away from</w:t>
      </w:r>
      <w:r w:rsidRPr="00AE6F90">
        <w:rPr>
          <w:rFonts w:eastAsia="Times New Roman" w:cstheme="minorHAnsi"/>
          <w:color w:val="222222"/>
          <w:sz w:val="22"/>
          <w:szCs w:val="22"/>
        </w:rPr>
        <w:t>.</w:t>
      </w:r>
      <w:r w:rsidRPr="00F35302">
        <w:rPr>
          <w:rFonts w:eastAsia="Times New Roman" w:cstheme="minorHAnsi"/>
          <w:color w:val="222222"/>
          <w:sz w:val="22"/>
          <w:szCs w:val="22"/>
        </w:rPr>
        <w:t xml:space="preserve"> The</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 xml:space="preserve">Canadian Bill of Rights, as it compels and informs both statute, common </w:t>
      </w:r>
      <w:proofErr w:type="gramStart"/>
      <w:r w:rsidRPr="00F35302">
        <w:rPr>
          <w:rFonts w:eastAsia="Times New Roman" w:cstheme="minorHAnsi"/>
          <w:color w:val="222222"/>
          <w:sz w:val="22"/>
          <w:szCs w:val="22"/>
        </w:rPr>
        <w:t>law</w:t>
      </w:r>
      <w:proofErr w:type="gramEnd"/>
      <w:r w:rsidRPr="00F35302">
        <w:rPr>
          <w:rFonts w:eastAsia="Times New Roman" w:cstheme="minorHAnsi"/>
          <w:color w:val="222222"/>
          <w:sz w:val="22"/>
          <w:szCs w:val="22"/>
        </w:rPr>
        <w:t xml:space="preserve"> and the Canadian</w:t>
      </w:r>
      <w:r w:rsidR="00284BF0">
        <w:rPr>
          <w:rFonts w:eastAsia="Times New Roman" w:cstheme="minorHAnsi"/>
          <w:color w:val="222222"/>
          <w:sz w:val="22"/>
          <w:szCs w:val="22"/>
        </w:rPr>
        <w:t xml:space="preserve"> </w:t>
      </w:r>
      <w:r w:rsidRPr="00F35302">
        <w:rPr>
          <w:rFonts w:eastAsia="Times New Roman" w:cstheme="minorHAnsi"/>
          <w:color w:val="222222"/>
          <w:sz w:val="22"/>
          <w:szCs w:val="22"/>
        </w:rPr>
        <w:t>way of life, long-after it was conceived.</w:t>
      </w:r>
    </w:p>
    <w:p w14:paraId="487A2E2E" w14:textId="77777777" w:rsidR="00AE6F90" w:rsidRPr="00AE6F90" w:rsidRDefault="00AE6F90" w:rsidP="00AE6F90">
      <w:pPr>
        <w:rPr>
          <w:rFonts w:eastAsia="Times New Roman" w:cstheme="minorHAnsi"/>
          <w:color w:val="222222"/>
          <w:sz w:val="22"/>
          <w:szCs w:val="22"/>
        </w:rPr>
      </w:pPr>
    </w:p>
    <w:p w14:paraId="124A6844" w14:textId="77777777" w:rsidR="00AE6F90" w:rsidRPr="00AE6F90" w:rsidRDefault="00AE6F90" w:rsidP="007B3F61">
      <w:pPr>
        <w:pStyle w:val="Heading3"/>
        <w:rPr>
          <w:rFonts w:eastAsia="Helvetica Neue"/>
        </w:rPr>
      </w:pPr>
      <w:bookmarkStart w:id="18" w:name="_Toc125376906"/>
      <w:proofErr w:type="spellStart"/>
      <w:r w:rsidRPr="00F35302">
        <w:rPr>
          <w:rFonts w:eastAsia="Helvetica Neue"/>
        </w:rPr>
        <w:t>Oglaza</w:t>
      </w:r>
      <w:proofErr w:type="spellEnd"/>
      <w:r w:rsidRPr="00F35302">
        <w:rPr>
          <w:rFonts w:eastAsia="Helvetica Neue"/>
        </w:rPr>
        <w:t xml:space="preserve"> v. J.A.K.K. Tuesdays Sports Pub Inc., 2021 ONSC 7701</w:t>
      </w:r>
      <w:bookmarkEnd w:id="18"/>
    </w:p>
    <w:p w14:paraId="4B8EAC1B" w14:textId="77777777" w:rsidR="00AE6F90" w:rsidRPr="00AE6F90" w:rsidRDefault="00AE6F90" w:rsidP="00AE6F90">
      <w:pPr>
        <w:rPr>
          <w:rFonts w:eastAsia="Times New Roman" w:cstheme="minorHAnsi"/>
          <w:color w:val="222222"/>
          <w:sz w:val="22"/>
          <w:szCs w:val="22"/>
        </w:rPr>
      </w:pPr>
      <w:hyperlink r:id="rId19" w:history="1">
        <w:r w:rsidRPr="00AE6F90">
          <w:rPr>
            <w:rStyle w:val="Hyperlink"/>
            <w:rFonts w:eastAsia="Times New Roman" w:cstheme="minorHAnsi"/>
            <w:sz w:val="22"/>
            <w:szCs w:val="22"/>
          </w:rPr>
          <w:t>https://www.canlii.org/en/on/onsc/doc/2021/2021onsc7701/2021onsc7701.html?searchUrlHash=AAAAAQA7T2dsYXphIHYuIEouQS5LLksuIFR1ZXNkYXlzIFNwb3J0cyBQdWIgSW5jLiwgMjAyMSBPTlNDIDc3MDEAAAAAAQ&amp;resultIndex=2</w:t>
        </w:r>
      </w:hyperlink>
    </w:p>
    <w:p w14:paraId="3B6D5283" w14:textId="77777777" w:rsidR="00AE6F90" w:rsidRDefault="00AE6F90" w:rsidP="00AE6F90">
      <w:pPr>
        <w:rPr>
          <w:rFonts w:ascii="Arial" w:eastAsia="Times New Roman" w:hAnsi="Arial" w:cs="Arial"/>
          <w:color w:val="222222"/>
        </w:rPr>
      </w:pPr>
    </w:p>
    <w:p w14:paraId="6C034919" w14:textId="602D45B6" w:rsidR="00AE6F90" w:rsidRPr="00AE6F90" w:rsidRDefault="00AE6F90" w:rsidP="00AE6F90">
      <w:pPr>
        <w:rPr>
          <w:rFonts w:cstheme="minorHAnsi"/>
          <w:sz w:val="22"/>
          <w:szCs w:val="22"/>
        </w:rPr>
      </w:pPr>
      <w:r w:rsidRPr="00AE6F90">
        <w:rPr>
          <w:rFonts w:cstheme="minorHAnsi"/>
          <w:sz w:val="22"/>
          <w:szCs w:val="22"/>
        </w:rPr>
        <w:t>Para [</w:t>
      </w:r>
      <w:r w:rsidRPr="00F35302">
        <w:rPr>
          <w:rFonts w:cstheme="minorHAnsi"/>
          <w:sz w:val="22"/>
          <w:szCs w:val="22"/>
        </w:rPr>
        <w:t>23] As for the Bill of Rights, it applies only to federal laws and, thus, is of no effect on</w:t>
      </w:r>
      <w:r>
        <w:rPr>
          <w:rFonts w:cstheme="minorHAnsi"/>
          <w:sz w:val="22"/>
          <w:szCs w:val="22"/>
        </w:rPr>
        <w:t xml:space="preserve"> </w:t>
      </w:r>
      <w:r w:rsidRPr="00F35302">
        <w:rPr>
          <w:rFonts w:cstheme="minorHAnsi"/>
          <w:sz w:val="22"/>
          <w:szCs w:val="22"/>
        </w:rPr>
        <w:t>provincial law. This, as well as the limited effect of the law even in the federal context, was</w:t>
      </w:r>
      <w:r>
        <w:rPr>
          <w:rFonts w:cstheme="minorHAnsi"/>
          <w:sz w:val="22"/>
          <w:szCs w:val="22"/>
        </w:rPr>
        <w:t xml:space="preserve"> </w:t>
      </w:r>
      <w:r w:rsidRPr="00F35302">
        <w:rPr>
          <w:rFonts w:cstheme="minorHAnsi"/>
          <w:sz w:val="22"/>
          <w:szCs w:val="22"/>
        </w:rPr>
        <w:t xml:space="preserve">explained by the Supreme Court in </w:t>
      </w:r>
      <w:proofErr w:type="spellStart"/>
      <w:r w:rsidRPr="00F35302">
        <w:rPr>
          <w:rFonts w:cstheme="minorHAnsi"/>
          <w:sz w:val="22"/>
          <w:szCs w:val="22"/>
        </w:rPr>
        <w:t>Authorson</w:t>
      </w:r>
      <w:proofErr w:type="spellEnd"/>
      <w:r w:rsidRPr="00F35302">
        <w:rPr>
          <w:rFonts w:cstheme="minorHAnsi"/>
          <w:sz w:val="22"/>
          <w:szCs w:val="22"/>
        </w:rPr>
        <w:t xml:space="preserve"> v. Canada (Attorney General), 2003 SCC 39, </w:t>
      </w:r>
      <w:r w:rsidRPr="00AE6F90">
        <w:rPr>
          <w:rFonts w:cstheme="minorHAnsi"/>
          <w:sz w:val="22"/>
          <w:szCs w:val="22"/>
        </w:rPr>
        <w:t>Para [</w:t>
      </w:r>
      <w:r w:rsidRPr="00F35302">
        <w:rPr>
          <w:rFonts w:cstheme="minorHAnsi"/>
          <w:sz w:val="22"/>
          <w:szCs w:val="22"/>
        </w:rPr>
        <w:t>2003]</w:t>
      </w:r>
      <w:r w:rsidRPr="00AE6F90">
        <w:rPr>
          <w:rFonts w:cstheme="minorHAnsi"/>
          <w:sz w:val="22"/>
          <w:szCs w:val="22"/>
        </w:rPr>
        <w:t xml:space="preserve"> </w:t>
      </w:r>
      <w:r w:rsidRPr="00F35302">
        <w:rPr>
          <w:rFonts w:cstheme="minorHAnsi"/>
          <w:sz w:val="22"/>
          <w:szCs w:val="22"/>
        </w:rPr>
        <w:t>2 S.C.R. 40, at paras. 10 and 31:</w:t>
      </w:r>
      <w:r w:rsidRPr="00AE6F90">
        <w:rPr>
          <w:rFonts w:cstheme="minorHAnsi"/>
          <w:sz w:val="22"/>
          <w:szCs w:val="22"/>
        </w:rPr>
        <w:t xml:space="preserve"> Para [</w:t>
      </w:r>
      <w:r w:rsidRPr="00F35302">
        <w:rPr>
          <w:rFonts w:cstheme="minorHAnsi"/>
          <w:sz w:val="22"/>
          <w:szCs w:val="22"/>
        </w:rPr>
        <w:t>10</w:t>
      </w:r>
      <w:r w:rsidRPr="00AE6F90">
        <w:rPr>
          <w:rFonts w:cstheme="minorHAnsi"/>
          <w:sz w:val="22"/>
          <w:szCs w:val="22"/>
        </w:rPr>
        <w:t xml:space="preserve">] </w:t>
      </w:r>
      <w:r w:rsidRPr="00F35302">
        <w:rPr>
          <w:rFonts w:cstheme="minorHAnsi"/>
          <w:sz w:val="22"/>
          <w:szCs w:val="22"/>
        </w:rPr>
        <w:t>The Bill of Rights is a federal statute that renders inoperative federal legislation</w:t>
      </w:r>
      <w:r w:rsidRPr="00AE6F90">
        <w:rPr>
          <w:rFonts w:cstheme="minorHAnsi"/>
          <w:sz w:val="22"/>
          <w:szCs w:val="22"/>
        </w:rPr>
        <w:t xml:space="preserve"> </w:t>
      </w:r>
      <w:r w:rsidRPr="00F35302">
        <w:rPr>
          <w:rFonts w:cstheme="minorHAnsi"/>
          <w:sz w:val="22"/>
          <w:szCs w:val="22"/>
        </w:rPr>
        <w:t>inconsistent with its protections. It protects rights that existed when the Bill of</w:t>
      </w:r>
      <w:r w:rsidRPr="00AE6F90">
        <w:rPr>
          <w:rFonts w:cstheme="minorHAnsi"/>
          <w:sz w:val="22"/>
          <w:szCs w:val="22"/>
        </w:rPr>
        <w:t xml:space="preserve"> </w:t>
      </w:r>
      <w:r w:rsidRPr="00F35302">
        <w:rPr>
          <w:rFonts w:cstheme="minorHAnsi"/>
          <w:sz w:val="22"/>
          <w:szCs w:val="22"/>
        </w:rPr>
        <w:t>Rights was enacted, in 1960. If Parliament wishes to circumvent the protections of</w:t>
      </w:r>
      <w:r w:rsidRPr="00AE6F90">
        <w:rPr>
          <w:rFonts w:cstheme="minorHAnsi"/>
          <w:sz w:val="22"/>
          <w:szCs w:val="22"/>
        </w:rPr>
        <w:t xml:space="preserve"> </w:t>
      </w:r>
      <w:r w:rsidRPr="00F35302">
        <w:rPr>
          <w:rFonts w:cstheme="minorHAnsi"/>
          <w:sz w:val="22"/>
          <w:szCs w:val="22"/>
        </w:rPr>
        <w:t>the Bill of Rights, it must do so explicitly by stating that the legislation in question</w:t>
      </w:r>
      <w:r>
        <w:rPr>
          <w:rFonts w:cstheme="minorHAnsi"/>
          <w:sz w:val="22"/>
          <w:szCs w:val="22"/>
        </w:rPr>
        <w:t xml:space="preserve"> </w:t>
      </w:r>
      <w:r w:rsidRPr="00F35302">
        <w:rPr>
          <w:rFonts w:cstheme="minorHAnsi"/>
          <w:sz w:val="22"/>
          <w:szCs w:val="22"/>
        </w:rPr>
        <w:t xml:space="preserve">operates notwithstanding the Bill of Rights. </w:t>
      </w:r>
      <w:r w:rsidRPr="00AE6F90">
        <w:rPr>
          <w:rFonts w:cstheme="minorHAnsi"/>
          <w:sz w:val="22"/>
          <w:szCs w:val="22"/>
        </w:rPr>
        <w:t>[</w:t>
      </w:r>
      <w:r w:rsidRPr="00F35302">
        <w:rPr>
          <w:rFonts w:cstheme="minorHAnsi"/>
          <w:sz w:val="22"/>
          <w:szCs w:val="22"/>
        </w:rPr>
        <w:t>...]</w:t>
      </w:r>
    </w:p>
    <w:p w14:paraId="5518384B" w14:textId="77777777" w:rsidR="00AE6F90" w:rsidRPr="00AE6F90" w:rsidRDefault="00AE6F90" w:rsidP="00AE6F90">
      <w:pPr>
        <w:rPr>
          <w:rFonts w:cstheme="minorHAnsi"/>
          <w:sz w:val="22"/>
          <w:szCs w:val="22"/>
        </w:rPr>
      </w:pPr>
    </w:p>
    <w:p w14:paraId="1D348AF6" w14:textId="29D7CF65" w:rsidR="00AE6F90" w:rsidRPr="00AE6F90" w:rsidRDefault="00AE6F90" w:rsidP="00AE6F90">
      <w:pPr>
        <w:rPr>
          <w:rFonts w:cstheme="minorHAnsi"/>
          <w:sz w:val="22"/>
          <w:szCs w:val="22"/>
        </w:rPr>
      </w:pPr>
      <w:r w:rsidRPr="00F35302">
        <w:rPr>
          <w:rFonts w:cstheme="minorHAnsi"/>
          <w:sz w:val="22"/>
          <w:szCs w:val="22"/>
        </w:rPr>
        <w:t>NOTE: These caveats are intended not to sound a note of caution regarding the renewed interest</w:t>
      </w:r>
      <w:r w:rsidR="00284BF0">
        <w:rPr>
          <w:rFonts w:cstheme="minorHAnsi"/>
          <w:sz w:val="22"/>
          <w:szCs w:val="22"/>
        </w:rPr>
        <w:t xml:space="preserve"> </w:t>
      </w:r>
      <w:r w:rsidRPr="00F35302">
        <w:rPr>
          <w:rFonts w:cstheme="minorHAnsi"/>
          <w:sz w:val="22"/>
          <w:szCs w:val="22"/>
        </w:rPr>
        <w:t>in the Bill of Rights, but rather to anticipate the more rigorous examinations which will accompany</w:t>
      </w:r>
      <w:r w:rsidR="00284BF0">
        <w:rPr>
          <w:rFonts w:cstheme="minorHAnsi"/>
          <w:sz w:val="22"/>
          <w:szCs w:val="22"/>
        </w:rPr>
        <w:t xml:space="preserve"> </w:t>
      </w:r>
      <w:r w:rsidRPr="00F35302">
        <w:rPr>
          <w:rFonts w:cstheme="minorHAnsi"/>
          <w:sz w:val="22"/>
          <w:szCs w:val="22"/>
        </w:rPr>
        <w:t>Bill of Rights’ juris- prudence if this revival continues. It would be a strange and perhaps happy</w:t>
      </w:r>
      <w:r w:rsidR="00284BF0">
        <w:rPr>
          <w:rFonts w:cstheme="minorHAnsi"/>
          <w:sz w:val="22"/>
          <w:szCs w:val="22"/>
        </w:rPr>
        <w:t xml:space="preserve"> </w:t>
      </w:r>
      <w:r w:rsidRPr="00F35302">
        <w:rPr>
          <w:rFonts w:cstheme="minorHAnsi"/>
          <w:sz w:val="22"/>
          <w:szCs w:val="22"/>
        </w:rPr>
        <w:t>irony if the orphan of Canada’s constitutional order were to be- come a principal vehicle to</w:t>
      </w:r>
      <w:r w:rsidR="00284BF0">
        <w:rPr>
          <w:rFonts w:cstheme="minorHAnsi"/>
          <w:sz w:val="22"/>
          <w:szCs w:val="22"/>
        </w:rPr>
        <w:t xml:space="preserve"> </w:t>
      </w:r>
      <w:r w:rsidRPr="00F35302">
        <w:rPr>
          <w:rFonts w:cstheme="minorHAnsi"/>
          <w:sz w:val="22"/>
          <w:szCs w:val="22"/>
        </w:rPr>
        <w:t>elaborate and explore the most intriguing quandaries of administrative law. This proves the adage</w:t>
      </w:r>
      <w:r w:rsidR="00284BF0">
        <w:rPr>
          <w:rFonts w:cstheme="minorHAnsi"/>
          <w:sz w:val="22"/>
          <w:szCs w:val="22"/>
        </w:rPr>
        <w:t xml:space="preserve"> </w:t>
      </w:r>
      <w:r w:rsidRPr="00F35302">
        <w:rPr>
          <w:rFonts w:cstheme="minorHAnsi"/>
          <w:sz w:val="22"/>
          <w:szCs w:val="22"/>
        </w:rPr>
        <w:t>that if you leave something in the back of the closet long enough, it is bound to come back in</w:t>
      </w:r>
      <w:r w:rsidR="00284BF0">
        <w:rPr>
          <w:rFonts w:cstheme="minorHAnsi"/>
          <w:sz w:val="22"/>
          <w:szCs w:val="22"/>
        </w:rPr>
        <w:t xml:space="preserve"> </w:t>
      </w:r>
      <w:r w:rsidRPr="00F35302">
        <w:rPr>
          <w:rFonts w:cstheme="minorHAnsi"/>
          <w:sz w:val="22"/>
          <w:szCs w:val="22"/>
        </w:rPr>
        <w:t>fashion eventually.</w:t>
      </w:r>
    </w:p>
    <w:p w14:paraId="03C3C08F" w14:textId="77777777" w:rsidR="00AE6F90" w:rsidRPr="00AE6F90" w:rsidRDefault="00AE6F90" w:rsidP="00AE6F90">
      <w:pPr>
        <w:rPr>
          <w:rFonts w:cstheme="minorHAnsi"/>
          <w:sz w:val="22"/>
          <w:szCs w:val="22"/>
        </w:rPr>
      </w:pPr>
    </w:p>
    <w:p w14:paraId="4519E11C" w14:textId="239F60AE" w:rsidR="009E1586" w:rsidRPr="00AE6F90" w:rsidRDefault="00AE6F90" w:rsidP="009E1586">
      <w:pPr>
        <w:rPr>
          <w:rFonts w:cstheme="minorHAnsi"/>
          <w:sz w:val="22"/>
          <w:szCs w:val="22"/>
        </w:rPr>
      </w:pPr>
      <w:r w:rsidRPr="00F35302">
        <w:rPr>
          <w:rFonts w:cstheme="minorHAnsi"/>
          <w:sz w:val="22"/>
          <w:szCs w:val="22"/>
        </w:rPr>
        <w:lastRenderedPageBreak/>
        <w:t>66 There has been at least some indication that Courts might approach “due process” as a broader</w:t>
      </w:r>
      <w:r w:rsidRPr="00AE6F90">
        <w:rPr>
          <w:rFonts w:cstheme="minorHAnsi"/>
          <w:sz w:val="22"/>
          <w:szCs w:val="22"/>
        </w:rPr>
        <w:t xml:space="preserve"> </w:t>
      </w:r>
      <w:r w:rsidRPr="00F35302">
        <w:rPr>
          <w:rFonts w:cstheme="minorHAnsi"/>
          <w:sz w:val="22"/>
          <w:szCs w:val="22"/>
        </w:rPr>
        <w:t>procedural guarantee, encompassing “a total process” including a reasonableness requirement. See</w:t>
      </w:r>
      <w:r w:rsidRPr="00AE6F90">
        <w:rPr>
          <w:rFonts w:cstheme="minorHAnsi"/>
          <w:sz w:val="22"/>
          <w:szCs w:val="22"/>
        </w:rPr>
        <w:t xml:space="preserve">: </w:t>
      </w:r>
      <w:r w:rsidRPr="00F35302">
        <w:rPr>
          <w:rFonts w:cstheme="minorHAnsi"/>
          <w:sz w:val="22"/>
          <w:szCs w:val="22"/>
        </w:rPr>
        <w:t>Smith, Kline &amp; French Laboratories Ltd. v. Canada (Attorney General), supra, note 16.</w:t>
      </w:r>
    </w:p>
    <w:p w14:paraId="4938C1C0" w14:textId="673F4D13" w:rsidR="00AF47C2" w:rsidRPr="009E1586" w:rsidRDefault="00D55BDB" w:rsidP="009E1586">
      <w:pPr>
        <w:pStyle w:val="Heading1"/>
        <w:rPr>
          <w:rFonts w:asciiTheme="minorHAnsi" w:hAnsiTheme="minorHAnsi" w:cstheme="minorHAnsi"/>
          <w:sz w:val="22"/>
          <w:szCs w:val="22"/>
        </w:rPr>
      </w:pPr>
      <w:bookmarkStart w:id="19" w:name="_Toc125376907"/>
      <w:r w:rsidRPr="009E1586">
        <w:rPr>
          <w:rFonts w:asciiTheme="minorHAnsi" w:hAnsiTheme="minorHAnsi" w:cstheme="minorHAnsi"/>
          <w:sz w:val="22"/>
          <w:szCs w:val="22"/>
        </w:rPr>
        <w:t>CASE LAW REGARDING THE RIGHT TO PROTEST:</w:t>
      </w:r>
      <w:bookmarkEnd w:id="19"/>
    </w:p>
    <w:p w14:paraId="304F5BB8" w14:textId="53B4C40A" w:rsidR="00024664" w:rsidRPr="009E1586" w:rsidRDefault="00AF47C2" w:rsidP="009E1586">
      <w:pPr>
        <w:pStyle w:val="Heading2"/>
        <w:rPr>
          <w:rStyle w:val="Strong"/>
          <w:rFonts w:asciiTheme="minorHAnsi" w:hAnsiTheme="minorHAnsi" w:cstheme="minorHAnsi"/>
          <w:b/>
          <w:bCs/>
          <w:sz w:val="22"/>
          <w:szCs w:val="22"/>
        </w:rPr>
      </w:pPr>
      <w:bookmarkStart w:id="20" w:name="_Toc125376908"/>
      <w:r w:rsidRPr="009E1586">
        <w:rPr>
          <w:rStyle w:val="Strong"/>
          <w:rFonts w:asciiTheme="minorHAnsi" w:hAnsiTheme="minorHAnsi" w:cstheme="minorHAnsi"/>
          <w:b/>
          <w:bCs/>
          <w:sz w:val="22"/>
          <w:szCs w:val="22"/>
        </w:rPr>
        <w:t>Right to Protest,</w:t>
      </w:r>
      <w:r w:rsidR="00AF3FAF">
        <w:rPr>
          <w:rStyle w:val="Strong"/>
          <w:rFonts w:asciiTheme="minorHAnsi" w:hAnsiTheme="minorHAnsi" w:cstheme="minorHAnsi"/>
          <w:b/>
          <w:bCs/>
          <w:sz w:val="22"/>
          <w:szCs w:val="22"/>
        </w:rPr>
        <w:t xml:space="preserve"> I</w:t>
      </w:r>
      <w:r w:rsidRPr="009E1586">
        <w:rPr>
          <w:rStyle w:val="Strong"/>
          <w:rFonts w:asciiTheme="minorHAnsi" w:hAnsiTheme="minorHAnsi" w:cstheme="minorHAnsi"/>
          <w:b/>
          <w:bCs/>
          <w:sz w:val="22"/>
          <w:szCs w:val="22"/>
        </w:rPr>
        <w:t>n a Time of Emergency:</w:t>
      </w:r>
      <w:bookmarkEnd w:id="20"/>
    </w:p>
    <w:p w14:paraId="1AE0B04E" w14:textId="0409275F" w:rsidR="00D55BDB" w:rsidRPr="009E1586" w:rsidRDefault="00D55BDB" w:rsidP="00AF3FAF">
      <w:pPr>
        <w:pStyle w:val="Heading3"/>
      </w:pPr>
      <w:bookmarkStart w:id="21" w:name="_Toc117975346"/>
      <w:bookmarkStart w:id="22" w:name="_Toc125376909"/>
      <w:r w:rsidRPr="009E1586">
        <w:t>Beaudoin v British Columbia, 2021, Supreme Court of BC:</w:t>
      </w:r>
      <w:bookmarkEnd w:id="21"/>
      <w:bookmarkEnd w:id="22"/>
    </w:p>
    <w:p w14:paraId="74F08D0D" w14:textId="3F389D76" w:rsidR="00D55BDB" w:rsidRPr="009E1586" w:rsidRDefault="00000000" w:rsidP="009E1586">
      <w:pPr>
        <w:rPr>
          <w:rFonts w:cstheme="minorHAnsi"/>
          <w:color w:val="0070C0"/>
          <w:sz w:val="22"/>
          <w:szCs w:val="22"/>
        </w:rPr>
      </w:pPr>
      <w:hyperlink r:id="rId20" w:history="1">
        <w:bookmarkStart w:id="23" w:name="_Toc117975347"/>
        <w:r w:rsidR="00D55BDB" w:rsidRPr="009E1586">
          <w:rPr>
            <w:rStyle w:val="Hyperlink"/>
            <w:rFonts w:eastAsia="Times New Roman" w:cstheme="minorHAnsi"/>
            <w:color w:val="0070C0"/>
            <w:sz w:val="22"/>
            <w:szCs w:val="22"/>
          </w:rPr>
          <w:t>https://www.canlii.org/en/bc/bcsc/doc/2021/2021bcsc512/2021bcsc512.html?resultIndex=1</w:t>
        </w:r>
        <w:bookmarkEnd w:id="23"/>
      </w:hyperlink>
    </w:p>
    <w:p w14:paraId="79FD8DE2" w14:textId="77777777" w:rsidR="00D55BDB" w:rsidRPr="009E1586" w:rsidRDefault="00D55BDB" w:rsidP="009E1586">
      <w:pPr>
        <w:rPr>
          <w:rFonts w:cstheme="minorHAnsi"/>
          <w:color w:val="0070C0"/>
          <w:sz w:val="22"/>
          <w:szCs w:val="22"/>
        </w:rPr>
      </w:pPr>
    </w:p>
    <w:p w14:paraId="346581FD" w14:textId="4CF417B9" w:rsidR="00D55BDB" w:rsidRPr="009E1586" w:rsidRDefault="00D55BDB" w:rsidP="009E1586">
      <w:pPr>
        <w:rPr>
          <w:rFonts w:cstheme="minorHAnsi"/>
          <w:sz w:val="22"/>
          <w:szCs w:val="22"/>
        </w:rPr>
      </w:pPr>
      <w:bookmarkStart w:id="24" w:name="_Toc117975348"/>
      <w:r w:rsidRPr="009E1586">
        <w:rPr>
          <w:rFonts w:cstheme="minorHAnsi"/>
          <w:sz w:val="22"/>
          <w:szCs w:val="22"/>
        </w:rPr>
        <w:t>Judge ruled the Ministry of Health orders regarding restricting gatherings and events are an infringement of rights under the Charter (NOTE: you can reference case law that uses the Charter, this is NOT the same as invoking the charter that requires an application).</w:t>
      </w:r>
      <w:bookmarkEnd w:id="24"/>
    </w:p>
    <w:p w14:paraId="19827CA4" w14:textId="77777777" w:rsidR="00D55BDB" w:rsidRPr="009E1586" w:rsidRDefault="00D55BDB" w:rsidP="009E1586">
      <w:pPr>
        <w:rPr>
          <w:rFonts w:cstheme="minorHAnsi"/>
          <w:sz w:val="22"/>
          <w:szCs w:val="22"/>
        </w:rPr>
      </w:pPr>
    </w:p>
    <w:p w14:paraId="30C010A1" w14:textId="3CB35AFB" w:rsidR="00AF47C2" w:rsidRPr="009E1586" w:rsidRDefault="00D55BDB" w:rsidP="009E1586">
      <w:pPr>
        <w:rPr>
          <w:rFonts w:cstheme="minorHAnsi"/>
          <w:sz w:val="22"/>
          <w:szCs w:val="22"/>
        </w:rPr>
      </w:pPr>
      <w:bookmarkStart w:id="25" w:name="_Toc117975349"/>
      <w:r w:rsidRPr="009E1586">
        <w:rPr>
          <w:rFonts w:cstheme="minorHAnsi"/>
          <w:sz w:val="22"/>
          <w:szCs w:val="22"/>
        </w:rPr>
        <w:t>“Mr. Beaudoin is entitled to a part of the declaration he seeks, pursuant to</w:t>
      </w:r>
      <w:r w:rsidRPr="009E1586">
        <w:rPr>
          <w:rStyle w:val="apple-converted-space"/>
          <w:rFonts w:cstheme="minorHAnsi"/>
          <w:sz w:val="22"/>
          <w:szCs w:val="22"/>
        </w:rPr>
        <w:t> </w:t>
      </w:r>
      <w:hyperlink r:id="rId21" w:anchor="sec24subsec1_smooth" w:history="1">
        <w:r w:rsidRPr="009E1586">
          <w:rPr>
            <w:rStyle w:val="Hyperlink"/>
            <w:rFonts w:cstheme="minorHAnsi"/>
            <w:color w:val="auto"/>
            <w:sz w:val="22"/>
            <w:szCs w:val="22"/>
          </w:rPr>
          <w:t>ss. 24(1)</w:t>
        </w:r>
      </w:hyperlink>
      <w:r w:rsidRPr="009E1586">
        <w:rPr>
          <w:rStyle w:val="apple-converted-space"/>
          <w:rFonts w:cstheme="minorHAnsi"/>
          <w:sz w:val="22"/>
          <w:szCs w:val="22"/>
        </w:rPr>
        <w:t> </w:t>
      </w:r>
      <w:r w:rsidRPr="009E1586">
        <w:rPr>
          <w:rFonts w:cstheme="minorHAnsi"/>
          <w:sz w:val="22"/>
          <w:szCs w:val="22"/>
        </w:rPr>
        <w:t>and</w:t>
      </w:r>
      <w:r w:rsidRPr="009E1586">
        <w:rPr>
          <w:rStyle w:val="apple-converted-space"/>
          <w:rFonts w:cstheme="minorHAnsi"/>
          <w:sz w:val="22"/>
          <w:szCs w:val="22"/>
        </w:rPr>
        <w:t> </w:t>
      </w:r>
      <w:hyperlink r:id="rId22" w:anchor="sec52subsec1_smooth" w:history="1">
        <w:r w:rsidRPr="009E1586">
          <w:rPr>
            <w:rStyle w:val="Hyperlink"/>
            <w:rFonts w:cstheme="minorHAnsi"/>
            <w:color w:val="auto"/>
            <w:sz w:val="22"/>
            <w:szCs w:val="22"/>
          </w:rPr>
          <w:t>52(1)</w:t>
        </w:r>
      </w:hyperlink>
      <w:r w:rsidRPr="009E1586">
        <w:rPr>
          <w:rStyle w:val="apple-converted-space"/>
          <w:rFonts w:cstheme="minorHAnsi"/>
          <w:sz w:val="22"/>
          <w:szCs w:val="22"/>
        </w:rPr>
        <w:t> </w:t>
      </w:r>
      <w:r w:rsidRPr="009E1586">
        <w:rPr>
          <w:rFonts w:cstheme="minorHAnsi"/>
          <w:sz w:val="22"/>
          <w:szCs w:val="22"/>
        </w:rPr>
        <w:t>of the</w:t>
      </w:r>
      <w:r w:rsidRPr="009E1586">
        <w:rPr>
          <w:rStyle w:val="apple-converted-space"/>
          <w:rFonts w:cstheme="minorHAnsi"/>
          <w:sz w:val="22"/>
          <w:szCs w:val="22"/>
        </w:rPr>
        <w:t> </w:t>
      </w:r>
      <w:hyperlink r:id="rId23" w:history="1">
        <w:r w:rsidRPr="009E1586">
          <w:rPr>
            <w:rStyle w:val="Hyperlink"/>
            <w:rFonts w:cstheme="minorHAnsi"/>
            <w:i/>
            <w:iCs/>
            <w:color w:val="auto"/>
            <w:sz w:val="22"/>
            <w:szCs w:val="22"/>
          </w:rPr>
          <w:t>Constitution Act, 1982</w:t>
        </w:r>
      </w:hyperlink>
      <w:r w:rsidRPr="009E1586">
        <w:rPr>
          <w:rFonts w:cstheme="minorHAnsi"/>
          <w:i/>
          <w:iCs/>
          <w:sz w:val="22"/>
          <w:szCs w:val="22"/>
        </w:rPr>
        <w:t>.</w:t>
      </w:r>
      <w:r w:rsidRPr="009E1586">
        <w:rPr>
          <w:rStyle w:val="apple-converted-space"/>
          <w:rFonts w:cstheme="minorHAnsi"/>
          <w:sz w:val="22"/>
          <w:szCs w:val="22"/>
        </w:rPr>
        <w:t> </w:t>
      </w:r>
      <w:r w:rsidRPr="009E1586">
        <w:rPr>
          <w:rFonts w:cstheme="minorHAnsi"/>
          <w:sz w:val="22"/>
          <w:szCs w:val="22"/>
        </w:rPr>
        <w:t>I declare that orders made by Dr. Henry entitled “Gatherings and Events” pursuant to</w:t>
      </w:r>
      <w:r w:rsidRPr="009E1586">
        <w:rPr>
          <w:rStyle w:val="apple-converted-space"/>
          <w:rFonts w:cstheme="minorHAnsi"/>
          <w:sz w:val="22"/>
          <w:szCs w:val="22"/>
        </w:rPr>
        <w:t> </w:t>
      </w:r>
      <w:hyperlink r:id="rId24" w:anchor="sec30_smooth" w:history="1">
        <w:r w:rsidRPr="009E1586">
          <w:rPr>
            <w:rStyle w:val="Hyperlink"/>
            <w:rFonts w:cstheme="minorHAnsi"/>
            <w:color w:val="auto"/>
            <w:sz w:val="22"/>
            <w:szCs w:val="22"/>
          </w:rPr>
          <w:t>ss. 30</w:t>
        </w:r>
      </w:hyperlink>
      <w:r w:rsidRPr="009E1586">
        <w:rPr>
          <w:rFonts w:cstheme="minorHAnsi"/>
          <w:sz w:val="22"/>
          <w:szCs w:val="22"/>
        </w:rPr>
        <w:t>,</w:t>
      </w:r>
      <w:r w:rsidRPr="009E1586">
        <w:rPr>
          <w:rStyle w:val="apple-converted-space"/>
          <w:rFonts w:cstheme="minorHAnsi"/>
          <w:sz w:val="22"/>
          <w:szCs w:val="22"/>
        </w:rPr>
        <w:t> </w:t>
      </w:r>
      <w:hyperlink r:id="rId25" w:anchor="sec31_smooth" w:history="1">
        <w:r w:rsidRPr="009E1586">
          <w:rPr>
            <w:rStyle w:val="Hyperlink"/>
            <w:rFonts w:cstheme="minorHAnsi"/>
            <w:color w:val="auto"/>
            <w:sz w:val="22"/>
            <w:szCs w:val="22"/>
          </w:rPr>
          <w:t>31</w:t>
        </w:r>
      </w:hyperlink>
      <w:r w:rsidRPr="009E1586">
        <w:rPr>
          <w:rFonts w:cstheme="minorHAnsi"/>
          <w:sz w:val="22"/>
          <w:szCs w:val="22"/>
        </w:rPr>
        <w:t>,</w:t>
      </w:r>
      <w:r w:rsidRPr="009E1586">
        <w:rPr>
          <w:rStyle w:val="apple-converted-space"/>
          <w:rFonts w:cstheme="minorHAnsi"/>
          <w:sz w:val="22"/>
          <w:szCs w:val="22"/>
        </w:rPr>
        <w:t> </w:t>
      </w:r>
      <w:hyperlink r:id="rId26" w:anchor="sec32_smooth" w:history="1">
        <w:r w:rsidRPr="009E1586">
          <w:rPr>
            <w:rStyle w:val="Hyperlink"/>
            <w:rFonts w:cstheme="minorHAnsi"/>
            <w:color w:val="auto"/>
            <w:sz w:val="22"/>
            <w:szCs w:val="22"/>
          </w:rPr>
          <w:t>32</w:t>
        </w:r>
      </w:hyperlink>
      <w:r w:rsidRPr="009E1586">
        <w:rPr>
          <w:rStyle w:val="apple-converted-space"/>
          <w:rFonts w:cstheme="minorHAnsi"/>
          <w:sz w:val="22"/>
          <w:szCs w:val="22"/>
        </w:rPr>
        <w:t> </w:t>
      </w:r>
      <w:r w:rsidRPr="009E1586">
        <w:rPr>
          <w:rFonts w:cstheme="minorHAnsi"/>
          <w:sz w:val="22"/>
          <w:szCs w:val="22"/>
        </w:rPr>
        <w:t>and</w:t>
      </w:r>
      <w:r w:rsidRPr="009E1586">
        <w:rPr>
          <w:rStyle w:val="apple-converted-space"/>
          <w:rFonts w:cstheme="minorHAnsi"/>
          <w:sz w:val="22"/>
          <w:szCs w:val="22"/>
        </w:rPr>
        <w:t> </w:t>
      </w:r>
      <w:hyperlink r:id="rId27" w:anchor="sec39subsec3_smooth" w:history="1">
        <w:r w:rsidRPr="009E1586">
          <w:rPr>
            <w:rStyle w:val="Hyperlink"/>
            <w:rFonts w:cstheme="minorHAnsi"/>
            <w:color w:val="auto"/>
            <w:sz w:val="22"/>
            <w:szCs w:val="22"/>
          </w:rPr>
          <w:t>39(3)</w:t>
        </w:r>
      </w:hyperlink>
      <w:r w:rsidRPr="009E1586">
        <w:rPr>
          <w:rStyle w:val="apple-converted-space"/>
          <w:rFonts w:cstheme="minorHAnsi"/>
          <w:sz w:val="22"/>
          <w:szCs w:val="22"/>
        </w:rPr>
        <w:t> </w:t>
      </w:r>
      <w:r w:rsidRPr="009E1586">
        <w:rPr>
          <w:rFonts w:cstheme="minorHAnsi"/>
          <w:sz w:val="22"/>
          <w:szCs w:val="22"/>
        </w:rPr>
        <w:t>of the</w:t>
      </w:r>
      <w:r w:rsidRPr="009E1586">
        <w:rPr>
          <w:rStyle w:val="apple-converted-space"/>
          <w:rFonts w:cstheme="minorHAnsi"/>
          <w:sz w:val="22"/>
          <w:szCs w:val="22"/>
        </w:rPr>
        <w:t> </w:t>
      </w:r>
      <w:hyperlink r:id="rId28" w:history="1">
        <w:r w:rsidRPr="009E1586">
          <w:rPr>
            <w:rStyle w:val="Hyperlink"/>
            <w:rFonts w:cstheme="minorHAnsi"/>
            <w:i/>
            <w:iCs/>
            <w:color w:val="auto"/>
            <w:sz w:val="22"/>
            <w:szCs w:val="22"/>
          </w:rPr>
          <w:t>PHA</w:t>
        </w:r>
      </w:hyperlink>
      <w:r w:rsidRPr="009E1586">
        <w:rPr>
          <w:rFonts w:cstheme="minorHAnsi"/>
          <w:sz w:val="22"/>
          <w:szCs w:val="22"/>
        </w:rPr>
        <w:t>, including the orders of November 19, 2020, December 2, 9, 15 and 24, 2020 are of no force and effect as against Mr. Beaudoin as they unjustifiably infringe his rights and freedoms with respect to public protests pursuant to</w:t>
      </w:r>
      <w:r w:rsidRPr="009E1586">
        <w:rPr>
          <w:rStyle w:val="apple-converted-space"/>
          <w:rFonts w:cstheme="minorHAnsi"/>
          <w:sz w:val="22"/>
          <w:szCs w:val="22"/>
        </w:rPr>
        <w:t> </w:t>
      </w:r>
      <w:hyperlink r:id="rId29" w:anchor="sec2parac_smooth" w:history="1">
        <w:r w:rsidRPr="009E1586">
          <w:rPr>
            <w:rStyle w:val="Hyperlink"/>
            <w:rFonts w:cstheme="minorHAnsi"/>
            <w:color w:val="auto"/>
            <w:sz w:val="22"/>
            <w:szCs w:val="22"/>
          </w:rPr>
          <w:t>ss. 2(c)</w:t>
        </w:r>
      </w:hyperlink>
      <w:r w:rsidRPr="009E1586">
        <w:rPr>
          <w:rStyle w:val="apple-converted-space"/>
          <w:rFonts w:cstheme="minorHAnsi"/>
          <w:sz w:val="22"/>
          <w:szCs w:val="22"/>
        </w:rPr>
        <w:t> </w:t>
      </w:r>
      <w:r w:rsidRPr="009E1586">
        <w:rPr>
          <w:rFonts w:cstheme="minorHAnsi"/>
          <w:sz w:val="22"/>
          <w:szCs w:val="22"/>
        </w:rPr>
        <w:t>and (d) of the</w:t>
      </w:r>
      <w:r w:rsidRPr="009E1586">
        <w:rPr>
          <w:rStyle w:val="apple-converted-space"/>
          <w:rFonts w:cstheme="minorHAnsi"/>
          <w:sz w:val="22"/>
          <w:szCs w:val="22"/>
        </w:rPr>
        <w:t> </w:t>
      </w:r>
      <w:hyperlink r:id="rId30" w:history="1">
        <w:r w:rsidRPr="009E1586">
          <w:rPr>
            <w:rStyle w:val="Hyperlink"/>
            <w:rFonts w:cstheme="minorHAnsi"/>
            <w:i/>
            <w:iCs/>
            <w:color w:val="auto"/>
            <w:sz w:val="22"/>
            <w:szCs w:val="22"/>
          </w:rPr>
          <w:t>Charter</w:t>
        </w:r>
      </w:hyperlink>
      <w:r w:rsidRPr="009E1586">
        <w:rPr>
          <w:rFonts w:cstheme="minorHAnsi"/>
          <w:sz w:val="22"/>
          <w:szCs w:val="22"/>
        </w:rPr>
        <w:t>.”</w:t>
      </w:r>
      <w:bookmarkEnd w:id="25"/>
    </w:p>
    <w:p w14:paraId="3644C8AB" w14:textId="534AD078" w:rsidR="00024664" w:rsidRPr="009E1586" w:rsidRDefault="00AF47C2" w:rsidP="009E1586">
      <w:pPr>
        <w:pStyle w:val="Heading2"/>
        <w:rPr>
          <w:rStyle w:val="Strong"/>
          <w:rFonts w:asciiTheme="minorHAnsi" w:hAnsiTheme="minorHAnsi" w:cstheme="minorHAnsi"/>
          <w:b/>
          <w:bCs/>
          <w:sz w:val="22"/>
          <w:szCs w:val="22"/>
        </w:rPr>
      </w:pPr>
      <w:bookmarkStart w:id="26" w:name="_Toc125376910"/>
      <w:r w:rsidRPr="009E1586">
        <w:rPr>
          <w:rStyle w:val="Strong"/>
          <w:rFonts w:asciiTheme="minorHAnsi" w:hAnsiTheme="minorHAnsi" w:cstheme="minorHAnsi"/>
          <w:b/>
          <w:bCs/>
          <w:sz w:val="22"/>
          <w:szCs w:val="22"/>
        </w:rPr>
        <w:t>Police Cannot Arrest to Prevent a Breach of the Peace:</w:t>
      </w:r>
      <w:bookmarkEnd w:id="26"/>
    </w:p>
    <w:p w14:paraId="071BB477" w14:textId="26A3D591" w:rsidR="00AE3740" w:rsidRPr="009E1586" w:rsidRDefault="00AE3740" w:rsidP="00AF3FAF">
      <w:pPr>
        <w:pStyle w:val="Heading3"/>
      </w:pPr>
      <w:bookmarkStart w:id="27" w:name="_Toc125376911"/>
      <w:r w:rsidRPr="009E1586">
        <w:t>Fleming v Ontario</w:t>
      </w:r>
      <w:r w:rsidR="00D55BDB" w:rsidRPr="009E1586">
        <w:t>, 2009, Supreme Court of Canada</w:t>
      </w:r>
      <w:r w:rsidR="003A4304" w:rsidRPr="009E1586">
        <w:t>:</w:t>
      </w:r>
      <w:bookmarkEnd w:id="27"/>
    </w:p>
    <w:p w14:paraId="7644D85D" w14:textId="784FD788" w:rsidR="00D55BDB" w:rsidRDefault="00000000" w:rsidP="009E1586">
      <w:pPr>
        <w:rPr>
          <w:rStyle w:val="Hyperlink"/>
          <w:rFonts w:eastAsia="Times New Roman" w:cstheme="minorHAnsi"/>
          <w:color w:val="0070C0"/>
          <w:sz w:val="22"/>
          <w:szCs w:val="22"/>
        </w:rPr>
      </w:pPr>
      <w:hyperlink r:id="rId31" w:history="1">
        <w:r w:rsidR="00D55BDB" w:rsidRPr="009E1586">
          <w:rPr>
            <w:rStyle w:val="Hyperlink"/>
            <w:rFonts w:eastAsia="Times New Roman" w:cstheme="minorHAnsi"/>
            <w:color w:val="0070C0"/>
            <w:sz w:val="22"/>
            <w:szCs w:val="22"/>
          </w:rPr>
          <w:t>https://scc-csc.lexum.com/scc-csc/scc-csc/en/item/17947/index.do</w:t>
        </w:r>
      </w:hyperlink>
    </w:p>
    <w:p w14:paraId="2A0C6F0C" w14:textId="77777777" w:rsidR="00AF3FAF" w:rsidRPr="009E1586" w:rsidRDefault="00AF3FAF" w:rsidP="009E1586">
      <w:pPr>
        <w:rPr>
          <w:rFonts w:cstheme="minorHAnsi"/>
          <w:color w:val="0070C0"/>
          <w:sz w:val="22"/>
          <w:szCs w:val="22"/>
        </w:rPr>
      </w:pPr>
    </w:p>
    <w:p w14:paraId="3C594EA5" w14:textId="5F1E9102" w:rsidR="00AE3740" w:rsidRPr="009E1586" w:rsidRDefault="00AE3740" w:rsidP="009E1586">
      <w:pPr>
        <w:rPr>
          <w:rFonts w:cstheme="minorHAnsi"/>
          <w:sz w:val="22"/>
          <w:szCs w:val="22"/>
        </w:rPr>
      </w:pPr>
      <w:r w:rsidRPr="009E1586">
        <w:rPr>
          <w:rFonts w:cstheme="minorHAnsi"/>
          <w:sz w:val="22"/>
          <w:szCs w:val="22"/>
        </w:rPr>
        <w:t>Mr. Fleming was on his way to join a protest in Caledonia, Ontario in 2009. The protest was against the occupation of a piece of land by a First Nations group. He was carrying a Canadian flag on a wooden pole and walking down a street beside the occupied land. </w:t>
      </w:r>
    </w:p>
    <w:p w14:paraId="32ADD152" w14:textId="5143F73A" w:rsidR="00DA37D0" w:rsidRPr="009E1586" w:rsidRDefault="00DA37D0" w:rsidP="009E1586">
      <w:pPr>
        <w:rPr>
          <w:rFonts w:cstheme="minorHAnsi"/>
          <w:sz w:val="22"/>
          <w:szCs w:val="22"/>
        </w:rPr>
      </w:pPr>
    </w:p>
    <w:p w14:paraId="37704E01" w14:textId="35B27646" w:rsidR="00DA37D0" w:rsidRPr="009E1586" w:rsidRDefault="00DA37D0" w:rsidP="009E1586">
      <w:pPr>
        <w:rPr>
          <w:rFonts w:cstheme="minorHAnsi"/>
          <w:sz w:val="22"/>
          <w:szCs w:val="22"/>
        </w:rPr>
      </w:pPr>
      <w:r w:rsidRPr="009E1586">
        <w:rPr>
          <w:rFonts w:cstheme="minorHAnsi"/>
          <w:sz w:val="22"/>
          <w:szCs w:val="22"/>
        </w:rPr>
        <w:t xml:space="preserve">Mr. Fleming was known to the police and had been violent in the past. Mr. Fleming was arrested by the police to prevent a breach of the peace, because of their belief the situation would get escalated. The police forced him to the ground, took his flagpole and took him to jail where he was held for a few hours. </w:t>
      </w:r>
    </w:p>
    <w:p w14:paraId="3388D013" w14:textId="77777777" w:rsidR="00D55BDB" w:rsidRPr="009E1586" w:rsidRDefault="00D55BDB" w:rsidP="009E1586">
      <w:pPr>
        <w:rPr>
          <w:rFonts w:cstheme="minorHAnsi"/>
          <w:sz w:val="22"/>
          <w:szCs w:val="22"/>
        </w:rPr>
      </w:pPr>
    </w:p>
    <w:p w14:paraId="69E89F7A" w14:textId="77777777" w:rsidR="00DA37D0" w:rsidRPr="009E1586" w:rsidRDefault="00AE3740" w:rsidP="009E1586">
      <w:pPr>
        <w:rPr>
          <w:rFonts w:cstheme="minorHAnsi"/>
          <w:sz w:val="22"/>
          <w:szCs w:val="22"/>
        </w:rPr>
      </w:pPr>
      <w:r w:rsidRPr="009E1586">
        <w:rPr>
          <w:rFonts w:cstheme="minorHAnsi"/>
          <w:sz w:val="22"/>
          <w:szCs w:val="22"/>
        </w:rPr>
        <w:t>Police officers saw him as they drove by. There had been violence in the past, and they were planning to keep the groups apart. The officers turned their vehicles around and sped toward him. Mr. Fleming got off the road and crossed a low fence. He said he did this to get away from the speeding vehicles and onto level ground. The officers were yelling. Mr. Fleming said he didn’t think they were yelling at him because he hadn’t done anything wrong.</w:t>
      </w:r>
      <w:r w:rsidR="00DA37D0" w:rsidRPr="009E1586">
        <w:rPr>
          <w:rFonts w:cstheme="minorHAnsi"/>
          <w:sz w:val="22"/>
          <w:szCs w:val="22"/>
        </w:rPr>
        <w:t xml:space="preserve"> He was charged with obstructing a police officer (preventing a police officer from doing their job). He went to court a dozen times to fight the charge, which was later dropped.</w:t>
      </w:r>
    </w:p>
    <w:p w14:paraId="68B7ED8F" w14:textId="77777777" w:rsidR="00D55BDB" w:rsidRPr="009E1586" w:rsidRDefault="00D55BDB" w:rsidP="009E1586">
      <w:pPr>
        <w:rPr>
          <w:rFonts w:cstheme="minorHAnsi"/>
          <w:sz w:val="22"/>
          <w:szCs w:val="22"/>
        </w:rPr>
      </w:pPr>
    </w:p>
    <w:p w14:paraId="6179B2AD" w14:textId="02FCC1E7" w:rsidR="00AE3740" w:rsidRPr="009E1586" w:rsidRDefault="00AE3740" w:rsidP="009E1586">
      <w:pPr>
        <w:rPr>
          <w:rFonts w:cstheme="minorHAnsi"/>
          <w:sz w:val="22"/>
          <w:szCs w:val="22"/>
        </w:rPr>
      </w:pPr>
      <w:r w:rsidRPr="009E1586">
        <w:rPr>
          <w:rFonts w:cstheme="minorHAnsi"/>
          <w:sz w:val="22"/>
          <w:szCs w:val="22"/>
        </w:rPr>
        <w:t>In 2011, Mr. Fleming sued the Province of Ontario and the officers involved in his arrest. He said the officers acted wrongfully. He said they assaulted and battered him, wrongfully arrested him, and falsely imprisoned him. He also said they violated several of his rights under the </w:t>
      </w:r>
      <w:r w:rsidRPr="009E1586">
        <w:rPr>
          <w:rFonts w:cstheme="minorHAnsi"/>
          <w:i/>
          <w:iCs/>
          <w:sz w:val="22"/>
          <w:szCs w:val="22"/>
        </w:rPr>
        <w:t>Canadian Charter of Rights and Freedoms</w:t>
      </w:r>
      <w:r w:rsidRPr="009E1586">
        <w:rPr>
          <w:rFonts w:cstheme="minorHAnsi"/>
          <w:sz w:val="22"/>
          <w:szCs w:val="22"/>
        </w:rPr>
        <w:t>, part of Canada’s Constitution.</w:t>
      </w:r>
    </w:p>
    <w:p w14:paraId="35A763AE" w14:textId="77777777" w:rsidR="00D55BDB" w:rsidRPr="009E1586" w:rsidRDefault="00D55BDB" w:rsidP="009E1586">
      <w:pPr>
        <w:rPr>
          <w:rFonts w:cstheme="minorHAnsi"/>
          <w:sz w:val="22"/>
          <w:szCs w:val="22"/>
        </w:rPr>
      </w:pPr>
    </w:p>
    <w:p w14:paraId="14C87902" w14:textId="1A293961" w:rsidR="00AE3740" w:rsidRPr="009E1586" w:rsidRDefault="00AE3740" w:rsidP="009E1586">
      <w:pPr>
        <w:rPr>
          <w:rFonts w:cstheme="minorHAnsi"/>
          <w:sz w:val="22"/>
          <w:szCs w:val="22"/>
        </w:rPr>
      </w:pPr>
      <w:r w:rsidRPr="009E1586">
        <w:rPr>
          <w:rFonts w:cstheme="minorHAnsi"/>
          <w:sz w:val="22"/>
          <w:szCs w:val="22"/>
        </w:rPr>
        <w:t>Police officers get their powers from statutes (like the </w:t>
      </w:r>
      <w:r w:rsidRPr="009E1586">
        <w:rPr>
          <w:rFonts w:cstheme="minorHAnsi"/>
          <w:i/>
          <w:iCs/>
          <w:sz w:val="22"/>
          <w:szCs w:val="22"/>
        </w:rPr>
        <w:t>Criminal Code</w:t>
      </w:r>
      <w:r w:rsidRPr="009E1586">
        <w:rPr>
          <w:rFonts w:cstheme="minorHAnsi"/>
          <w:sz w:val="22"/>
          <w:szCs w:val="22"/>
        </w:rPr>
        <w:t>) and common law (the law made by judges deciding cases). They can only act within those laws. Under the common law, the police can limit someone’s freedom (for example, arrest them) if it’s reasonably necessary to carry out their duties. The police argued they had the power to arrest Mr. Fleming under the common law. They said it was to prevent a “breach of the peace.” A breach of the peace is more than a disturbance. It means there is a risk of violence and that someone will get hurt.</w:t>
      </w:r>
    </w:p>
    <w:p w14:paraId="3A8B099E" w14:textId="77777777" w:rsidR="00D55BDB" w:rsidRPr="009E1586" w:rsidRDefault="00D55BDB" w:rsidP="009E1586">
      <w:pPr>
        <w:rPr>
          <w:rFonts w:cstheme="minorHAnsi"/>
          <w:sz w:val="22"/>
          <w:szCs w:val="22"/>
        </w:rPr>
      </w:pPr>
    </w:p>
    <w:p w14:paraId="763EE0EC" w14:textId="71A7DCDB" w:rsidR="00AE3740" w:rsidRPr="009E1586" w:rsidRDefault="00AE3740" w:rsidP="009E1586">
      <w:pPr>
        <w:rPr>
          <w:rFonts w:cstheme="minorHAnsi"/>
          <w:sz w:val="22"/>
          <w:szCs w:val="22"/>
        </w:rPr>
      </w:pPr>
      <w:r w:rsidRPr="009E1586">
        <w:rPr>
          <w:rFonts w:cstheme="minorHAnsi"/>
          <w:sz w:val="22"/>
          <w:szCs w:val="22"/>
        </w:rPr>
        <w:t>The Supreme Court unanimously said the officers didn’t have the power to arrest Mr. Fleming. The police can’t arrest someone acting lawfully just because they think it will stop others from breaching the peace. They already have other powers to deal with these situations under the </w:t>
      </w:r>
      <w:r w:rsidRPr="009E1586">
        <w:rPr>
          <w:rFonts w:cstheme="minorHAnsi"/>
          <w:i/>
          <w:iCs/>
          <w:sz w:val="22"/>
          <w:szCs w:val="22"/>
        </w:rPr>
        <w:t>Criminal Code</w:t>
      </w:r>
      <w:r w:rsidRPr="009E1586">
        <w:rPr>
          <w:rFonts w:cstheme="minorHAnsi"/>
          <w:sz w:val="22"/>
          <w:szCs w:val="22"/>
        </w:rPr>
        <w:t xml:space="preserve">. Since they had these less drastic options, arresting Mr. Fleming wasn’t </w:t>
      </w:r>
      <w:proofErr w:type="gramStart"/>
      <w:r w:rsidRPr="009E1586">
        <w:rPr>
          <w:rFonts w:cstheme="minorHAnsi"/>
          <w:sz w:val="22"/>
          <w:szCs w:val="22"/>
        </w:rPr>
        <w:t>really necessary</w:t>
      </w:r>
      <w:proofErr w:type="gramEnd"/>
      <w:r w:rsidRPr="009E1586">
        <w:rPr>
          <w:rFonts w:cstheme="minorHAnsi"/>
          <w:sz w:val="22"/>
          <w:szCs w:val="22"/>
        </w:rPr>
        <w:t>.</w:t>
      </w:r>
    </w:p>
    <w:p w14:paraId="4FD0BBD0" w14:textId="77777777" w:rsidR="00D55BDB" w:rsidRPr="009E1586" w:rsidRDefault="00D55BDB" w:rsidP="009E1586">
      <w:pPr>
        <w:rPr>
          <w:rFonts w:cstheme="minorHAnsi"/>
          <w:sz w:val="22"/>
          <w:szCs w:val="22"/>
        </w:rPr>
      </w:pPr>
    </w:p>
    <w:p w14:paraId="6547B58B" w14:textId="15C1F6F4" w:rsidR="00AE3740" w:rsidRPr="009E1586" w:rsidRDefault="00AE3740" w:rsidP="009E1586">
      <w:pPr>
        <w:rPr>
          <w:rFonts w:cstheme="minorHAnsi"/>
          <w:sz w:val="22"/>
          <w:szCs w:val="22"/>
        </w:rPr>
      </w:pPr>
      <w:r w:rsidRPr="009E1586">
        <w:rPr>
          <w:rFonts w:cstheme="minorHAnsi"/>
          <w:sz w:val="22"/>
          <w:szCs w:val="22"/>
        </w:rPr>
        <w:t>The Court noted that preserving the peace, preventing crime, and protecting life and property are the main duties of police officers under the common law. They have the power to take actions to support these duties, even if these actions aren’t specifically set out in the </w:t>
      </w:r>
      <w:r w:rsidRPr="009E1586">
        <w:rPr>
          <w:rFonts w:cstheme="minorHAnsi"/>
          <w:i/>
          <w:iCs/>
          <w:sz w:val="22"/>
          <w:szCs w:val="22"/>
        </w:rPr>
        <w:t>Criminal Code</w:t>
      </w:r>
      <w:r w:rsidRPr="009E1586">
        <w:rPr>
          <w:rFonts w:cstheme="minorHAnsi"/>
          <w:sz w:val="22"/>
          <w:szCs w:val="22"/>
        </w:rPr>
        <w:t>.</w:t>
      </w:r>
      <w:r w:rsidR="00B2305F" w:rsidRPr="009E1586">
        <w:rPr>
          <w:rFonts w:cstheme="minorHAnsi"/>
          <w:sz w:val="22"/>
          <w:szCs w:val="22"/>
        </w:rPr>
        <w:t xml:space="preserve"> </w:t>
      </w:r>
      <w:r w:rsidRPr="009E1586">
        <w:rPr>
          <w:rFonts w:cstheme="minorHAnsi"/>
          <w:sz w:val="22"/>
          <w:szCs w:val="22"/>
        </w:rPr>
        <w:t xml:space="preserve">Preventing breaches of the peace is obviously related to preserving the peace, preventing crime, and protecting life and property. But the Court said it wasn’t reasonably necessary to arrest someone to prevent a breach of the </w:t>
      </w:r>
      <w:proofErr w:type="gramStart"/>
      <w:r w:rsidRPr="009E1586">
        <w:rPr>
          <w:rFonts w:cstheme="minorHAnsi"/>
          <w:sz w:val="22"/>
          <w:szCs w:val="22"/>
        </w:rPr>
        <w:t>peace, if</w:t>
      </w:r>
      <w:proofErr w:type="gramEnd"/>
      <w:r w:rsidRPr="009E1586">
        <w:rPr>
          <w:rFonts w:cstheme="minorHAnsi"/>
          <w:sz w:val="22"/>
          <w:szCs w:val="22"/>
        </w:rPr>
        <w:t xml:space="preserve"> that person hadn’t done (and wasn’t about to do) anything wrong. </w:t>
      </w:r>
    </w:p>
    <w:p w14:paraId="4D2BA0B1" w14:textId="77777777" w:rsidR="00D55BDB" w:rsidRPr="009E1586" w:rsidRDefault="00D55BDB" w:rsidP="009E1586">
      <w:pPr>
        <w:rPr>
          <w:rFonts w:cstheme="minorHAnsi"/>
          <w:sz w:val="22"/>
          <w:szCs w:val="22"/>
        </w:rPr>
      </w:pPr>
    </w:p>
    <w:p w14:paraId="0B0C806C" w14:textId="1DC08D08" w:rsidR="00AE3740" w:rsidRPr="009E1586" w:rsidRDefault="00AE3740" w:rsidP="009E1586">
      <w:pPr>
        <w:rPr>
          <w:rFonts w:cstheme="minorHAnsi"/>
          <w:sz w:val="22"/>
          <w:szCs w:val="22"/>
        </w:rPr>
      </w:pPr>
      <w:r w:rsidRPr="009E1586">
        <w:rPr>
          <w:rFonts w:cstheme="minorHAnsi"/>
          <w:sz w:val="22"/>
          <w:szCs w:val="22"/>
        </w:rPr>
        <w:t>Police are allowed to use as much force as reasonably necessary to carry out their duties. But in this case, they weren’t allowed to arrest Mr. Fleming, so no amount of force was justified. </w:t>
      </w:r>
    </w:p>
    <w:p w14:paraId="7EEF2081" w14:textId="77777777" w:rsidR="00D55BDB" w:rsidRPr="009E1586" w:rsidRDefault="00D55BDB" w:rsidP="009E1586">
      <w:pPr>
        <w:rPr>
          <w:rFonts w:cstheme="minorHAnsi"/>
          <w:sz w:val="22"/>
          <w:szCs w:val="22"/>
        </w:rPr>
      </w:pPr>
    </w:p>
    <w:p w14:paraId="53FDBF41" w14:textId="64AE2DD7" w:rsidR="00D55BDB" w:rsidRPr="009E1586" w:rsidRDefault="00AE3740" w:rsidP="009E1586">
      <w:pPr>
        <w:rPr>
          <w:rFonts w:cstheme="minorHAnsi"/>
          <w:sz w:val="22"/>
          <w:szCs w:val="22"/>
        </w:rPr>
      </w:pPr>
      <w:r w:rsidRPr="009E1586">
        <w:rPr>
          <w:rFonts w:cstheme="minorHAnsi"/>
          <w:sz w:val="22"/>
          <w:szCs w:val="22"/>
        </w:rPr>
        <w:t>Taking away someone’s freedom, even temporarily, is serious. Often, in situations like Mr. Fleming’s, the person wouldn’t have any way to challenge their arrest in court, because there wouldn’t be any charges. The only option would be an expensive civil lawsuit. This was another reason the Court said the standards for judging police actions should be strict.</w:t>
      </w:r>
    </w:p>
    <w:p w14:paraId="256473C5" w14:textId="4F79924F" w:rsidR="0095029E" w:rsidRPr="009E1586" w:rsidRDefault="0095029E" w:rsidP="009E1586">
      <w:pPr>
        <w:pStyle w:val="Heading2"/>
        <w:rPr>
          <w:rFonts w:asciiTheme="minorHAnsi" w:hAnsiTheme="minorHAnsi" w:cstheme="minorHAnsi"/>
          <w:sz w:val="22"/>
          <w:szCs w:val="22"/>
        </w:rPr>
      </w:pPr>
      <w:bookmarkStart w:id="28" w:name="_Toc125376912"/>
      <w:r w:rsidRPr="009E1586">
        <w:rPr>
          <w:rFonts w:asciiTheme="minorHAnsi" w:hAnsiTheme="minorHAnsi" w:cstheme="minorHAnsi"/>
          <w:sz w:val="22"/>
          <w:szCs w:val="22"/>
        </w:rPr>
        <w:t>Right to Protest on Public Lan</w:t>
      </w:r>
      <w:r w:rsidR="00F86F28" w:rsidRPr="009E1586">
        <w:rPr>
          <w:rFonts w:asciiTheme="minorHAnsi" w:hAnsiTheme="minorHAnsi" w:cstheme="minorHAnsi"/>
          <w:sz w:val="22"/>
          <w:szCs w:val="22"/>
        </w:rPr>
        <w:t>d:</w:t>
      </w:r>
      <w:bookmarkEnd w:id="28"/>
    </w:p>
    <w:p w14:paraId="099F98C0" w14:textId="0151422D" w:rsidR="003A4304" w:rsidRPr="009E1586" w:rsidRDefault="003A4304" w:rsidP="00AF3FAF">
      <w:pPr>
        <w:pStyle w:val="Heading3"/>
      </w:pPr>
      <w:bookmarkStart w:id="29" w:name="_Toc125376913"/>
      <w:r w:rsidRPr="009E1586">
        <w:t>Bracken v Town of Fort Erie</w:t>
      </w:r>
      <w:r w:rsidR="00D55BDB" w:rsidRPr="009E1586">
        <w:t>, Court of Appeal Ontario 2017</w:t>
      </w:r>
      <w:r w:rsidRPr="009E1586">
        <w:t>:</w:t>
      </w:r>
      <w:bookmarkEnd w:id="29"/>
    </w:p>
    <w:p w14:paraId="40E37D3B" w14:textId="7309E5F9" w:rsidR="00D55BDB" w:rsidRPr="009E1586" w:rsidRDefault="00000000" w:rsidP="009E1586">
      <w:pPr>
        <w:rPr>
          <w:rFonts w:cstheme="minorHAnsi"/>
          <w:sz w:val="22"/>
          <w:szCs w:val="22"/>
        </w:rPr>
      </w:pPr>
      <w:hyperlink r:id="rId32" w:history="1">
        <w:r w:rsidR="00D55BDB" w:rsidRPr="009E1586">
          <w:rPr>
            <w:rStyle w:val="Hyperlink"/>
            <w:rFonts w:eastAsia="Times New Roman" w:cstheme="minorHAnsi"/>
            <w:color w:val="auto"/>
            <w:sz w:val="22"/>
            <w:szCs w:val="22"/>
          </w:rPr>
          <w:t>https://www.canlii.org/en/on/onca/doc/2017/2017onca668/2017onca668.pdf</w:t>
        </w:r>
      </w:hyperlink>
    </w:p>
    <w:p w14:paraId="2DAD790E" w14:textId="77777777" w:rsidR="00D55BDB" w:rsidRPr="009E1586" w:rsidRDefault="00D55BDB" w:rsidP="009E1586">
      <w:pPr>
        <w:rPr>
          <w:rFonts w:cstheme="minorHAnsi"/>
          <w:sz w:val="22"/>
          <w:szCs w:val="22"/>
        </w:rPr>
      </w:pPr>
    </w:p>
    <w:p w14:paraId="1443F1A3" w14:textId="44172C4A" w:rsidR="00D55BDB" w:rsidRPr="009E1586" w:rsidRDefault="003A4304" w:rsidP="009E1586">
      <w:pPr>
        <w:rPr>
          <w:rFonts w:cstheme="minorHAnsi"/>
          <w:sz w:val="22"/>
          <w:szCs w:val="22"/>
          <w:shd w:val="clear" w:color="auto" w:fill="FFFFFF"/>
        </w:rPr>
      </w:pPr>
      <w:r w:rsidRPr="009E1586">
        <w:rPr>
          <w:rFonts w:cstheme="minorHAnsi"/>
          <w:sz w:val="22"/>
          <w:szCs w:val="22"/>
          <w:shd w:val="clear" w:color="auto" w:fill="FFFFFF"/>
        </w:rPr>
        <w:t xml:space="preserve">Ban on 'loud' protester from town property overturned as unconstitutional. Ruled that “The area in front of a Town Hall is a place where free expression not only has traditionally </w:t>
      </w:r>
      <w:r w:rsidR="00D55BDB" w:rsidRPr="009E1586">
        <w:rPr>
          <w:rFonts w:cstheme="minorHAnsi"/>
          <w:sz w:val="22"/>
          <w:szCs w:val="22"/>
          <w:shd w:val="clear" w:color="auto" w:fill="FFFFFF"/>
        </w:rPr>
        <w:t>occurred but</w:t>
      </w:r>
      <w:r w:rsidRPr="009E1586">
        <w:rPr>
          <w:rFonts w:cstheme="minorHAnsi"/>
          <w:sz w:val="22"/>
          <w:szCs w:val="22"/>
          <w:shd w:val="clear" w:color="auto" w:fill="FFFFFF"/>
        </w:rPr>
        <w:t xml:space="preserve"> can be expected to occur in a free and democratic society,” Miller said. “The literal town square is paradigmatically the place for expression of public dissent.”</w:t>
      </w:r>
    </w:p>
    <w:p w14:paraId="17E4236F" w14:textId="0519D92F" w:rsidR="00D55BDB" w:rsidRPr="009E1586" w:rsidRDefault="00D55BDB" w:rsidP="009E1586">
      <w:pPr>
        <w:pStyle w:val="Heading1"/>
        <w:rPr>
          <w:rFonts w:asciiTheme="minorHAnsi" w:hAnsiTheme="minorHAnsi" w:cstheme="minorHAnsi"/>
          <w:sz w:val="22"/>
          <w:szCs w:val="22"/>
        </w:rPr>
      </w:pPr>
      <w:bookmarkStart w:id="30" w:name="_Toc125376914"/>
      <w:r w:rsidRPr="009E1586">
        <w:rPr>
          <w:rFonts w:asciiTheme="minorHAnsi" w:hAnsiTheme="minorHAnsi" w:cstheme="minorHAnsi"/>
          <w:sz w:val="22"/>
          <w:szCs w:val="22"/>
        </w:rPr>
        <w:t>CASE LAW ON EMPLOYMENT RIGHTS:</w:t>
      </w:r>
      <w:bookmarkEnd w:id="30"/>
    </w:p>
    <w:p w14:paraId="61757BA1" w14:textId="3B90B380" w:rsidR="00F86F28" w:rsidRPr="009E1586" w:rsidRDefault="00F86F28" w:rsidP="009E1586">
      <w:pPr>
        <w:pStyle w:val="Heading2"/>
        <w:rPr>
          <w:rFonts w:asciiTheme="minorHAnsi" w:hAnsiTheme="minorHAnsi" w:cstheme="minorHAnsi"/>
          <w:sz w:val="22"/>
          <w:szCs w:val="22"/>
          <w:shd w:val="clear" w:color="auto" w:fill="FFFFFF"/>
        </w:rPr>
      </w:pPr>
      <w:bookmarkStart w:id="31" w:name="_Toc125376915"/>
      <w:r w:rsidRPr="009E1586">
        <w:rPr>
          <w:rFonts w:asciiTheme="minorHAnsi" w:hAnsiTheme="minorHAnsi" w:cstheme="minorHAnsi"/>
          <w:sz w:val="22"/>
          <w:szCs w:val="22"/>
          <w:shd w:val="clear" w:color="auto" w:fill="FFFFFF"/>
        </w:rPr>
        <w:t>Leave Without Pay:</w:t>
      </w:r>
      <w:bookmarkEnd w:id="31"/>
    </w:p>
    <w:p w14:paraId="1352AEFC" w14:textId="6145AF3D" w:rsidR="00D55BDB" w:rsidRPr="009E1586" w:rsidRDefault="00D55BDB" w:rsidP="00AF3FAF">
      <w:pPr>
        <w:pStyle w:val="Heading3"/>
      </w:pPr>
      <w:bookmarkStart w:id="32" w:name="_Toc125376916"/>
      <w:proofErr w:type="spellStart"/>
      <w:r w:rsidRPr="009E1586">
        <w:t>Cabiakman</w:t>
      </w:r>
      <w:proofErr w:type="spellEnd"/>
      <w:r w:rsidRPr="009E1586">
        <w:t xml:space="preserve"> v. Industrial Alliance Life Insurance Co., 2004, Court of Appeal for Quebec:</w:t>
      </w:r>
      <w:bookmarkEnd w:id="32"/>
    </w:p>
    <w:p w14:paraId="1D506901" w14:textId="77777777" w:rsidR="00D55BDB" w:rsidRPr="009E1586" w:rsidRDefault="00000000" w:rsidP="009E1586">
      <w:pPr>
        <w:rPr>
          <w:rStyle w:val="Hyperlink"/>
          <w:rFonts w:eastAsia="Times New Roman" w:cstheme="minorHAnsi"/>
          <w:color w:val="auto"/>
          <w:sz w:val="22"/>
          <w:szCs w:val="22"/>
        </w:rPr>
      </w:pPr>
      <w:hyperlink r:id="rId33" w:tgtFrame="_blank" w:history="1">
        <w:r w:rsidR="00D55BDB" w:rsidRPr="009E1586">
          <w:rPr>
            <w:rStyle w:val="Hyperlink"/>
            <w:rFonts w:eastAsia="Times New Roman" w:cstheme="minorHAnsi"/>
            <w:color w:val="auto"/>
            <w:sz w:val="22"/>
            <w:szCs w:val="22"/>
          </w:rPr>
          <w:t>https://canliiconnects.org/en/commentaries/46624</w:t>
        </w:r>
      </w:hyperlink>
    </w:p>
    <w:p w14:paraId="4960B018" w14:textId="77777777" w:rsidR="00D55BDB" w:rsidRPr="009E1586" w:rsidRDefault="00D55BDB" w:rsidP="009E1586">
      <w:pPr>
        <w:rPr>
          <w:rFonts w:cstheme="minorHAnsi"/>
          <w:sz w:val="22"/>
          <w:szCs w:val="22"/>
        </w:rPr>
      </w:pPr>
    </w:p>
    <w:p w14:paraId="660FAA06" w14:textId="77777777" w:rsidR="00D55BDB" w:rsidRPr="009E1586" w:rsidRDefault="00D55BDB" w:rsidP="009E1586">
      <w:pPr>
        <w:rPr>
          <w:rFonts w:cstheme="minorHAnsi"/>
          <w:sz w:val="22"/>
          <w:szCs w:val="22"/>
        </w:rPr>
      </w:pPr>
      <w:r w:rsidRPr="009E1586">
        <w:rPr>
          <w:rFonts w:cstheme="minorHAnsi"/>
          <w:sz w:val="22"/>
          <w:szCs w:val="22"/>
        </w:rPr>
        <w:t>Supreme Court of Canada ruling states that the following are required when placing an employee on administrative suspension:</w:t>
      </w:r>
    </w:p>
    <w:p w14:paraId="01FA9607" w14:textId="77777777" w:rsidR="00D55BDB" w:rsidRPr="009E1586" w:rsidRDefault="00D55BDB" w:rsidP="00AE6F90">
      <w:pPr>
        <w:pStyle w:val="ListParagraph"/>
        <w:numPr>
          <w:ilvl w:val="0"/>
          <w:numId w:val="6"/>
        </w:numPr>
        <w:ind w:left="709"/>
        <w:rPr>
          <w:rFonts w:cstheme="minorHAnsi"/>
          <w:sz w:val="22"/>
          <w:szCs w:val="22"/>
        </w:rPr>
      </w:pPr>
      <w:r w:rsidRPr="009E1586">
        <w:rPr>
          <w:rFonts w:cstheme="minorHAnsi"/>
          <w:sz w:val="22"/>
          <w:szCs w:val="22"/>
        </w:rPr>
        <w:t xml:space="preserve">The suspension must be necessary to protect the legitimate business </w:t>
      </w:r>
      <w:proofErr w:type="gramStart"/>
      <w:r w:rsidRPr="009E1586">
        <w:rPr>
          <w:rFonts w:cstheme="minorHAnsi"/>
          <w:sz w:val="22"/>
          <w:szCs w:val="22"/>
        </w:rPr>
        <w:t>interest;</w:t>
      </w:r>
      <w:proofErr w:type="gramEnd"/>
    </w:p>
    <w:p w14:paraId="055A48F6" w14:textId="77777777" w:rsidR="00D55BDB" w:rsidRPr="009E1586" w:rsidRDefault="00D55BDB" w:rsidP="00AE6F90">
      <w:pPr>
        <w:pStyle w:val="ListParagraph"/>
        <w:numPr>
          <w:ilvl w:val="0"/>
          <w:numId w:val="6"/>
        </w:numPr>
        <w:ind w:left="709"/>
        <w:rPr>
          <w:rFonts w:cstheme="minorHAnsi"/>
          <w:sz w:val="22"/>
          <w:szCs w:val="22"/>
        </w:rPr>
      </w:pPr>
      <w:r w:rsidRPr="009E1586">
        <w:rPr>
          <w:rFonts w:cstheme="minorHAnsi"/>
          <w:sz w:val="22"/>
          <w:szCs w:val="22"/>
        </w:rPr>
        <w:t xml:space="preserve">The employer must be acting in good </w:t>
      </w:r>
      <w:proofErr w:type="gramStart"/>
      <w:r w:rsidRPr="009E1586">
        <w:rPr>
          <w:rFonts w:cstheme="minorHAnsi"/>
          <w:sz w:val="22"/>
          <w:szCs w:val="22"/>
        </w:rPr>
        <w:t>faith;</w:t>
      </w:r>
      <w:proofErr w:type="gramEnd"/>
    </w:p>
    <w:p w14:paraId="73ADC49B" w14:textId="77777777" w:rsidR="00D55BDB" w:rsidRPr="009E1586" w:rsidRDefault="00D55BDB" w:rsidP="00AE6F90">
      <w:pPr>
        <w:pStyle w:val="ListParagraph"/>
        <w:numPr>
          <w:ilvl w:val="0"/>
          <w:numId w:val="6"/>
        </w:numPr>
        <w:ind w:left="709"/>
        <w:rPr>
          <w:rFonts w:cstheme="minorHAnsi"/>
          <w:sz w:val="22"/>
          <w:szCs w:val="22"/>
        </w:rPr>
      </w:pPr>
      <w:r w:rsidRPr="009E1586">
        <w:rPr>
          <w:rFonts w:cstheme="minorHAnsi"/>
          <w:sz w:val="22"/>
          <w:szCs w:val="22"/>
        </w:rPr>
        <w:t xml:space="preserve">The suspension must be for a relatively short </w:t>
      </w:r>
      <w:proofErr w:type="gramStart"/>
      <w:r w:rsidRPr="009E1586">
        <w:rPr>
          <w:rFonts w:cstheme="minorHAnsi"/>
          <w:sz w:val="22"/>
          <w:szCs w:val="22"/>
        </w:rPr>
        <w:t>time period</w:t>
      </w:r>
      <w:proofErr w:type="gramEnd"/>
      <w:r w:rsidRPr="009E1586">
        <w:rPr>
          <w:rFonts w:cstheme="minorHAnsi"/>
          <w:sz w:val="22"/>
          <w:szCs w:val="22"/>
        </w:rPr>
        <w:t xml:space="preserve"> for a fixed term; and</w:t>
      </w:r>
    </w:p>
    <w:p w14:paraId="6C5C6AD4" w14:textId="4CB9A44B" w:rsidR="00D55BDB" w:rsidRPr="009E1586" w:rsidRDefault="00D55BDB" w:rsidP="00AE6F90">
      <w:pPr>
        <w:pStyle w:val="ListParagraph"/>
        <w:numPr>
          <w:ilvl w:val="0"/>
          <w:numId w:val="6"/>
        </w:numPr>
        <w:ind w:left="709"/>
        <w:rPr>
          <w:rFonts w:cstheme="minorHAnsi"/>
          <w:sz w:val="22"/>
          <w:szCs w:val="22"/>
        </w:rPr>
      </w:pPr>
      <w:r w:rsidRPr="009E1586">
        <w:rPr>
          <w:rFonts w:cstheme="minorHAnsi"/>
          <w:sz w:val="22"/>
          <w:szCs w:val="22"/>
        </w:rPr>
        <w:t>Other than in exceptional circumstances, the suspension must be paid.</w:t>
      </w:r>
    </w:p>
    <w:p w14:paraId="08E0A88B" w14:textId="77777777" w:rsidR="00DA37D0" w:rsidRPr="009E1586" w:rsidRDefault="00DA37D0" w:rsidP="009E1586">
      <w:pPr>
        <w:pStyle w:val="ListParagraph"/>
        <w:ind w:left="0"/>
        <w:rPr>
          <w:rFonts w:cstheme="minorHAnsi"/>
          <w:sz w:val="22"/>
          <w:szCs w:val="22"/>
        </w:rPr>
      </w:pPr>
    </w:p>
    <w:p w14:paraId="17F9CD95" w14:textId="315FFFF8" w:rsidR="00D55BDB" w:rsidRPr="009E1586" w:rsidRDefault="00D55BDB" w:rsidP="009E1586">
      <w:pPr>
        <w:rPr>
          <w:rFonts w:cstheme="minorHAnsi"/>
          <w:sz w:val="22"/>
          <w:szCs w:val="22"/>
        </w:rPr>
      </w:pPr>
      <w:r w:rsidRPr="009E1586">
        <w:rPr>
          <w:rFonts w:cstheme="minorHAnsi"/>
          <w:sz w:val="22"/>
          <w:szCs w:val="22"/>
        </w:rPr>
        <w:t xml:space="preserve">If you are placed on an unpaid suspension for administrative reasons where your employer is refusing to pay you, you are able to refuse the suspension and </w:t>
      </w:r>
      <w:proofErr w:type="gramStart"/>
      <w:r w:rsidRPr="009E1586">
        <w:rPr>
          <w:rFonts w:cstheme="minorHAnsi"/>
          <w:sz w:val="22"/>
          <w:szCs w:val="22"/>
        </w:rPr>
        <w:t>this  would</w:t>
      </w:r>
      <w:proofErr w:type="gramEnd"/>
      <w:r w:rsidRPr="009E1586">
        <w:rPr>
          <w:rFonts w:cstheme="minorHAnsi"/>
          <w:sz w:val="22"/>
          <w:szCs w:val="22"/>
        </w:rPr>
        <w:t xml:space="preserve"> not be construed as a resignation but rather a constructive dismissal.</w:t>
      </w:r>
    </w:p>
    <w:p w14:paraId="577B7CB0" w14:textId="33142A5C" w:rsidR="00D55BDB" w:rsidRPr="009E1586" w:rsidRDefault="00AF47C2" w:rsidP="009E1586">
      <w:pPr>
        <w:pStyle w:val="Heading2"/>
        <w:rPr>
          <w:rFonts w:asciiTheme="minorHAnsi" w:hAnsiTheme="minorHAnsi" w:cstheme="minorHAnsi"/>
          <w:sz w:val="22"/>
          <w:szCs w:val="22"/>
        </w:rPr>
      </w:pPr>
      <w:bookmarkStart w:id="33" w:name="_Toc125376917"/>
      <w:r w:rsidRPr="009E1586">
        <w:rPr>
          <w:rFonts w:asciiTheme="minorHAnsi" w:hAnsiTheme="minorHAnsi" w:cstheme="minorHAnsi"/>
          <w:sz w:val="22"/>
          <w:szCs w:val="22"/>
        </w:rPr>
        <w:t>Arbitration Ruling Upholding Section 63 Of OHSA and a Collective Agreement:</w:t>
      </w:r>
      <w:bookmarkEnd w:id="33"/>
    </w:p>
    <w:p w14:paraId="5E56F6C2" w14:textId="422C5EF5" w:rsidR="00DA37D0" w:rsidRPr="009E1586" w:rsidRDefault="00DA37D0" w:rsidP="00AF3FAF">
      <w:pPr>
        <w:pStyle w:val="Heading3"/>
      </w:pPr>
      <w:bookmarkStart w:id="34" w:name="_Toc125376918"/>
      <w:r w:rsidRPr="009E1586">
        <w:lastRenderedPageBreak/>
        <w:t>St. Patrick's Home of Ottawa Inc. v Canadian Union of Public Employees, Local 2437, 2016:</w:t>
      </w:r>
      <w:bookmarkEnd w:id="34"/>
    </w:p>
    <w:p w14:paraId="621DA12C" w14:textId="192EC5FA" w:rsidR="00D55BDB" w:rsidRPr="009E1586" w:rsidRDefault="00000000" w:rsidP="009E1586">
      <w:pPr>
        <w:rPr>
          <w:rFonts w:eastAsia="Times New Roman" w:cstheme="minorHAnsi"/>
          <w:sz w:val="22"/>
          <w:szCs w:val="22"/>
          <w:u w:val="single"/>
        </w:rPr>
      </w:pPr>
      <w:hyperlink r:id="rId34" w:history="1">
        <w:r w:rsidR="00DA37D0" w:rsidRPr="009E1586">
          <w:rPr>
            <w:rStyle w:val="Hyperlink"/>
            <w:rFonts w:eastAsia="Times New Roman" w:cstheme="minorHAnsi"/>
            <w:sz w:val="22"/>
            <w:szCs w:val="22"/>
          </w:rPr>
          <w:t>https://www.occupationalhealthandsafetylaw.com/employer-breached-ohsa-collective-agreement-by-sharing-employees-medical-information-with-another-employer/</w:t>
        </w:r>
      </w:hyperlink>
    </w:p>
    <w:p w14:paraId="142F142A" w14:textId="77777777" w:rsidR="00D55BDB" w:rsidRPr="009E1586" w:rsidRDefault="00D55BDB" w:rsidP="009E1586">
      <w:pPr>
        <w:rPr>
          <w:rFonts w:eastAsia="Times New Roman" w:cstheme="minorHAnsi"/>
          <w:sz w:val="22"/>
          <w:szCs w:val="22"/>
          <w:u w:val="single"/>
        </w:rPr>
      </w:pPr>
    </w:p>
    <w:p w14:paraId="5F841A72" w14:textId="4AEBA775" w:rsidR="00D55BDB" w:rsidRPr="009E1586" w:rsidRDefault="00D55BDB" w:rsidP="009E1586">
      <w:pPr>
        <w:rPr>
          <w:rFonts w:cstheme="minorHAnsi"/>
          <w:sz w:val="22"/>
          <w:szCs w:val="22"/>
        </w:rPr>
      </w:pPr>
      <w:r w:rsidRPr="009E1586">
        <w:rPr>
          <w:rFonts w:cstheme="minorHAnsi"/>
          <w:sz w:val="22"/>
          <w:szCs w:val="22"/>
        </w:rPr>
        <w:t>Summary: Employer (long-term care home) breached OHSA, collective agreement by sharing employee’s medical information with another employer. This case illustrates the increasing importance of privacy – particularly of medical information – in the workplace, and that privacy obligations can come from unexpected places, including the OHSA.</w:t>
      </w:r>
    </w:p>
    <w:p w14:paraId="0C82F39B" w14:textId="67FB7241" w:rsidR="00DA37D0" w:rsidRPr="009E1586" w:rsidRDefault="00D55BDB" w:rsidP="009E1586">
      <w:pPr>
        <w:pStyle w:val="Heading1"/>
        <w:rPr>
          <w:rFonts w:asciiTheme="minorHAnsi" w:hAnsiTheme="minorHAnsi" w:cstheme="minorHAnsi"/>
          <w:sz w:val="22"/>
          <w:szCs w:val="22"/>
        </w:rPr>
      </w:pPr>
      <w:bookmarkStart w:id="35" w:name="_Toc125376919"/>
      <w:r w:rsidRPr="009E1586">
        <w:rPr>
          <w:rFonts w:asciiTheme="minorHAnsi" w:hAnsiTheme="minorHAnsi" w:cstheme="minorHAnsi"/>
          <w:sz w:val="22"/>
          <w:szCs w:val="22"/>
        </w:rPr>
        <w:t>CASE LAW ON INFORMED CONSENT:</w:t>
      </w:r>
      <w:bookmarkEnd w:id="35"/>
    </w:p>
    <w:p w14:paraId="719D19ED" w14:textId="485D7DC9" w:rsidR="00DA37D0" w:rsidRPr="009E1586" w:rsidRDefault="0095029E" w:rsidP="009E1586">
      <w:pPr>
        <w:pStyle w:val="Heading2"/>
        <w:rPr>
          <w:rFonts w:asciiTheme="minorHAnsi" w:hAnsiTheme="minorHAnsi" w:cstheme="minorHAnsi"/>
          <w:sz w:val="22"/>
          <w:szCs w:val="22"/>
        </w:rPr>
      </w:pPr>
      <w:bookmarkStart w:id="36" w:name="_Toc125376920"/>
      <w:r w:rsidRPr="009E1586">
        <w:rPr>
          <w:rFonts w:asciiTheme="minorHAnsi" w:hAnsiTheme="minorHAnsi" w:cstheme="minorHAnsi"/>
          <w:sz w:val="22"/>
          <w:szCs w:val="22"/>
        </w:rPr>
        <w:t>I</w:t>
      </w:r>
      <w:r w:rsidR="00DA37D0" w:rsidRPr="009E1586">
        <w:rPr>
          <w:rFonts w:asciiTheme="minorHAnsi" w:hAnsiTheme="minorHAnsi" w:cstheme="minorHAnsi"/>
          <w:sz w:val="22"/>
          <w:szCs w:val="22"/>
        </w:rPr>
        <w:t xml:space="preserve">nformed </w:t>
      </w:r>
      <w:r w:rsidR="00F86F28" w:rsidRPr="009E1586">
        <w:rPr>
          <w:rFonts w:asciiTheme="minorHAnsi" w:hAnsiTheme="minorHAnsi" w:cstheme="minorHAnsi"/>
          <w:sz w:val="22"/>
          <w:szCs w:val="22"/>
        </w:rPr>
        <w:t>Medical Consent:</w:t>
      </w:r>
      <w:bookmarkEnd w:id="36"/>
    </w:p>
    <w:p w14:paraId="45687A06" w14:textId="40755DD2" w:rsidR="00D55BDB" w:rsidRPr="009E1586" w:rsidRDefault="00D55BDB" w:rsidP="00AF3FAF">
      <w:pPr>
        <w:pStyle w:val="Heading3"/>
      </w:pPr>
      <w:bookmarkStart w:id="37" w:name="_Toc125376921"/>
      <w:proofErr w:type="spellStart"/>
      <w:r w:rsidRPr="009E1586">
        <w:t>Parmley</w:t>
      </w:r>
      <w:proofErr w:type="spellEnd"/>
      <w:r w:rsidRPr="009E1586">
        <w:t xml:space="preserve"> vs </w:t>
      </w:r>
      <w:proofErr w:type="spellStart"/>
      <w:r w:rsidRPr="009E1586">
        <w:t>Parmley</w:t>
      </w:r>
      <w:proofErr w:type="spellEnd"/>
      <w:r w:rsidRPr="009E1586">
        <w:t>, 1945, Court of Appeal BC:</w:t>
      </w:r>
      <w:bookmarkEnd w:id="37"/>
    </w:p>
    <w:p w14:paraId="541E21FA" w14:textId="7C73DB2C" w:rsidR="00D55BDB" w:rsidRPr="009E1586" w:rsidRDefault="00000000" w:rsidP="009E1586">
      <w:pPr>
        <w:rPr>
          <w:rFonts w:cstheme="minorHAnsi"/>
          <w:sz w:val="22"/>
          <w:szCs w:val="22"/>
        </w:rPr>
      </w:pPr>
      <w:hyperlink r:id="rId35" w:tgtFrame="_blank" w:history="1">
        <w:r w:rsidR="00D55BDB" w:rsidRPr="009E1586">
          <w:rPr>
            <w:rStyle w:val="Hyperlink"/>
            <w:rFonts w:cstheme="minorHAnsi"/>
            <w:color w:val="auto"/>
            <w:sz w:val="22"/>
            <w:szCs w:val="22"/>
          </w:rPr>
          <w:t>https://www.canlii.org/en/ca/scc/doc/1945/1945canlii13/1945canlii13.html</w:t>
        </w:r>
      </w:hyperlink>
      <w:r w:rsidR="00D55BDB" w:rsidRPr="009E1586">
        <w:rPr>
          <w:rStyle w:val="apple-converted-space"/>
          <w:rFonts w:cstheme="minorHAnsi"/>
          <w:sz w:val="22"/>
          <w:szCs w:val="22"/>
        </w:rPr>
        <w:t> </w:t>
      </w:r>
      <w:r w:rsidR="00D55BDB" w:rsidRPr="009E1586">
        <w:rPr>
          <w:rFonts w:cstheme="minorHAnsi"/>
          <w:sz w:val="22"/>
          <w:szCs w:val="22"/>
        </w:rPr>
        <w:t> </w:t>
      </w:r>
    </w:p>
    <w:p w14:paraId="43A8C339" w14:textId="77777777" w:rsidR="00D55BDB" w:rsidRPr="009E1586" w:rsidRDefault="00D55BDB" w:rsidP="009E1586">
      <w:pPr>
        <w:rPr>
          <w:rFonts w:cstheme="minorHAnsi"/>
          <w:sz w:val="22"/>
          <w:szCs w:val="22"/>
        </w:rPr>
      </w:pPr>
    </w:p>
    <w:p w14:paraId="7AE196CA" w14:textId="566389C2" w:rsidR="00D55BDB" w:rsidRPr="009E1586" w:rsidRDefault="00D55BDB" w:rsidP="00AF3FAF">
      <w:pPr>
        <w:pStyle w:val="Heading3"/>
      </w:pPr>
      <w:bookmarkStart w:id="38" w:name="_Toc125376922"/>
      <w:proofErr w:type="spellStart"/>
      <w:r w:rsidRPr="009E1586">
        <w:t>Hopp</w:t>
      </w:r>
      <w:proofErr w:type="spellEnd"/>
      <w:r w:rsidRPr="009E1586">
        <w:t xml:space="preserve"> vs </w:t>
      </w:r>
      <w:proofErr w:type="spellStart"/>
      <w:r w:rsidRPr="009E1586">
        <w:t>Lepp</w:t>
      </w:r>
      <w:proofErr w:type="spellEnd"/>
      <w:r w:rsidRPr="009E1586">
        <w:t>, 1980, Supreme Court of Appeal Alberta:</w:t>
      </w:r>
      <w:bookmarkEnd w:id="38"/>
    </w:p>
    <w:p w14:paraId="3B62BFC4" w14:textId="77777777" w:rsidR="00D55BDB" w:rsidRPr="009E1586" w:rsidRDefault="00000000" w:rsidP="009E1586">
      <w:pPr>
        <w:rPr>
          <w:rFonts w:cstheme="minorHAnsi"/>
          <w:sz w:val="22"/>
          <w:szCs w:val="22"/>
        </w:rPr>
      </w:pPr>
      <w:hyperlink r:id="rId36" w:tgtFrame="_blank" w:history="1">
        <w:r w:rsidR="00D55BDB" w:rsidRPr="009E1586">
          <w:rPr>
            <w:rStyle w:val="Hyperlink"/>
            <w:rFonts w:cstheme="minorHAnsi"/>
            <w:color w:val="auto"/>
            <w:sz w:val="22"/>
            <w:szCs w:val="22"/>
          </w:rPr>
          <w:t>https://scc-csc.lexum.com/scc-csc/scc-csc/en/item/2553/index.do</w:t>
        </w:r>
      </w:hyperlink>
      <w:r w:rsidR="00D55BDB" w:rsidRPr="009E1586">
        <w:rPr>
          <w:rStyle w:val="apple-converted-space"/>
          <w:rFonts w:cstheme="minorHAnsi"/>
          <w:sz w:val="22"/>
          <w:szCs w:val="22"/>
        </w:rPr>
        <w:t> </w:t>
      </w:r>
      <w:r w:rsidR="00D55BDB" w:rsidRPr="009E1586">
        <w:rPr>
          <w:rFonts w:cstheme="minorHAnsi"/>
          <w:sz w:val="22"/>
          <w:szCs w:val="22"/>
        </w:rPr>
        <w:t> </w:t>
      </w:r>
    </w:p>
    <w:p w14:paraId="03AC0FAA" w14:textId="77777777" w:rsidR="00D55BDB" w:rsidRPr="009E1586" w:rsidRDefault="00D55BDB" w:rsidP="009E1586">
      <w:pPr>
        <w:rPr>
          <w:rFonts w:cstheme="minorHAnsi"/>
          <w:sz w:val="22"/>
          <w:szCs w:val="22"/>
        </w:rPr>
      </w:pPr>
    </w:p>
    <w:p w14:paraId="4BC47C32" w14:textId="3D8CBBAB" w:rsidR="00D55BDB" w:rsidRPr="009E1586" w:rsidRDefault="00D55BDB" w:rsidP="009E1586">
      <w:pPr>
        <w:rPr>
          <w:rFonts w:cstheme="minorHAnsi"/>
          <w:sz w:val="22"/>
          <w:szCs w:val="22"/>
        </w:rPr>
      </w:pPr>
      <w:proofErr w:type="gramStart"/>
      <w:r w:rsidRPr="009E1586">
        <w:rPr>
          <w:rFonts w:cstheme="minorHAnsi"/>
          <w:sz w:val="22"/>
          <w:szCs w:val="22"/>
        </w:rPr>
        <w:t xml:space="preserve">Both </w:t>
      </w:r>
      <w:r w:rsidR="00DA37D0" w:rsidRPr="009E1586">
        <w:rPr>
          <w:rFonts w:cstheme="minorHAnsi"/>
          <w:sz w:val="22"/>
          <w:szCs w:val="22"/>
        </w:rPr>
        <w:t>of the above</w:t>
      </w:r>
      <w:proofErr w:type="gramEnd"/>
      <w:r w:rsidR="00DA37D0" w:rsidRPr="009E1586">
        <w:rPr>
          <w:rFonts w:cstheme="minorHAnsi"/>
          <w:sz w:val="22"/>
          <w:szCs w:val="22"/>
        </w:rPr>
        <w:t xml:space="preserve"> case laws </w:t>
      </w:r>
      <w:r w:rsidRPr="009E1586">
        <w:rPr>
          <w:rFonts w:cstheme="minorHAnsi"/>
          <w:sz w:val="22"/>
          <w:szCs w:val="22"/>
        </w:rPr>
        <w:t>concluded that consent must be made freely and information about the risks must be given.</w:t>
      </w:r>
    </w:p>
    <w:p w14:paraId="09EB1C98" w14:textId="23A789EF" w:rsidR="00DA37D0" w:rsidRPr="009E1586" w:rsidRDefault="00DA37D0" w:rsidP="009E1586">
      <w:pPr>
        <w:pStyle w:val="Heading2"/>
        <w:rPr>
          <w:rFonts w:asciiTheme="minorHAnsi" w:hAnsiTheme="minorHAnsi" w:cstheme="minorHAnsi"/>
          <w:sz w:val="22"/>
          <w:szCs w:val="22"/>
        </w:rPr>
      </w:pPr>
      <w:bookmarkStart w:id="39" w:name="_Toc125376923"/>
      <w:r w:rsidRPr="009E1586">
        <w:rPr>
          <w:rFonts w:asciiTheme="minorHAnsi" w:hAnsiTheme="minorHAnsi" w:cstheme="minorHAnsi"/>
          <w:sz w:val="22"/>
          <w:szCs w:val="22"/>
        </w:rPr>
        <w:t xml:space="preserve">If </w:t>
      </w:r>
      <w:r w:rsidR="00F86F28" w:rsidRPr="009E1586">
        <w:rPr>
          <w:rFonts w:asciiTheme="minorHAnsi" w:hAnsiTheme="minorHAnsi" w:cstheme="minorHAnsi"/>
          <w:sz w:val="22"/>
          <w:szCs w:val="22"/>
        </w:rPr>
        <w:t>There is No Consent, the Act is Assault:</w:t>
      </w:r>
      <w:bookmarkEnd w:id="39"/>
    </w:p>
    <w:p w14:paraId="4BDD65A7" w14:textId="37FA001D" w:rsidR="00D55BDB" w:rsidRPr="009E1586" w:rsidRDefault="00D55BDB" w:rsidP="00AF3FAF">
      <w:pPr>
        <w:pStyle w:val="Heading3"/>
      </w:pPr>
      <w:bookmarkStart w:id="40" w:name="_Toc125376924"/>
      <w:r w:rsidRPr="009E1586">
        <w:t xml:space="preserve">R vs </w:t>
      </w:r>
      <w:proofErr w:type="spellStart"/>
      <w:r w:rsidRPr="009E1586">
        <w:t>Ewanchuk</w:t>
      </w:r>
      <w:proofErr w:type="spellEnd"/>
      <w:r w:rsidRPr="009E1586">
        <w:t>, 1999, Court of Appeal Alberta:</w:t>
      </w:r>
      <w:bookmarkEnd w:id="40"/>
    </w:p>
    <w:p w14:paraId="7F56097B" w14:textId="77777777" w:rsidR="00D55BDB" w:rsidRPr="009E1586" w:rsidRDefault="00000000" w:rsidP="009E1586">
      <w:pPr>
        <w:rPr>
          <w:rFonts w:eastAsia="Times New Roman" w:cstheme="minorHAnsi"/>
          <w:sz w:val="22"/>
          <w:szCs w:val="22"/>
        </w:rPr>
      </w:pPr>
      <w:hyperlink r:id="rId37" w:tgtFrame="_blank" w:history="1">
        <w:r w:rsidR="00D55BDB" w:rsidRPr="009E1586">
          <w:rPr>
            <w:rStyle w:val="Hyperlink"/>
            <w:rFonts w:eastAsia="Times New Roman" w:cstheme="minorHAnsi"/>
            <w:color w:val="auto"/>
            <w:sz w:val="22"/>
            <w:szCs w:val="22"/>
          </w:rPr>
          <w:t>https://scc-csc.lexum.com/scc-csc/scc-csc/en/item/1684/index.do</w:t>
        </w:r>
      </w:hyperlink>
    </w:p>
    <w:p w14:paraId="5420343B" w14:textId="77777777" w:rsidR="00D55BDB" w:rsidRPr="009E1586" w:rsidRDefault="00D55BDB" w:rsidP="009E1586">
      <w:pPr>
        <w:rPr>
          <w:rFonts w:cstheme="minorHAnsi"/>
          <w:sz w:val="22"/>
          <w:szCs w:val="22"/>
        </w:rPr>
      </w:pPr>
    </w:p>
    <w:p w14:paraId="04AD4575" w14:textId="46815493" w:rsidR="00C96DD0" w:rsidRPr="009E1586" w:rsidRDefault="00D55BDB" w:rsidP="009E1586">
      <w:pPr>
        <w:rPr>
          <w:rStyle w:val="Strong"/>
          <w:rFonts w:cstheme="minorHAnsi"/>
          <w:b w:val="0"/>
          <w:bCs w:val="0"/>
          <w:sz w:val="22"/>
          <w:szCs w:val="22"/>
        </w:rPr>
      </w:pPr>
      <w:r w:rsidRPr="009E1586">
        <w:rPr>
          <w:rFonts w:cstheme="minorHAnsi"/>
          <w:sz w:val="22"/>
          <w:szCs w:val="22"/>
        </w:rPr>
        <w:t>Where there is a threat of harm or reprisal or pressure from an authority there is no consent and therefore the act is assault.</w:t>
      </w:r>
      <w:r w:rsidRPr="009E1586">
        <w:rPr>
          <w:rStyle w:val="apple-converted-space"/>
          <w:rFonts w:cstheme="minorHAnsi"/>
          <w:sz w:val="22"/>
          <w:szCs w:val="22"/>
        </w:rPr>
        <w:t xml:space="preserve"> Therefore, </w:t>
      </w:r>
      <w:r w:rsidRPr="009E1586">
        <w:rPr>
          <w:rStyle w:val="Strong"/>
          <w:rFonts w:cstheme="minorHAnsi"/>
          <w:b w:val="0"/>
          <w:bCs w:val="0"/>
          <w:sz w:val="22"/>
          <w:szCs w:val="22"/>
        </w:rPr>
        <w:t xml:space="preserve">forced masks, forced </w:t>
      </w:r>
      <w:proofErr w:type="spellStart"/>
      <w:r w:rsidRPr="009E1586">
        <w:rPr>
          <w:rStyle w:val="Strong"/>
          <w:rFonts w:cstheme="minorHAnsi"/>
          <w:b w:val="0"/>
          <w:bCs w:val="0"/>
          <w:sz w:val="22"/>
          <w:szCs w:val="22"/>
        </w:rPr>
        <w:t>vaxx</w:t>
      </w:r>
      <w:proofErr w:type="spellEnd"/>
      <w:r w:rsidRPr="009E1586">
        <w:rPr>
          <w:rStyle w:val="Strong"/>
          <w:rFonts w:cstheme="minorHAnsi"/>
          <w:b w:val="0"/>
          <w:bCs w:val="0"/>
          <w:sz w:val="22"/>
          <w:szCs w:val="22"/>
        </w:rPr>
        <w:t>, quarantine including business lockdown and stay home order is a criminal offence.</w:t>
      </w:r>
    </w:p>
    <w:p w14:paraId="61924D2A" w14:textId="12FFEA79" w:rsidR="00C96DD0" w:rsidRPr="009E1586" w:rsidRDefault="00C96DD0" w:rsidP="009E1586">
      <w:pPr>
        <w:pStyle w:val="Heading1"/>
        <w:rPr>
          <w:rStyle w:val="Strong"/>
          <w:rFonts w:asciiTheme="minorHAnsi" w:hAnsiTheme="minorHAnsi" w:cstheme="minorHAnsi"/>
          <w:sz w:val="22"/>
          <w:szCs w:val="22"/>
          <w:u w:val="single"/>
        </w:rPr>
      </w:pPr>
      <w:bookmarkStart w:id="41" w:name="_Toc125376925"/>
      <w:r w:rsidRPr="009E1586">
        <w:rPr>
          <w:rFonts w:asciiTheme="minorHAnsi" w:hAnsiTheme="minorHAnsi" w:cstheme="minorHAnsi"/>
          <w:sz w:val="22"/>
          <w:szCs w:val="22"/>
        </w:rPr>
        <w:t>PERSONAL/CRIMINAL LIABILITY OF AGENTS OF THE CROWN/MEMBER OF EXECUTIVE BRANCH:</w:t>
      </w:r>
      <w:bookmarkEnd w:id="41"/>
    </w:p>
    <w:p w14:paraId="329F4E4C" w14:textId="2E60FA04" w:rsidR="00DA37D0" w:rsidRPr="009E1586" w:rsidRDefault="00DA37D0" w:rsidP="009E1586">
      <w:pPr>
        <w:pStyle w:val="Heading2"/>
        <w:rPr>
          <w:rFonts w:asciiTheme="minorHAnsi" w:hAnsiTheme="minorHAnsi" w:cstheme="minorHAnsi"/>
          <w:sz w:val="22"/>
          <w:szCs w:val="22"/>
        </w:rPr>
      </w:pPr>
      <w:bookmarkStart w:id="42" w:name="_Toc117975350"/>
      <w:bookmarkStart w:id="43" w:name="_Toc125376926"/>
      <w:r w:rsidRPr="009E1586">
        <w:rPr>
          <w:rFonts w:asciiTheme="minorHAnsi" w:hAnsiTheme="minorHAnsi" w:cstheme="minorHAnsi"/>
          <w:sz w:val="22"/>
          <w:szCs w:val="22"/>
        </w:rPr>
        <w:t xml:space="preserve">Immunity </w:t>
      </w:r>
      <w:r w:rsidR="0017463E" w:rsidRPr="009E1586">
        <w:rPr>
          <w:rFonts w:asciiTheme="minorHAnsi" w:hAnsiTheme="minorHAnsi" w:cstheme="minorHAnsi"/>
          <w:sz w:val="22"/>
          <w:szCs w:val="22"/>
        </w:rPr>
        <w:t>R</w:t>
      </w:r>
      <w:r w:rsidRPr="009E1586">
        <w:rPr>
          <w:rFonts w:asciiTheme="minorHAnsi" w:hAnsiTheme="minorHAnsi" w:cstheme="minorHAnsi"/>
          <w:sz w:val="22"/>
          <w:szCs w:val="22"/>
        </w:rPr>
        <w:t>egarding Crown Agent:</w:t>
      </w:r>
      <w:bookmarkEnd w:id="43"/>
    </w:p>
    <w:p w14:paraId="06F7C60D" w14:textId="4EC33A45" w:rsidR="00C96DD0" w:rsidRPr="009E1586" w:rsidRDefault="00C96DD0" w:rsidP="00AF3FAF">
      <w:pPr>
        <w:pStyle w:val="Heading3"/>
      </w:pPr>
      <w:bookmarkStart w:id="44" w:name="_Toc125376927"/>
      <w:r w:rsidRPr="009E1586">
        <w:t>R. v. Eldorado Nuclear Ltd.; R. v. Uranium Canada Ltd, 1983, Supreme Court of Canada:</w:t>
      </w:r>
      <w:bookmarkEnd w:id="42"/>
      <w:bookmarkEnd w:id="44"/>
    </w:p>
    <w:p w14:paraId="34995857" w14:textId="3A77AD79" w:rsidR="00C96DD0" w:rsidRPr="009E1586" w:rsidRDefault="00000000" w:rsidP="009E1586">
      <w:pPr>
        <w:rPr>
          <w:rFonts w:cstheme="minorHAnsi"/>
          <w:sz w:val="22"/>
          <w:szCs w:val="22"/>
        </w:rPr>
      </w:pPr>
      <w:hyperlink r:id="rId38" w:history="1">
        <w:r w:rsidR="00C96DD0" w:rsidRPr="009E1586">
          <w:rPr>
            <w:rStyle w:val="Hyperlink"/>
            <w:rFonts w:cstheme="minorHAnsi"/>
            <w:sz w:val="22"/>
            <w:szCs w:val="22"/>
          </w:rPr>
          <w:t>https://www.canlii.org/en/ca/scc/doc/1983/1983canlii34/1983canlii34.html</w:t>
        </w:r>
      </w:hyperlink>
    </w:p>
    <w:p w14:paraId="7364EF4D" w14:textId="77777777" w:rsidR="00C96DD0" w:rsidRPr="009E1586" w:rsidRDefault="00C96DD0" w:rsidP="009E1586">
      <w:pPr>
        <w:rPr>
          <w:rFonts w:cstheme="minorHAnsi"/>
          <w:sz w:val="22"/>
          <w:szCs w:val="22"/>
        </w:rPr>
      </w:pPr>
    </w:p>
    <w:p w14:paraId="6A758E0D" w14:textId="77777777" w:rsidR="00C96DD0" w:rsidRPr="009E1586" w:rsidRDefault="00C96DD0" w:rsidP="009E1586">
      <w:pPr>
        <w:rPr>
          <w:rFonts w:cstheme="minorHAnsi"/>
          <w:sz w:val="22"/>
          <w:szCs w:val="22"/>
        </w:rPr>
      </w:pPr>
      <w:bookmarkStart w:id="45" w:name="_Toc117975351"/>
      <w:r w:rsidRPr="009E1586">
        <w:rPr>
          <w:rFonts w:cstheme="minorHAnsi"/>
          <w:sz w:val="22"/>
          <w:szCs w:val="22"/>
        </w:rPr>
        <w:t>When a Crown agent acts outside of Crown purposes, and not on behalf of the state, there is no immunity of the Crown agent:</w:t>
      </w:r>
      <w:bookmarkEnd w:id="45"/>
    </w:p>
    <w:p w14:paraId="3AD784CE" w14:textId="77777777" w:rsidR="00C96DD0" w:rsidRPr="009E1586" w:rsidRDefault="00C96DD0" w:rsidP="009E1586">
      <w:pPr>
        <w:rPr>
          <w:rFonts w:cstheme="minorHAnsi"/>
          <w:sz w:val="22"/>
          <w:szCs w:val="22"/>
        </w:rPr>
      </w:pPr>
    </w:p>
    <w:p w14:paraId="790EA4E1" w14:textId="77777777" w:rsidR="00C96DD0" w:rsidRPr="009E1586" w:rsidRDefault="00C96DD0" w:rsidP="009E1586">
      <w:pPr>
        <w:rPr>
          <w:rFonts w:cstheme="minorHAnsi"/>
          <w:sz w:val="22"/>
          <w:szCs w:val="22"/>
        </w:rPr>
      </w:pPr>
      <w:r w:rsidRPr="009E1586">
        <w:rPr>
          <w:rFonts w:cstheme="minorHAnsi"/>
          <w:i/>
          <w:iCs/>
          <w:sz w:val="22"/>
          <w:szCs w:val="22"/>
        </w:rPr>
        <w:t xml:space="preserve">“The conclusion that a Crown agent is personally responsible for an unlawful act still leaves the question whether an act is unlawful.  Where the unlawfulness or the wrongfulness of the act arises without any recourse to a statute, the Crown’s immunity from a statute, as expressed in s. 16 of the Interpretations Act, is irrelevant.  If, for example, the agent commits a tortious act, it is the common law which characterizes it as unlawful.  There is </w:t>
      </w:r>
      <w:r w:rsidRPr="009E1586">
        <w:rPr>
          <w:rFonts w:cstheme="minorHAnsi"/>
          <w:i/>
          <w:iCs/>
          <w:sz w:val="22"/>
          <w:szCs w:val="22"/>
          <w:u w:val="single"/>
        </w:rPr>
        <w:t>no</w:t>
      </w:r>
      <w:r w:rsidRPr="009E1586">
        <w:rPr>
          <w:rFonts w:cstheme="minorHAnsi"/>
          <w:i/>
          <w:iCs/>
          <w:sz w:val="22"/>
          <w:szCs w:val="22"/>
        </w:rPr>
        <w:t xml:space="preserve"> immunity that the agent can claim.” </w:t>
      </w:r>
    </w:p>
    <w:p w14:paraId="41D847F8" w14:textId="77777777" w:rsidR="00C96DD0" w:rsidRPr="009E1586" w:rsidRDefault="00C96DD0" w:rsidP="009E1586">
      <w:pPr>
        <w:rPr>
          <w:rFonts w:cstheme="minorHAnsi"/>
          <w:sz w:val="22"/>
          <w:szCs w:val="22"/>
        </w:rPr>
      </w:pPr>
    </w:p>
    <w:p w14:paraId="214DD53B" w14:textId="77777777" w:rsidR="00C96DD0" w:rsidRPr="009E1586" w:rsidRDefault="00C96DD0" w:rsidP="009E1586">
      <w:pPr>
        <w:rPr>
          <w:rFonts w:cstheme="minorHAnsi"/>
          <w:sz w:val="22"/>
          <w:szCs w:val="22"/>
        </w:rPr>
      </w:pPr>
      <w:r w:rsidRPr="009E1586">
        <w:rPr>
          <w:rFonts w:cstheme="minorHAnsi"/>
          <w:i/>
          <w:iCs/>
          <w:sz w:val="22"/>
          <w:szCs w:val="22"/>
        </w:rPr>
        <w:t>“Where the only source of unlawfulness is a statute, however, the analysis is entirely different…the preliminary question…is whether that person is bound by that statute…”</w:t>
      </w:r>
    </w:p>
    <w:p w14:paraId="41F9EDA2" w14:textId="77777777" w:rsidR="00C96DD0" w:rsidRPr="009E1586" w:rsidRDefault="00C96DD0" w:rsidP="009E1586">
      <w:pPr>
        <w:rPr>
          <w:rFonts w:cstheme="minorHAnsi"/>
          <w:sz w:val="22"/>
          <w:szCs w:val="22"/>
        </w:rPr>
      </w:pPr>
    </w:p>
    <w:p w14:paraId="2C1E3858" w14:textId="77777777" w:rsidR="00C96DD0" w:rsidRPr="009E1586" w:rsidRDefault="00C96DD0" w:rsidP="009E1586">
      <w:pPr>
        <w:rPr>
          <w:rFonts w:cstheme="minorHAnsi"/>
          <w:sz w:val="22"/>
          <w:szCs w:val="22"/>
        </w:rPr>
      </w:pPr>
      <w:r w:rsidRPr="009E1586">
        <w:rPr>
          <w:rFonts w:cstheme="minorHAnsi"/>
          <w:i/>
          <w:iCs/>
          <w:sz w:val="22"/>
          <w:szCs w:val="22"/>
        </w:rPr>
        <w:lastRenderedPageBreak/>
        <w:t>“</w:t>
      </w:r>
      <w:r w:rsidRPr="009E1586">
        <w:rPr>
          <w:rFonts w:cstheme="minorHAnsi"/>
          <w:i/>
          <w:iCs/>
          <w:sz w:val="22"/>
          <w:szCs w:val="22"/>
          <w:u w:val="single"/>
        </w:rPr>
        <w:t>When the agent steps outside the ambit of Crown purposes, however, it acts personally</w:t>
      </w:r>
      <w:r w:rsidRPr="009E1586">
        <w:rPr>
          <w:rFonts w:cstheme="minorHAnsi"/>
          <w:i/>
          <w:iCs/>
          <w:sz w:val="22"/>
          <w:szCs w:val="22"/>
        </w:rPr>
        <w:t xml:space="preserve">, and not on behalf of the state, and </w:t>
      </w:r>
      <w:r w:rsidRPr="009E1586">
        <w:rPr>
          <w:rFonts w:cstheme="minorHAnsi"/>
          <w:i/>
          <w:iCs/>
          <w:sz w:val="22"/>
          <w:szCs w:val="22"/>
          <w:u w:val="single"/>
        </w:rPr>
        <w:t>cannot claim to be immune</w:t>
      </w:r>
      <w:r w:rsidRPr="009E1586">
        <w:rPr>
          <w:rFonts w:cstheme="minorHAnsi"/>
          <w:i/>
          <w:iCs/>
          <w:sz w:val="22"/>
          <w:szCs w:val="22"/>
        </w:rPr>
        <w:t xml:space="preserve"> as an agent of the Crown.  This follows from the fact that s.16 of the Interpretations Act works for the benefit of the state, not for the benefit of the agent personally.” </w:t>
      </w:r>
    </w:p>
    <w:p w14:paraId="1E644F4E" w14:textId="77777777" w:rsidR="00C96DD0" w:rsidRPr="009E1586" w:rsidRDefault="00C96DD0" w:rsidP="009E1586">
      <w:pPr>
        <w:rPr>
          <w:rFonts w:cstheme="minorHAnsi"/>
          <w:sz w:val="22"/>
          <w:szCs w:val="22"/>
        </w:rPr>
      </w:pPr>
    </w:p>
    <w:p w14:paraId="094313D1" w14:textId="77777777" w:rsidR="00C96DD0" w:rsidRPr="009E1586" w:rsidRDefault="00C96DD0" w:rsidP="009E1586">
      <w:pPr>
        <w:rPr>
          <w:rFonts w:cstheme="minorHAnsi"/>
          <w:sz w:val="22"/>
          <w:szCs w:val="22"/>
        </w:rPr>
      </w:pPr>
      <w:r w:rsidRPr="009E1586">
        <w:rPr>
          <w:rFonts w:cstheme="minorHAnsi"/>
          <w:i/>
          <w:iCs/>
          <w:sz w:val="22"/>
          <w:szCs w:val="22"/>
        </w:rPr>
        <w:t xml:space="preserve">The Court adopted this approach in the CBC v. The Queen 1983 </w:t>
      </w:r>
      <w:r w:rsidRPr="009E1586">
        <w:rPr>
          <w:rFonts w:cstheme="minorHAnsi"/>
          <w:i/>
          <w:iCs/>
          <w:sz w:val="22"/>
          <w:szCs w:val="22"/>
        </w:rPr>
        <w:br/>
        <w:t>“For all purposes of this Act…” the corporation “was not acting for the purposes entrusted to it under the Act… when the Corporation exercises its powers with a view to carrying out the purposes …it acts as agent of Her Majesty and only as agent of Her Majesty.  But, when it exercises its powers in a manner inconsistent with the purposes of the Act, it steps outside its agency role.  </w:t>
      </w:r>
    </w:p>
    <w:p w14:paraId="6D5C0068" w14:textId="77777777" w:rsidR="00C96DD0" w:rsidRPr="009E1586" w:rsidRDefault="00C96DD0" w:rsidP="009E1586">
      <w:pPr>
        <w:rPr>
          <w:rFonts w:cstheme="minorHAnsi"/>
          <w:sz w:val="22"/>
          <w:szCs w:val="22"/>
        </w:rPr>
      </w:pPr>
      <w:r w:rsidRPr="009E1586">
        <w:rPr>
          <w:rFonts w:cstheme="minorHAnsi"/>
          <w:i/>
          <w:iCs/>
          <w:sz w:val="22"/>
          <w:szCs w:val="22"/>
        </w:rPr>
        <w:t>“The position at common law is not that those under de jure control are entitled to Crown immunity, but rather that immunity extends to those acting on behalf of the Crown.”</w:t>
      </w:r>
    </w:p>
    <w:p w14:paraId="7D887A8E" w14:textId="77777777" w:rsidR="00C96DD0" w:rsidRPr="009E1586" w:rsidRDefault="00C96DD0" w:rsidP="009E1586">
      <w:pPr>
        <w:rPr>
          <w:rFonts w:cstheme="minorHAnsi"/>
          <w:sz w:val="22"/>
          <w:szCs w:val="22"/>
        </w:rPr>
      </w:pPr>
    </w:p>
    <w:p w14:paraId="77D2A5A0" w14:textId="77777777" w:rsidR="00C96DD0" w:rsidRPr="009E1586" w:rsidRDefault="00C96DD0" w:rsidP="009E1586">
      <w:pPr>
        <w:rPr>
          <w:rFonts w:cstheme="minorHAnsi"/>
          <w:sz w:val="22"/>
          <w:szCs w:val="22"/>
        </w:rPr>
      </w:pPr>
      <w:r w:rsidRPr="009E1586">
        <w:rPr>
          <w:rFonts w:cstheme="minorHAnsi"/>
          <w:i/>
          <w:iCs/>
          <w:sz w:val="22"/>
          <w:szCs w:val="22"/>
        </w:rPr>
        <w:t xml:space="preserve">“This Court’s decision in </w:t>
      </w:r>
      <w:proofErr w:type="spellStart"/>
      <w:r w:rsidRPr="009E1586">
        <w:rPr>
          <w:rFonts w:cstheme="minorHAnsi"/>
          <w:i/>
          <w:iCs/>
          <w:sz w:val="22"/>
          <w:szCs w:val="22"/>
        </w:rPr>
        <w:t>Formea</w:t>
      </w:r>
      <w:proofErr w:type="spellEnd"/>
      <w:r w:rsidRPr="009E1586">
        <w:rPr>
          <w:rFonts w:cstheme="minorHAnsi"/>
          <w:i/>
          <w:iCs/>
          <w:sz w:val="22"/>
          <w:szCs w:val="22"/>
        </w:rPr>
        <w:t xml:space="preserve"> Chemicals Ltd. v. Polymer Corporation Ltd., supra, is also instructive. The case concerned s. 19 of the Patent Act, R.S.C. 1952, c. 203….</w:t>
      </w:r>
    </w:p>
    <w:p w14:paraId="24E7A926" w14:textId="62078155" w:rsidR="00C96DD0" w:rsidRPr="009E1586" w:rsidRDefault="00C96DD0" w:rsidP="009E1586">
      <w:pPr>
        <w:rPr>
          <w:rFonts w:cstheme="minorHAnsi"/>
          <w:sz w:val="22"/>
          <w:szCs w:val="22"/>
        </w:rPr>
      </w:pPr>
      <w:proofErr w:type="spellStart"/>
      <w:r w:rsidRPr="009E1586">
        <w:rPr>
          <w:rFonts w:cstheme="minorHAnsi"/>
          <w:i/>
          <w:iCs/>
          <w:sz w:val="22"/>
          <w:szCs w:val="22"/>
        </w:rPr>
        <w:t>Martland</w:t>
      </w:r>
      <w:proofErr w:type="spellEnd"/>
      <w:r w:rsidRPr="009E1586">
        <w:rPr>
          <w:rFonts w:cstheme="minorHAnsi"/>
          <w:i/>
          <w:iCs/>
          <w:sz w:val="22"/>
          <w:szCs w:val="22"/>
        </w:rPr>
        <w:t xml:space="preserve"> J., speaking for the Court, equated “Government of Canada” with the Crown. </w:t>
      </w:r>
    </w:p>
    <w:p w14:paraId="0FD10F7E" w14:textId="0DE3E252" w:rsidR="00DA37D0" w:rsidRPr="009E1586" w:rsidRDefault="00DA37D0" w:rsidP="009E1586">
      <w:pPr>
        <w:pStyle w:val="Heading2"/>
        <w:rPr>
          <w:rFonts w:asciiTheme="minorHAnsi" w:hAnsiTheme="minorHAnsi" w:cstheme="minorHAnsi"/>
          <w:sz w:val="22"/>
          <w:szCs w:val="22"/>
        </w:rPr>
      </w:pPr>
      <w:bookmarkStart w:id="46" w:name="_Toc125376928"/>
      <w:r w:rsidRPr="009E1586">
        <w:rPr>
          <w:rFonts w:asciiTheme="minorHAnsi" w:hAnsiTheme="minorHAnsi" w:cstheme="minorHAnsi"/>
          <w:sz w:val="22"/>
          <w:szCs w:val="22"/>
        </w:rPr>
        <w:t xml:space="preserve">Member </w:t>
      </w:r>
      <w:r w:rsidR="00F86F28" w:rsidRPr="009E1586">
        <w:rPr>
          <w:rFonts w:asciiTheme="minorHAnsi" w:hAnsiTheme="minorHAnsi" w:cstheme="minorHAnsi"/>
          <w:sz w:val="22"/>
          <w:szCs w:val="22"/>
        </w:rPr>
        <w:t>of Executive Branch Liable for Punishment for Acting in Excess of Their Lawful Authority:</w:t>
      </w:r>
      <w:bookmarkEnd w:id="46"/>
    </w:p>
    <w:p w14:paraId="4A330467" w14:textId="731010AB" w:rsidR="00C96DD0" w:rsidRPr="009E1586" w:rsidRDefault="00C96DD0" w:rsidP="00AF3FAF">
      <w:pPr>
        <w:pStyle w:val="Heading3"/>
      </w:pPr>
      <w:bookmarkStart w:id="47" w:name="_Toc125376929"/>
      <w:proofErr w:type="spellStart"/>
      <w:r w:rsidRPr="009E1586">
        <w:t>Roncarelli</w:t>
      </w:r>
      <w:proofErr w:type="spellEnd"/>
      <w:r w:rsidRPr="009E1586">
        <w:t xml:space="preserve"> v. Duplessis, 1959, Supreme Court of Canada:</w:t>
      </w:r>
      <w:bookmarkEnd w:id="47"/>
    </w:p>
    <w:p w14:paraId="12267CC5" w14:textId="50FC1DCD" w:rsidR="00C96DD0" w:rsidRPr="009E1586" w:rsidRDefault="00000000" w:rsidP="009E1586">
      <w:pPr>
        <w:rPr>
          <w:rFonts w:cstheme="minorHAnsi"/>
          <w:sz w:val="22"/>
          <w:szCs w:val="22"/>
        </w:rPr>
      </w:pPr>
      <w:hyperlink r:id="rId39" w:history="1">
        <w:r w:rsidR="00C96DD0" w:rsidRPr="009E1586">
          <w:rPr>
            <w:rStyle w:val="Hyperlink"/>
            <w:rFonts w:cstheme="minorHAnsi"/>
            <w:sz w:val="22"/>
            <w:szCs w:val="22"/>
          </w:rPr>
          <w:t>https://scc-csc.lexum.com/scc-csc/scc-csc/en/item/2751/index.do</w:t>
        </w:r>
      </w:hyperlink>
    </w:p>
    <w:p w14:paraId="7E9B1FCC" w14:textId="77777777" w:rsidR="00C96DD0" w:rsidRPr="009E1586" w:rsidRDefault="00C96DD0" w:rsidP="009E1586">
      <w:pPr>
        <w:rPr>
          <w:rFonts w:cstheme="minorHAnsi"/>
          <w:sz w:val="22"/>
          <w:szCs w:val="22"/>
        </w:rPr>
      </w:pPr>
    </w:p>
    <w:p w14:paraId="201FDFA7" w14:textId="77777777" w:rsidR="00C96DD0" w:rsidRPr="009E1586" w:rsidRDefault="00C96DD0" w:rsidP="009E1586">
      <w:pPr>
        <w:rPr>
          <w:rFonts w:cstheme="minorHAnsi"/>
          <w:sz w:val="22"/>
          <w:szCs w:val="22"/>
        </w:rPr>
      </w:pPr>
      <w:r w:rsidRPr="009E1586">
        <w:rPr>
          <w:rFonts w:cstheme="minorHAnsi"/>
          <w:i/>
          <w:iCs/>
          <w:color w:val="1B1B1B"/>
          <w:sz w:val="22"/>
          <w:szCs w:val="22"/>
        </w:rPr>
        <w:t xml:space="preserve">The proposition that in Canada a member of the executive branch of government does not make the law but merely carries it out or administers it requires no citation of authority to support it. Similarly, I do not find it necessary to cite from the wealth of authority supporting the principle that a public officer is responsible for acts done by him without legal justification. I content myself with quoting the well-known passage from </w:t>
      </w:r>
      <w:proofErr w:type="spellStart"/>
      <w:r w:rsidRPr="009E1586">
        <w:rPr>
          <w:rFonts w:cstheme="minorHAnsi"/>
          <w:i/>
          <w:iCs/>
          <w:color w:val="1B1B1B"/>
          <w:sz w:val="22"/>
          <w:szCs w:val="22"/>
        </w:rPr>
        <w:t>Dicey's</w:t>
      </w:r>
      <w:proofErr w:type="spellEnd"/>
      <w:r w:rsidRPr="009E1586">
        <w:rPr>
          <w:rFonts w:cstheme="minorHAnsi"/>
          <w:i/>
          <w:iCs/>
          <w:color w:val="1B1B1B"/>
          <w:sz w:val="22"/>
          <w:szCs w:val="22"/>
        </w:rPr>
        <w:t xml:space="preserve"> "Law of the Constitution", 9th ed., p. 193, where he says</w:t>
      </w:r>
    </w:p>
    <w:p w14:paraId="01D3DDF7" w14:textId="77777777" w:rsidR="00C96DD0" w:rsidRPr="009E1586" w:rsidRDefault="00C96DD0" w:rsidP="009E1586">
      <w:pPr>
        <w:rPr>
          <w:rFonts w:cstheme="minorHAnsi"/>
          <w:sz w:val="22"/>
          <w:szCs w:val="22"/>
        </w:rPr>
      </w:pPr>
    </w:p>
    <w:p w14:paraId="1BCC8C0A" w14:textId="7CD3576E" w:rsidR="00C96DD0" w:rsidRPr="009E1586" w:rsidRDefault="00C96DD0" w:rsidP="009E1586">
      <w:pPr>
        <w:rPr>
          <w:rFonts w:cstheme="minorHAnsi"/>
          <w:sz w:val="22"/>
          <w:szCs w:val="22"/>
        </w:rPr>
      </w:pPr>
      <w:r w:rsidRPr="009E1586">
        <w:rPr>
          <w:rFonts w:cstheme="minorHAnsi"/>
          <w:i/>
          <w:iCs/>
          <w:color w:val="1B1B1B"/>
          <w:sz w:val="22"/>
          <w:szCs w:val="22"/>
        </w:rPr>
        <w:t xml:space="preserve">... every official, from the Prime Minister down to a constable or a collector of taxes, is under the same responsibility for every act done without legal justification as any other citizen. The Reports abound with cases in which officials have been brought before the courts, and made, in their personal capacity, liable to punishment, or to the payment of damages, for acts done in their official character but </w:t>
      </w:r>
      <w:proofErr w:type="gramStart"/>
      <w:r w:rsidRPr="009E1586">
        <w:rPr>
          <w:rFonts w:cstheme="minorHAnsi"/>
          <w:i/>
          <w:iCs/>
          <w:color w:val="1B1B1B"/>
          <w:sz w:val="22"/>
          <w:szCs w:val="22"/>
        </w:rPr>
        <w:t>in excess of</w:t>
      </w:r>
      <w:proofErr w:type="gramEnd"/>
      <w:r w:rsidRPr="009E1586">
        <w:rPr>
          <w:rFonts w:cstheme="minorHAnsi"/>
          <w:i/>
          <w:iCs/>
          <w:color w:val="1B1B1B"/>
          <w:sz w:val="22"/>
          <w:szCs w:val="22"/>
        </w:rPr>
        <w:t xml:space="preserve"> their lawful authority. A colonial governor, a secretary of state, a military officer, and all subordinates, though carrying out the commands of their official superiors, are as responsible for any act which the law does not authorize as is any private and unofficial person.</w:t>
      </w:r>
    </w:p>
    <w:p w14:paraId="7BDE738B" w14:textId="7BF1AFD0" w:rsidR="000806CE" w:rsidRPr="009E1586" w:rsidRDefault="000806CE" w:rsidP="009E1586">
      <w:pPr>
        <w:pStyle w:val="Heading2"/>
        <w:rPr>
          <w:rFonts w:asciiTheme="minorHAnsi" w:hAnsiTheme="minorHAnsi" w:cstheme="minorHAnsi"/>
          <w:sz w:val="22"/>
          <w:szCs w:val="22"/>
        </w:rPr>
      </w:pPr>
      <w:bookmarkStart w:id="48" w:name="_Toc125376930"/>
      <w:r w:rsidRPr="009E1586">
        <w:rPr>
          <w:rFonts w:asciiTheme="minorHAnsi" w:hAnsiTheme="minorHAnsi" w:cstheme="minorHAnsi"/>
          <w:sz w:val="22"/>
          <w:szCs w:val="22"/>
        </w:rPr>
        <w:t>Peace officer civil liability:</w:t>
      </w:r>
      <w:bookmarkEnd w:id="48"/>
    </w:p>
    <w:p w14:paraId="10EF766D" w14:textId="590DA777" w:rsidR="00C96DD0" w:rsidRPr="009E1586" w:rsidRDefault="00C96DD0" w:rsidP="00AF3FAF">
      <w:pPr>
        <w:pStyle w:val="Heading3"/>
      </w:pPr>
      <w:bookmarkStart w:id="49" w:name="_Toc125376931"/>
      <w:r w:rsidRPr="009E1586">
        <w:t>Hudson v. Brantford Police Services, 2001, Court of Appeal Ontario:</w:t>
      </w:r>
      <w:bookmarkEnd w:id="49"/>
    </w:p>
    <w:p w14:paraId="1584B909" w14:textId="4FEB2D60" w:rsidR="00C96DD0" w:rsidRPr="009E1586" w:rsidRDefault="00000000" w:rsidP="009E1586">
      <w:pPr>
        <w:rPr>
          <w:rFonts w:cstheme="minorHAnsi"/>
          <w:color w:val="1B1B1B"/>
          <w:sz w:val="22"/>
          <w:szCs w:val="22"/>
        </w:rPr>
      </w:pPr>
      <w:hyperlink r:id="rId40" w:history="1">
        <w:r w:rsidR="00C96DD0" w:rsidRPr="009E1586">
          <w:rPr>
            <w:rStyle w:val="Hyperlink"/>
            <w:rFonts w:cstheme="minorHAnsi"/>
            <w:sz w:val="22"/>
            <w:szCs w:val="22"/>
          </w:rPr>
          <w:t>https://www.canlii.org/en/on/onca/doc/2001/2001canlii8594/2001canlii8594.html?searchUrlHash=AAAAAQAfUzI1ICgxKSBDcmltaW5hbCBDb2RlIG9mIENhbmFkYQAAAAAB&amp;resultIndex=1</w:t>
        </w:r>
      </w:hyperlink>
    </w:p>
    <w:p w14:paraId="52FC4088" w14:textId="77777777" w:rsidR="00C96DD0" w:rsidRPr="009E1586" w:rsidRDefault="00C96DD0" w:rsidP="009E1586">
      <w:pPr>
        <w:rPr>
          <w:rFonts w:cstheme="minorHAnsi"/>
          <w:b/>
          <w:bCs/>
          <w:color w:val="1B1B1B"/>
          <w:sz w:val="22"/>
          <w:szCs w:val="22"/>
        </w:rPr>
      </w:pPr>
    </w:p>
    <w:p w14:paraId="5817CEE1" w14:textId="6E118AEA" w:rsidR="00C96DD0" w:rsidRPr="009E1586" w:rsidRDefault="00C96DD0" w:rsidP="009E1586">
      <w:pPr>
        <w:rPr>
          <w:rFonts w:eastAsia="Times New Roman" w:cstheme="minorHAnsi"/>
          <w:sz w:val="22"/>
          <w:szCs w:val="22"/>
        </w:rPr>
      </w:pPr>
      <w:r w:rsidRPr="009E1586">
        <w:rPr>
          <w:rFonts w:eastAsia="Times New Roman" w:cstheme="minorHAnsi"/>
          <w:sz w:val="22"/>
          <w:szCs w:val="22"/>
        </w:rPr>
        <w:t>S. 25(1) of the Criminal Code of Canada, which provides that a peace officer who is authorized by law to do something in the enforcement of the law is justified in doing what he or she is authorized to do if the officer “acts on reasonable grounds”. In effect, s. 25(1) protects the officer from civil liability for reasonable mistakes of fact and authorizes the use of force. It does not protect against reasonable mistakes of law, such as mistake as to the authority to commit a trespass to effect an arrest.</w:t>
      </w:r>
    </w:p>
    <w:p w14:paraId="1892AAC2" w14:textId="77777777" w:rsidR="00C96DD0" w:rsidRPr="009E1586" w:rsidRDefault="00C96DD0" w:rsidP="009E1586">
      <w:pPr>
        <w:rPr>
          <w:rFonts w:cstheme="minorHAnsi"/>
          <w:b/>
          <w:bCs/>
          <w:color w:val="1B1B1B"/>
          <w:sz w:val="22"/>
          <w:szCs w:val="22"/>
        </w:rPr>
      </w:pPr>
    </w:p>
    <w:p w14:paraId="11252524" w14:textId="36C75849" w:rsidR="00C96DD0" w:rsidRPr="009E1586" w:rsidRDefault="00C96DD0" w:rsidP="00AF3FAF">
      <w:pPr>
        <w:pStyle w:val="Heading3"/>
      </w:pPr>
      <w:bookmarkStart w:id="50" w:name="_Toc125376932"/>
      <w:r w:rsidRPr="009E1586">
        <w:t>English Bill of Rights, Dispensing of Power:</w:t>
      </w:r>
      <w:bookmarkEnd w:id="50"/>
    </w:p>
    <w:p w14:paraId="65725B5D" w14:textId="463BF0E7" w:rsidR="00C96DD0" w:rsidRPr="009E1586" w:rsidRDefault="00000000" w:rsidP="009E1586">
      <w:pPr>
        <w:rPr>
          <w:rFonts w:cstheme="minorHAnsi"/>
          <w:sz w:val="22"/>
          <w:szCs w:val="22"/>
        </w:rPr>
      </w:pPr>
      <w:hyperlink r:id="rId41" w:history="1">
        <w:r w:rsidR="00C96DD0" w:rsidRPr="009E1586">
          <w:rPr>
            <w:rStyle w:val="Hyperlink"/>
            <w:rFonts w:cstheme="minorHAnsi"/>
            <w:sz w:val="22"/>
            <w:szCs w:val="22"/>
          </w:rPr>
          <w:t>https://www.legislation.gov.uk/aep/WillandMarSess2/1/2/introduction</w:t>
        </w:r>
      </w:hyperlink>
    </w:p>
    <w:p w14:paraId="590E90D2" w14:textId="77777777" w:rsidR="00C96DD0" w:rsidRPr="009E1586" w:rsidRDefault="00C96DD0" w:rsidP="009E1586">
      <w:pPr>
        <w:rPr>
          <w:rFonts w:cstheme="minorHAnsi"/>
          <w:sz w:val="22"/>
          <w:szCs w:val="22"/>
        </w:rPr>
      </w:pPr>
    </w:p>
    <w:p w14:paraId="1ED6B1B7" w14:textId="77777777" w:rsidR="00C96DD0" w:rsidRPr="009E1586" w:rsidRDefault="00C96DD0" w:rsidP="009E1586">
      <w:pPr>
        <w:rPr>
          <w:rFonts w:cstheme="minorHAnsi"/>
          <w:sz w:val="22"/>
          <w:szCs w:val="22"/>
        </w:rPr>
      </w:pPr>
      <w:r w:rsidRPr="009E1586">
        <w:rPr>
          <w:rFonts w:cstheme="minorHAnsi"/>
          <w:i/>
          <w:iCs/>
          <w:color w:val="1B1B1B"/>
          <w:sz w:val="22"/>
          <w:szCs w:val="22"/>
        </w:rPr>
        <w:t>Dispensing Power.</w:t>
      </w:r>
    </w:p>
    <w:p w14:paraId="02FF91C1" w14:textId="4ED51CB2" w:rsidR="00024664" w:rsidRPr="009E1586" w:rsidRDefault="00C96DD0" w:rsidP="009E1586">
      <w:pPr>
        <w:rPr>
          <w:rFonts w:cstheme="minorHAnsi"/>
          <w:i/>
          <w:iCs/>
          <w:color w:val="1B1B1B"/>
          <w:sz w:val="22"/>
          <w:szCs w:val="22"/>
        </w:rPr>
      </w:pPr>
      <w:r w:rsidRPr="009E1586">
        <w:rPr>
          <w:rFonts w:cstheme="minorHAnsi"/>
          <w:i/>
          <w:iCs/>
          <w:color w:val="1B1B1B"/>
          <w:sz w:val="22"/>
          <w:szCs w:val="22"/>
        </w:rPr>
        <w:lastRenderedPageBreak/>
        <w:t xml:space="preserve">That the pretended Power of Suspending of Laws or the Execution of Laws by </w:t>
      </w:r>
      <w:proofErr w:type="spellStart"/>
      <w:r w:rsidRPr="009E1586">
        <w:rPr>
          <w:rFonts w:cstheme="minorHAnsi"/>
          <w:i/>
          <w:iCs/>
          <w:color w:val="1B1B1B"/>
          <w:sz w:val="22"/>
          <w:szCs w:val="22"/>
        </w:rPr>
        <w:t>Regall</w:t>
      </w:r>
      <w:proofErr w:type="spellEnd"/>
      <w:r w:rsidRPr="009E1586">
        <w:rPr>
          <w:rFonts w:cstheme="minorHAnsi"/>
          <w:i/>
          <w:iCs/>
          <w:color w:val="1B1B1B"/>
          <w:sz w:val="22"/>
          <w:szCs w:val="22"/>
        </w:rPr>
        <w:t xml:space="preserve"> Authority without Consent of </w:t>
      </w:r>
      <w:proofErr w:type="spellStart"/>
      <w:r w:rsidRPr="009E1586">
        <w:rPr>
          <w:rFonts w:cstheme="minorHAnsi"/>
          <w:i/>
          <w:iCs/>
          <w:color w:val="1B1B1B"/>
          <w:sz w:val="22"/>
          <w:szCs w:val="22"/>
        </w:rPr>
        <w:t>Parlyament</w:t>
      </w:r>
      <w:proofErr w:type="spellEnd"/>
      <w:r w:rsidRPr="009E1586">
        <w:rPr>
          <w:rFonts w:cstheme="minorHAnsi"/>
          <w:i/>
          <w:iCs/>
          <w:color w:val="1B1B1B"/>
          <w:sz w:val="22"/>
          <w:szCs w:val="22"/>
        </w:rPr>
        <w:t xml:space="preserve"> is </w:t>
      </w:r>
      <w:proofErr w:type="spellStart"/>
      <w:r w:rsidRPr="009E1586">
        <w:rPr>
          <w:rFonts w:cstheme="minorHAnsi"/>
          <w:i/>
          <w:iCs/>
          <w:color w:val="1B1B1B"/>
          <w:sz w:val="22"/>
          <w:szCs w:val="22"/>
        </w:rPr>
        <w:t>illegall</w:t>
      </w:r>
      <w:proofErr w:type="spellEnd"/>
      <w:r w:rsidRPr="009E1586">
        <w:rPr>
          <w:rFonts w:cstheme="minorHAnsi"/>
          <w:i/>
          <w:iCs/>
          <w:color w:val="1B1B1B"/>
          <w:sz w:val="22"/>
          <w:szCs w:val="22"/>
        </w:rPr>
        <w:t>.</w:t>
      </w:r>
    </w:p>
    <w:p w14:paraId="1B1CBD4D" w14:textId="735B8C81" w:rsidR="00024664" w:rsidRPr="009E1586" w:rsidRDefault="00024664" w:rsidP="009E1586">
      <w:pPr>
        <w:pStyle w:val="Heading1"/>
        <w:rPr>
          <w:rFonts w:asciiTheme="minorHAnsi" w:hAnsiTheme="minorHAnsi" w:cstheme="minorHAnsi"/>
          <w:sz w:val="22"/>
          <w:szCs w:val="22"/>
        </w:rPr>
      </w:pPr>
      <w:bookmarkStart w:id="51" w:name="_Toc125376933"/>
      <w:r w:rsidRPr="009E1586">
        <w:rPr>
          <w:rFonts w:asciiTheme="minorHAnsi" w:hAnsiTheme="minorHAnsi" w:cstheme="minorHAnsi"/>
          <w:sz w:val="22"/>
          <w:szCs w:val="22"/>
        </w:rPr>
        <w:t>PROCEDURAL CASE LAW:</w:t>
      </w:r>
      <w:bookmarkEnd w:id="51"/>
    </w:p>
    <w:p w14:paraId="4651362B" w14:textId="2526C1F2" w:rsidR="00DA37D0" w:rsidRPr="009E1586" w:rsidRDefault="000806CE" w:rsidP="009E1586">
      <w:pPr>
        <w:pStyle w:val="Heading2"/>
        <w:rPr>
          <w:rFonts w:asciiTheme="minorHAnsi" w:hAnsiTheme="minorHAnsi" w:cstheme="minorHAnsi"/>
          <w:sz w:val="22"/>
          <w:szCs w:val="22"/>
        </w:rPr>
      </w:pPr>
      <w:bookmarkStart w:id="52" w:name="_Toc125376934"/>
      <w:r w:rsidRPr="009E1586">
        <w:rPr>
          <w:rFonts w:asciiTheme="minorHAnsi" w:hAnsiTheme="minorHAnsi" w:cstheme="minorHAnsi"/>
          <w:sz w:val="22"/>
          <w:szCs w:val="22"/>
        </w:rPr>
        <w:t>Police Cannot Escalate Bylaw to Criminal Charges:</w:t>
      </w:r>
      <w:bookmarkEnd w:id="52"/>
    </w:p>
    <w:p w14:paraId="217CC772" w14:textId="77777777" w:rsidR="000806CE" w:rsidRPr="009E1586" w:rsidRDefault="00DA37D0" w:rsidP="00AF3FAF">
      <w:pPr>
        <w:pStyle w:val="Heading3"/>
      </w:pPr>
      <w:bookmarkStart w:id="53" w:name="_Toc125376935"/>
      <w:r w:rsidRPr="009E1586">
        <w:t>R v Sharma</w:t>
      </w:r>
      <w:r w:rsidR="000806CE" w:rsidRPr="009E1586">
        <w:t>, SCC 1993:</w:t>
      </w:r>
      <w:bookmarkEnd w:id="53"/>
    </w:p>
    <w:p w14:paraId="6B723DBB" w14:textId="3F770177" w:rsidR="00DA37D0" w:rsidRPr="009E1586" w:rsidRDefault="00000000" w:rsidP="009E1586">
      <w:pPr>
        <w:pStyle w:val="NormalWeb"/>
        <w:shd w:val="clear" w:color="auto" w:fill="FFFFFF"/>
        <w:spacing w:before="0" w:beforeAutospacing="0" w:afterAutospacing="0"/>
        <w:ind w:right="720"/>
        <w:rPr>
          <w:rFonts w:asciiTheme="minorHAnsi" w:hAnsiTheme="minorHAnsi" w:cstheme="minorHAnsi"/>
          <w:color w:val="000000"/>
          <w:sz w:val="22"/>
          <w:szCs w:val="22"/>
        </w:rPr>
      </w:pPr>
      <w:hyperlink r:id="rId42" w:history="1">
        <w:r w:rsidR="000806CE" w:rsidRPr="009E1586">
          <w:rPr>
            <w:rStyle w:val="Hyperlink"/>
            <w:rFonts w:asciiTheme="minorHAnsi" w:hAnsiTheme="minorHAnsi" w:cstheme="minorHAnsi"/>
            <w:sz w:val="22"/>
            <w:szCs w:val="22"/>
          </w:rPr>
          <w:t>https://scc-csc.lexum.com/scc-csc/scc-csc/en/item/970/index.do</w:t>
        </w:r>
      </w:hyperlink>
      <w:r w:rsidR="000806CE" w:rsidRPr="009E1586">
        <w:rPr>
          <w:rFonts w:asciiTheme="minorHAnsi" w:hAnsiTheme="minorHAnsi" w:cstheme="minorHAnsi"/>
          <w:color w:val="000000"/>
          <w:sz w:val="22"/>
          <w:szCs w:val="22"/>
        </w:rPr>
        <w:t>:</w:t>
      </w:r>
    </w:p>
    <w:p w14:paraId="000F9A37" w14:textId="77777777" w:rsidR="000806CE" w:rsidRPr="009E1586" w:rsidRDefault="000806CE" w:rsidP="009E1586">
      <w:pPr>
        <w:rPr>
          <w:rFonts w:eastAsia="Times New Roman" w:cstheme="minorHAnsi"/>
          <w:sz w:val="22"/>
          <w:szCs w:val="22"/>
        </w:rPr>
      </w:pPr>
      <w:r w:rsidRPr="009E1586">
        <w:rPr>
          <w:rFonts w:eastAsia="Times New Roman" w:cstheme="minorHAnsi"/>
          <w:sz w:val="22"/>
          <w:szCs w:val="22"/>
        </w:rPr>
        <w:t xml:space="preserve">The power of arrest...has to be exercised promptly, </w:t>
      </w:r>
      <w:proofErr w:type="gramStart"/>
      <w:r w:rsidRPr="009E1586">
        <w:rPr>
          <w:rFonts w:eastAsia="Times New Roman" w:cstheme="minorHAnsi"/>
          <w:sz w:val="22"/>
          <w:szCs w:val="22"/>
        </w:rPr>
        <w:t>yet,</w:t>
      </w:r>
      <w:proofErr w:type="gramEnd"/>
      <w:r w:rsidRPr="009E1586">
        <w:rPr>
          <w:rFonts w:eastAsia="Times New Roman" w:cstheme="minorHAnsi"/>
          <w:sz w:val="22"/>
          <w:szCs w:val="22"/>
        </w:rPr>
        <w:t xml:space="preserve"> strictly speaking, it is impossible to say that an offence is committed until the party arrested has been found guilty by the courts.  If this is the way in which this provision [now </w:t>
      </w:r>
      <w:hyperlink r:id="rId43" w:anchor="!fragment/sec495" w:tgtFrame="_blank" w:history="1">
        <w:r w:rsidRPr="009E1586">
          <w:rPr>
            <w:rFonts w:eastAsia="Times New Roman" w:cstheme="minorHAnsi"/>
            <w:sz w:val="22"/>
            <w:szCs w:val="22"/>
          </w:rPr>
          <w:t>s. 495 of the </w:t>
        </w:r>
      </w:hyperlink>
      <w:r w:rsidRPr="009E1586">
        <w:rPr>
          <w:rFonts w:eastAsia="Times New Roman" w:cstheme="minorHAnsi"/>
          <w:sz w:val="22"/>
          <w:szCs w:val="22"/>
        </w:rPr>
        <w:fldChar w:fldCharType="begin"/>
      </w:r>
      <w:r w:rsidRPr="009E1586">
        <w:rPr>
          <w:rFonts w:eastAsia="Times New Roman" w:cstheme="minorHAnsi"/>
          <w:sz w:val="22"/>
          <w:szCs w:val="22"/>
        </w:rPr>
        <w:instrText xml:space="preserve"> HYPERLINK "https://qweri.lexum.com/calegis/rsc-1985-c-c-46-en" \t "_blank" </w:instrText>
      </w:r>
      <w:r w:rsidRPr="009E1586">
        <w:rPr>
          <w:rFonts w:eastAsia="Times New Roman" w:cstheme="minorHAnsi"/>
          <w:sz w:val="22"/>
          <w:szCs w:val="22"/>
        </w:rPr>
      </w:r>
      <w:r w:rsidRPr="009E1586">
        <w:rPr>
          <w:rFonts w:eastAsia="Times New Roman" w:cstheme="minorHAnsi"/>
          <w:sz w:val="22"/>
          <w:szCs w:val="22"/>
        </w:rPr>
        <w:fldChar w:fldCharType="separate"/>
      </w:r>
      <w:r w:rsidRPr="009E1586">
        <w:rPr>
          <w:rFonts w:eastAsia="Times New Roman" w:cstheme="minorHAnsi"/>
          <w:sz w:val="22"/>
          <w:szCs w:val="22"/>
        </w:rPr>
        <w:t>Criminal Code] is to be construed, no peace officer can ever decide, when making an arrest without a warrant, that the person arrested is "committing a criminal offence".  In my opinion...the power to arrest without a warrant is given where the peace officer himself finds a situation in which a person is apparently committing an offence.</w:t>
      </w:r>
    </w:p>
    <w:p w14:paraId="537FF7FD" w14:textId="719BD37E" w:rsidR="000806CE" w:rsidRPr="009E1586" w:rsidRDefault="000806CE" w:rsidP="009E1586">
      <w:pPr>
        <w:pStyle w:val="NormalWeb"/>
        <w:shd w:val="clear" w:color="auto" w:fill="FFFFFF"/>
        <w:spacing w:before="0" w:beforeAutospacing="0" w:afterAutospacing="0"/>
        <w:ind w:right="720"/>
        <w:rPr>
          <w:rFonts w:asciiTheme="minorHAnsi" w:hAnsiTheme="minorHAnsi" w:cstheme="minorHAnsi"/>
          <w:color w:val="000000"/>
          <w:sz w:val="22"/>
          <w:szCs w:val="22"/>
        </w:rPr>
      </w:pPr>
      <w:r w:rsidRPr="009E1586">
        <w:rPr>
          <w:rFonts w:asciiTheme="minorHAnsi" w:hAnsiTheme="minorHAnsi" w:cstheme="minorHAnsi"/>
          <w:sz w:val="22"/>
          <w:szCs w:val="22"/>
        </w:rPr>
        <w:fldChar w:fldCharType="end"/>
      </w:r>
    </w:p>
    <w:p w14:paraId="4A7104CB" w14:textId="1A2A2D66" w:rsidR="000806CE" w:rsidRPr="009E1586" w:rsidRDefault="000806CE" w:rsidP="009E1586">
      <w:pPr>
        <w:pStyle w:val="NormalWeb"/>
        <w:shd w:val="clear" w:color="auto" w:fill="FFFFFF"/>
        <w:spacing w:before="0" w:beforeAutospacing="0" w:afterAutospacing="0"/>
        <w:ind w:right="720"/>
        <w:rPr>
          <w:rFonts w:asciiTheme="minorHAnsi" w:hAnsiTheme="minorHAnsi" w:cstheme="minorHAnsi"/>
          <w:color w:val="000000"/>
          <w:sz w:val="22"/>
          <w:szCs w:val="22"/>
        </w:rPr>
      </w:pPr>
      <w:r w:rsidRPr="009E1586">
        <w:rPr>
          <w:rStyle w:val="apple-converted-space"/>
          <w:rFonts w:asciiTheme="minorHAnsi" w:hAnsiTheme="minorHAnsi" w:cstheme="minorHAnsi"/>
          <w:color w:val="000000"/>
          <w:spacing w:val="-3"/>
          <w:sz w:val="22"/>
          <w:szCs w:val="22"/>
        </w:rPr>
        <w:t>“I</w:t>
      </w:r>
      <w:r w:rsidRPr="009E1586">
        <w:rPr>
          <w:rFonts w:asciiTheme="minorHAnsi" w:hAnsiTheme="minorHAnsi" w:cstheme="minorHAnsi"/>
          <w:sz w:val="22"/>
          <w:szCs w:val="22"/>
        </w:rPr>
        <w:t xml:space="preserve">n my view, Arbour J.A. was correct in holding that, even if s. 11 of Metro By-law 211-74 were valid, the police cannot circumvent the lack of an arrest power for a violation of the by-law by ordering someone to desist from the violation and then charging them with obstruction.  The power to arrest </w:t>
      </w:r>
      <w:proofErr w:type="gramStart"/>
      <w:r w:rsidRPr="009E1586">
        <w:rPr>
          <w:rFonts w:asciiTheme="minorHAnsi" w:hAnsiTheme="minorHAnsi" w:cstheme="minorHAnsi"/>
          <w:sz w:val="22"/>
          <w:szCs w:val="22"/>
        </w:rPr>
        <w:t>in order to</w:t>
      </w:r>
      <w:proofErr w:type="gramEnd"/>
      <w:r w:rsidRPr="009E1586">
        <w:rPr>
          <w:rFonts w:asciiTheme="minorHAnsi" w:hAnsiTheme="minorHAnsi" w:cstheme="minorHAnsi"/>
          <w:sz w:val="22"/>
          <w:szCs w:val="22"/>
        </w:rPr>
        <w:t xml:space="preserve"> enforce the by-law cannot be inferred in the face of clear language in the Municipal Act and the Provincial Offences Act setting out more moderate means of dealing with repeated infractions.  The officer had no authority, either at common law or under statute, to arrest the appellant for failing to comply with an order to desist from conduct prohibited by the by-law.  The power to arrest without a warrant for disobeying an order to desist from conduct prohibited by s. 11 of Metro By-law 211-74 cannot be founded upon the language of Metro By-law 211-74, nor on ss. 3 and 23 of the Provincial Offences Act, nor on s. 57 of the Police Act.  </w:t>
      </w:r>
      <w:proofErr w:type="spellStart"/>
      <w:r w:rsidRPr="009E1586">
        <w:rPr>
          <w:rFonts w:asciiTheme="minorHAnsi" w:hAnsiTheme="minorHAnsi" w:cstheme="minorHAnsi"/>
          <w:sz w:val="22"/>
          <w:szCs w:val="22"/>
        </w:rPr>
        <w:t>Johanson</w:t>
      </w:r>
      <w:proofErr w:type="spellEnd"/>
      <w:r w:rsidRPr="009E1586">
        <w:rPr>
          <w:rFonts w:asciiTheme="minorHAnsi" w:hAnsiTheme="minorHAnsi" w:cstheme="minorHAnsi"/>
          <w:sz w:val="22"/>
          <w:szCs w:val="22"/>
        </w:rPr>
        <w:t xml:space="preserve"> v. The King, supra, has no application in the absence of a statutory duty of obedience to police officers.  The police constable in this case indeed had an obligation to enforce the by-law.  The legislature defined the enforcement power as ticketing the offender, and the appellant did not obstruct the constable in the performance of this duty.  The power of arrest cannot be derived as a matter of common law from the officer's duty to enforce the by-law given the legislature's definition of what such enforcement entails.”</w:t>
      </w:r>
    </w:p>
    <w:p w14:paraId="478CB253" w14:textId="604AFA77" w:rsidR="000806CE" w:rsidRPr="009E1586" w:rsidRDefault="000806CE" w:rsidP="009E1586">
      <w:pPr>
        <w:pStyle w:val="Heading2"/>
        <w:rPr>
          <w:rFonts w:asciiTheme="minorHAnsi" w:hAnsiTheme="minorHAnsi" w:cstheme="minorHAnsi"/>
          <w:sz w:val="22"/>
          <w:szCs w:val="22"/>
        </w:rPr>
      </w:pPr>
      <w:bookmarkStart w:id="54" w:name="_Toc125376936"/>
      <w:r w:rsidRPr="009E1586">
        <w:rPr>
          <w:rFonts w:asciiTheme="minorHAnsi" w:hAnsiTheme="minorHAnsi" w:cstheme="minorHAnsi"/>
          <w:sz w:val="22"/>
          <w:szCs w:val="22"/>
        </w:rPr>
        <w:t>Right To Be Tried Within a Reasonable Time:</w:t>
      </w:r>
      <w:bookmarkEnd w:id="54"/>
    </w:p>
    <w:p w14:paraId="36B3ADC2" w14:textId="5632585F" w:rsidR="00DA37D0" w:rsidRPr="009E1586" w:rsidRDefault="000806CE" w:rsidP="00AF3FAF">
      <w:pPr>
        <w:pStyle w:val="Heading3"/>
      </w:pPr>
      <w:bookmarkStart w:id="55" w:name="_Toc125376937"/>
      <w:r w:rsidRPr="009E1586">
        <w:t>R. v. Jordan, SCC 2016:</w:t>
      </w:r>
      <w:bookmarkEnd w:id="55"/>
    </w:p>
    <w:p w14:paraId="6A1334E2" w14:textId="70BAD9B1" w:rsidR="000806CE" w:rsidRPr="009E1586" w:rsidRDefault="00000000" w:rsidP="009E1586">
      <w:pPr>
        <w:pStyle w:val="NormalWeb"/>
        <w:shd w:val="clear" w:color="auto" w:fill="FFFFFF"/>
        <w:spacing w:before="0" w:beforeAutospacing="0" w:afterAutospacing="0"/>
        <w:ind w:right="720"/>
        <w:jc w:val="both"/>
        <w:rPr>
          <w:rFonts w:asciiTheme="minorHAnsi" w:hAnsiTheme="minorHAnsi" w:cstheme="minorHAnsi"/>
          <w:color w:val="000000"/>
          <w:sz w:val="22"/>
          <w:szCs w:val="22"/>
        </w:rPr>
      </w:pPr>
      <w:hyperlink r:id="rId44" w:history="1">
        <w:r w:rsidR="000806CE" w:rsidRPr="009E1586">
          <w:rPr>
            <w:rStyle w:val="Hyperlink"/>
            <w:rFonts w:asciiTheme="minorHAnsi" w:hAnsiTheme="minorHAnsi" w:cstheme="minorHAnsi"/>
            <w:sz w:val="22"/>
            <w:szCs w:val="22"/>
          </w:rPr>
          <w:t>https://scc-csc.lexum.com/scc-csc/scc-csc/en/item/16057/index.do</w:t>
        </w:r>
      </w:hyperlink>
    </w:p>
    <w:p w14:paraId="58F2B0A9" w14:textId="1628B5AA" w:rsidR="000806CE" w:rsidRPr="009E1586" w:rsidRDefault="000806CE" w:rsidP="009E1586">
      <w:pPr>
        <w:rPr>
          <w:rFonts w:eastAsia="Times New Roman" w:cstheme="minorHAnsi"/>
          <w:sz w:val="22"/>
          <w:szCs w:val="22"/>
        </w:rPr>
      </w:pPr>
      <w:r w:rsidRPr="009E1586">
        <w:rPr>
          <w:rFonts w:eastAsia="Times New Roman" w:cstheme="minorHAnsi"/>
          <w:sz w:val="22"/>
          <w:szCs w:val="22"/>
        </w:rPr>
        <w:t>At paragraph [</w:t>
      </w:r>
      <w:bookmarkStart w:id="56" w:name="par5"/>
      <w:r w:rsidRPr="009E1586">
        <w:rPr>
          <w:rFonts w:eastAsia="Times New Roman" w:cstheme="minorHAnsi"/>
          <w:sz w:val="22"/>
          <w:szCs w:val="22"/>
        </w:rPr>
        <w:t>5</w:t>
      </w:r>
      <w:bookmarkEnd w:id="56"/>
      <w:r w:rsidRPr="009E1586">
        <w:rPr>
          <w:rFonts w:eastAsia="Times New Roman" w:cstheme="minorHAnsi"/>
          <w:sz w:val="22"/>
          <w:szCs w:val="22"/>
        </w:rPr>
        <w:t>] A change of direction is therefore required. Below, we set out a new framework for applying </w:t>
      </w:r>
      <w:hyperlink r:id="rId45" w:anchor="!fragment/sec11" w:tgtFrame="_blank" w:history="1">
        <w:r w:rsidRPr="009E1586">
          <w:rPr>
            <w:rFonts w:eastAsia="Times New Roman" w:cstheme="minorHAnsi"/>
            <w:sz w:val="22"/>
            <w:szCs w:val="22"/>
          </w:rPr>
          <w:t>s. 11(b). At the centre of this new framework is a presumptive ceiling on the time it should take to bring an accused person to trial: 18 months for cases going to trial in the provincial court, and 30 months for cases going to trial in the superior court. Of course, given the contextual nature of reasonableness, the framework accounts for case-specific factors both above and below the presumpti</w:t>
        </w:r>
        <w:r w:rsidRPr="009E1586">
          <w:rPr>
            <w:rFonts w:eastAsia="Times New Roman" w:cstheme="minorHAnsi"/>
            <w:sz w:val="22"/>
            <w:szCs w:val="22"/>
          </w:rPr>
          <w:t>v</w:t>
        </w:r>
        <w:r w:rsidRPr="009E1586">
          <w:rPr>
            <w:rFonts w:eastAsia="Times New Roman" w:cstheme="minorHAnsi"/>
            <w:sz w:val="22"/>
            <w:szCs w:val="22"/>
          </w:rPr>
          <w:t>e ceiling. This framework is intended to focus the </w:t>
        </w:r>
      </w:hyperlink>
      <w:hyperlink r:id="rId46" w:anchor="!fragment/sec11" w:tgtFrame="_blank" w:history="1">
        <w:r w:rsidRPr="009E1586">
          <w:rPr>
            <w:rFonts w:eastAsia="Times New Roman" w:cstheme="minorHAnsi"/>
            <w:sz w:val="22"/>
            <w:szCs w:val="22"/>
          </w:rPr>
          <w:t>s. 11(b) analysis on the issues that matter and encourage all participants in the criminal justice system to cooperate in achieving reasonably prompt justice, with a view to fulfilling </w:t>
        </w:r>
      </w:hyperlink>
      <w:r w:rsidRPr="009E1586">
        <w:rPr>
          <w:rFonts w:eastAsia="Times New Roman" w:cstheme="minorHAnsi"/>
          <w:sz w:val="22"/>
          <w:szCs w:val="22"/>
        </w:rPr>
        <w:fldChar w:fldCharType="begin"/>
      </w:r>
      <w:r w:rsidRPr="009E1586">
        <w:rPr>
          <w:rFonts w:eastAsia="Times New Roman" w:cstheme="minorHAnsi"/>
          <w:sz w:val="22"/>
          <w:szCs w:val="22"/>
        </w:rPr>
        <w:instrText xml:space="preserve"> HYPERLINK "https://qweri.lexum.com/calegis/schedule-b-to-the-canada-act-1982-uk-1982-c-11-en" \l "!fragment/sec11" \t "_blank" </w:instrText>
      </w:r>
      <w:r w:rsidRPr="009E1586">
        <w:rPr>
          <w:rFonts w:eastAsia="Times New Roman" w:cstheme="minorHAnsi"/>
          <w:sz w:val="22"/>
          <w:szCs w:val="22"/>
        </w:rPr>
      </w:r>
      <w:r w:rsidRPr="009E1586">
        <w:rPr>
          <w:rFonts w:eastAsia="Times New Roman" w:cstheme="minorHAnsi"/>
          <w:sz w:val="22"/>
          <w:szCs w:val="22"/>
        </w:rPr>
        <w:fldChar w:fldCharType="separate"/>
      </w:r>
      <w:r w:rsidRPr="009E1586">
        <w:rPr>
          <w:rFonts w:eastAsia="Times New Roman" w:cstheme="minorHAnsi"/>
          <w:sz w:val="22"/>
          <w:szCs w:val="22"/>
        </w:rPr>
        <w:t xml:space="preserve">s. 11(b)’s important objectives. </w:t>
      </w:r>
    </w:p>
    <w:p w14:paraId="3CDBA3BE" w14:textId="71702087" w:rsidR="00CD62E1" w:rsidRPr="009E1586" w:rsidRDefault="000806CE" w:rsidP="009E1586">
      <w:pPr>
        <w:rPr>
          <w:rFonts w:eastAsia="Times New Roman" w:cstheme="minorHAnsi"/>
          <w:b/>
          <w:bCs/>
          <w:sz w:val="22"/>
          <w:szCs w:val="22"/>
        </w:rPr>
      </w:pPr>
      <w:r w:rsidRPr="009E1586">
        <w:rPr>
          <w:rFonts w:eastAsia="Times New Roman" w:cstheme="minorHAnsi"/>
          <w:sz w:val="22"/>
          <w:szCs w:val="22"/>
        </w:rPr>
        <w:fldChar w:fldCharType="end"/>
      </w:r>
    </w:p>
    <w:p w14:paraId="27941B8E" w14:textId="7F5B018D" w:rsidR="00CD62E1" w:rsidRPr="009E1586" w:rsidRDefault="003A4304" w:rsidP="009E1586">
      <w:pPr>
        <w:pStyle w:val="Heading1"/>
        <w:rPr>
          <w:rFonts w:asciiTheme="minorHAnsi" w:eastAsia="Times New Roman" w:hAnsiTheme="minorHAnsi" w:cstheme="minorHAnsi"/>
          <w:b/>
          <w:bCs/>
          <w:sz w:val="22"/>
          <w:szCs w:val="22"/>
          <w:u w:val="single"/>
        </w:rPr>
      </w:pPr>
      <w:bookmarkStart w:id="57" w:name="_Toc125376938"/>
      <w:r w:rsidRPr="009E1586">
        <w:rPr>
          <w:rFonts w:asciiTheme="minorHAnsi" w:hAnsiTheme="minorHAnsi" w:cstheme="minorHAnsi"/>
          <w:sz w:val="22"/>
          <w:szCs w:val="22"/>
        </w:rPr>
        <w:t>MISCHIEF</w:t>
      </w:r>
      <w:r w:rsidR="00D55BDB" w:rsidRPr="009E1586">
        <w:rPr>
          <w:rFonts w:asciiTheme="minorHAnsi" w:hAnsiTheme="minorHAnsi" w:cstheme="minorHAnsi"/>
          <w:sz w:val="22"/>
          <w:szCs w:val="22"/>
        </w:rPr>
        <w:t xml:space="preserve"> CRIMINAL</w:t>
      </w:r>
      <w:r w:rsidRPr="009E1586">
        <w:rPr>
          <w:rFonts w:asciiTheme="minorHAnsi" w:hAnsiTheme="minorHAnsi" w:cstheme="minorHAnsi"/>
          <w:sz w:val="22"/>
          <w:szCs w:val="22"/>
        </w:rPr>
        <w:t xml:space="preserve"> CHARGES:</w:t>
      </w:r>
      <w:bookmarkEnd w:id="57"/>
    </w:p>
    <w:p w14:paraId="66692646" w14:textId="558208E4" w:rsidR="00651001" w:rsidRPr="009E1586" w:rsidRDefault="00651001" w:rsidP="009E1586">
      <w:pPr>
        <w:pStyle w:val="Heading2"/>
        <w:rPr>
          <w:rFonts w:asciiTheme="minorHAnsi" w:hAnsiTheme="minorHAnsi" w:cstheme="minorHAnsi"/>
          <w:sz w:val="22"/>
          <w:szCs w:val="22"/>
        </w:rPr>
      </w:pPr>
      <w:bookmarkStart w:id="58" w:name="_Toc125376939"/>
      <w:r w:rsidRPr="009E1586">
        <w:rPr>
          <w:rFonts w:asciiTheme="minorHAnsi" w:hAnsiTheme="minorHAnsi" w:cstheme="minorHAnsi"/>
          <w:sz w:val="22"/>
          <w:szCs w:val="22"/>
        </w:rPr>
        <w:t>Damage is Essential for a Mischief Charge:</w:t>
      </w:r>
      <w:bookmarkEnd w:id="58"/>
    </w:p>
    <w:p w14:paraId="0235F9FE" w14:textId="6A756669" w:rsidR="00AE3740" w:rsidRPr="009E1586" w:rsidRDefault="00AE3740" w:rsidP="00AF3FAF">
      <w:pPr>
        <w:pStyle w:val="Heading3"/>
      </w:pPr>
      <w:bookmarkStart w:id="59" w:name="_Toc125376940"/>
      <w:r w:rsidRPr="009E1586">
        <w:lastRenderedPageBreak/>
        <w:t>R</w:t>
      </w:r>
      <w:r w:rsidR="00CD62E1" w:rsidRPr="009E1586">
        <w:t xml:space="preserve"> vs</w:t>
      </w:r>
      <w:r w:rsidRPr="009E1586">
        <w:t xml:space="preserve"> K. T.</w:t>
      </w:r>
      <w:r w:rsidR="00D55BDB" w:rsidRPr="009E1586">
        <w:t xml:space="preserve">, 2005, </w:t>
      </w:r>
      <w:r w:rsidRPr="009E1586">
        <w:t xml:space="preserve">Manitoba Court </w:t>
      </w:r>
      <w:r w:rsidR="00D55BDB" w:rsidRPr="009E1586">
        <w:t>of A</w:t>
      </w:r>
      <w:r w:rsidRPr="009E1586">
        <w:t>ppeal</w:t>
      </w:r>
      <w:r w:rsidR="00D55BDB" w:rsidRPr="009E1586">
        <w:t>:</w:t>
      </w:r>
      <w:bookmarkEnd w:id="59"/>
    </w:p>
    <w:p w14:paraId="34E9EBFB" w14:textId="48B6B929" w:rsidR="00D55BDB" w:rsidRPr="009E1586" w:rsidRDefault="00000000" w:rsidP="009E1586">
      <w:pPr>
        <w:rPr>
          <w:rFonts w:cstheme="minorHAnsi"/>
          <w:sz w:val="22"/>
          <w:szCs w:val="22"/>
        </w:rPr>
      </w:pPr>
      <w:hyperlink r:id="rId47" w:history="1">
        <w:r w:rsidR="00DA37D0" w:rsidRPr="009E1586">
          <w:rPr>
            <w:rStyle w:val="Hyperlink"/>
            <w:rFonts w:cstheme="minorHAnsi"/>
            <w:sz w:val="22"/>
            <w:szCs w:val="22"/>
          </w:rPr>
          <w:t>https://www.canlii.org/en/mb/mbca/doc/2005/2005mbca78/2005mbca78.html?resultIndex=1</w:t>
        </w:r>
      </w:hyperlink>
    </w:p>
    <w:p w14:paraId="2AFA429A" w14:textId="77777777" w:rsidR="00DA37D0" w:rsidRPr="009E1586" w:rsidRDefault="00DA37D0" w:rsidP="009E1586">
      <w:pPr>
        <w:rPr>
          <w:rFonts w:cstheme="minorHAnsi"/>
          <w:sz w:val="22"/>
          <w:szCs w:val="22"/>
        </w:rPr>
      </w:pPr>
    </w:p>
    <w:p w14:paraId="2C8DF2A6" w14:textId="61EBA8BE" w:rsidR="00AE3740" w:rsidRPr="009E1586" w:rsidRDefault="00DA37D0" w:rsidP="009E1586">
      <w:pPr>
        <w:rPr>
          <w:rFonts w:cstheme="minorHAnsi"/>
          <w:sz w:val="22"/>
          <w:szCs w:val="22"/>
        </w:rPr>
      </w:pPr>
      <w:r w:rsidRPr="009E1586">
        <w:rPr>
          <w:rFonts w:cstheme="minorHAnsi"/>
          <w:sz w:val="22"/>
          <w:szCs w:val="22"/>
        </w:rPr>
        <w:t>D</w:t>
      </w:r>
      <w:r w:rsidR="00AE3740" w:rsidRPr="009E1586">
        <w:rPr>
          <w:rFonts w:cstheme="minorHAnsi"/>
          <w:sz w:val="22"/>
          <w:szCs w:val="22"/>
        </w:rPr>
        <w:t xml:space="preserve">amage is an essential element of the actus reus </w:t>
      </w:r>
      <w:r w:rsidR="00CD62E1" w:rsidRPr="009E1586">
        <w:rPr>
          <w:rFonts w:cstheme="minorHAnsi"/>
          <w:sz w:val="22"/>
          <w:szCs w:val="22"/>
        </w:rPr>
        <w:t xml:space="preserve">(the act or omission that comprise the physical elements of a crime as required by statute) </w:t>
      </w:r>
      <w:r w:rsidR="00AE3740" w:rsidRPr="009E1586">
        <w:rPr>
          <w:rFonts w:cstheme="minorHAnsi"/>
          <w:sz w:val="22"/>
          <w:szCs w:val="22"/>
        </w:rPr>
        <w:t>for a mischief charge</w:t>
      </w:r>
      <w:r w:rsidRPr="009E1586">
        <w:rPr>
          <w:rFonts w:cstheme="minorHAnsi"/>
          <w:sz w:val="22"/>
          <w:szCs w:val="22"/>
        </w:rPr>
        <w:t>. F</w:t>
      </w:r>
      <w:r w:rsidR="00AE3740" w:rsidRPr="009E1586">
        <w:rPr>
          <w:rFonts w:cstheme="minorHAnsi"/>
          <w:sz w:val="22"/>
          <w:szCs w:val="22"/>
        </w:rPr>
        <w:t>ailure of the crown to show property in question was damaged will be fatal to a conviction.</w:t>
      </w:r>
      <w:r w:rsidRPr="009E1586">
        <w:rPr>
          <w:rFonts w:cstheme="minorHAnsi"/>
          <w:sz w:val="22"/>
          <w:szCs w:val="22"/>
        </w:rPr>
        <w:t xml:space="preserve"> P</w:t>
      </w:r>
      <w:r w:rsidR="00AE3740" w:rsidRPr="009E1586">
        <w:rPr>
          <w:rFonts w:cstheme="minorHAnsi"/>
          <w:sz w:val="22"/>
          <w:szCs w:val="22"/>
        </w:rPr>
        <w:t>aragraph 17 states "...without damage there was no mischief to property"</w:t>
      </w:r>
    </w:p>
    <w:p w14:paraId="5CA29C20" w14:textId="4A3FCD2E" w:rsidR="00AE3740" w:rsidRPr="009E1586" w:rsidRDefault="00AE3740" w:rsidP="009E1586">
      <w:pPr>
        <w:rPr>
          <w:rFonts w:cstheme="minorHAnsi"/>
          <w:sz w:val="22"/>
          <w:szCs w:val="22"/>
        </w:rPr>
      </w:pPr>
    </w:p>
    <w:p w14:paraId="623CBC9B" w14:textId="77777777" w:rsidR="00D55BDB" w:rsidRPr="009E1586" w:rsidRDefault="00AE3740" w:rsidP="00AF3FAF">
      <w:pPr>
        <w:pStyle w:val="Heading3"/>
      </w:pPr>
      <w:bookmarkStart w:id="60" w:name="_Toc125376941"/>
      <w:r w:rsidRPr="009E1586">
        <w:t>The charge of "Obstructing" police includes disobeying a lawful police order. It was not a LAWFUL order.</w:t>
      </w:r>
      <w:bookmarkEnd w:id="60"/>
    </w:p>
    <w:p w14:paraId="3DE37CA0" w14:textId="3195E0C5" w:rsidR="00AE3740" w:rsidRPr="009E1586" w:rsidRDefault="00000000" w:rsidP="009E1586">
      <w:pPr>
        <w:rPr>
          <w:rFonts w:cstheme="minorHAnsi"/>
          <w:sz w:val="22"/>
          <w:szCs w:val="22"/>
        </w:rPr>
      </w:pPr>
      <w:hyperlink r:id="rId48" w:history="1">
        <w:r w:rsidR="00DA37D0" w:rsidRPr="009E1586">
          <w:rPr>
            <w:rStyle w:val="Hyperlink"/>
            <w:rFonts w:cstheme="minorHAnsi"/>
            <w:sz w:val="22"/>
            <w:szCs w:val="22"/>
          </w:rPr>
          <w:t>http://criminalnotebook.ca/index.php/Obstruction_of_a_Peace_Officer_(Offence)</w:t>
        </w:r>
      </w:hyperlink>
    </w:p>
    <w:p w14:paraId="0016EFB1" w14:textId="77777777" w:rsidR="00DA37D0" w:rsidRPr="009E1586" w:rsidRDefault="00DA37D0" w:rsidP="009E1586">
      <w:pPr>
        <w:rPr>
          <w:rFonts w:cstheme="minorHAnsi"/>
          <w:sz w:val="22"/>
          <w:szCs w:val="22"/>
          <w:u w:val="single"/>
        </w:rPr>
      </w:pPr>
    </w:p>
    <w:p w14:paraId="3BCA03E6" w14:textId="4071039E" w:rsidR="00D55BDB" w:rsidRPr="009E1586" w:rsidRDefault="00AE3740" w:rsidP="009E1586">
      <w:pPr>
        <w:rPr>
          <w:rFonts w:cstheme="minorHAnsi"/>
          <w:sz w:val="22"/>
          <w:szCs w:val="22"/>
        </w:rPr>
      </w:pPr>
      <w:r w:rsidRPr="009E1586">
        <w:rPr>
          <w:rFonts w:cstheme="minorHAnsi"/>
          <w:sz w:val="22"/>
          <w:szCs w:val="22"/>
        </w:rPr>
        <w:t>There are several criteria that must be met for proof of offence. Point 7 "the peace officer was engaged in lawful duty at all relevant times"</w:t>
      </w:r>
      <w:r w:rsidR="00DA37D0" w:rsidRPr="009E1586">
        <w:rPr>
          <w:rFonts w:cstheme="minorHAnsi"/>
          <w:sz w:val="22"/>
          <w:szCs w:val="22"/>
        </w:rPr>
        <w:t>. T</w:t>
      </w:r>
      <w:r w:rsidRPr="009E1586">
        <w:rPr>
          <w:rFonts w:cstheme="minorHAnsi"/>
          <w:sz w:val="22"/>
          <w:szCs w:val="22"/>
        </w:rPr>
        <w:t xml:space="preserve">he </w:t>
      </w:r>
      <w:r w:rsidR="00DA37D0" w:rsidRPr="009E1586">
        <w:rPr>
          <w:rFonts w:cstheme="minorHAnsi"/>
          <w:sz w:val="22"/>
          <w:szCs w:val="22"/>
        </w:rPr>
        <w:t>Emergencies A</w:t>
      </w:r>
      <w:r w:rsidRPr="009E1586">
        <w:rPr>
          <w:rFonts w:cstheme="minorHAnsi"/>
          <w:sz w:val="22"/>
          <w:szCs w:val="22"/>
        </w:rPr>
        <w:t>ct and orders carried out under it were not lawful. Therefore, the peace officers were not engaged in lawful duty. As such, the proof of offence has not been fulfilled, and there was no legal cause for arrest.</w:t>
      </w:r>
    </w:p>
    <w:sectPr w:rsidR="00D55BDB" w:rsidRPr="009E1586" w:rsidSect="00D55BDB">
      <w:headerReference w:type="default" r:id="rId49"/>
      <w:footerReference w:type="even" r:id="rId50"/>
      <w:footerReference w:type="default" r:id="rId51"/>
      <w:pgSz w:w="12240" w:h="15840"/>
      <w:pgMar w:top="851" w:right="920" w:bottom="280" w:left="920" w:header="454" w:footer="4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14FE" w14:textId="77777777" w:rsidR="004D21D4" w:rsidRDefault="004D21D4" w:rsidP="00D55BDB">
      <w:r>
        <w:separator/>
      </w:r>
    </w:p>
  </w:endnote>
  <w:endnote w:type="continuationSeparator" w:id="0">
    <w:p w14:paraId="792780E8" w14:textId="77777777" w:rsidR="004D21D4" w:rsidRDefault="004D21D4" w:rsidP="00D5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422920"/>
      <w:docPartObj>
        <w:docPartGallery w:val="Page Numbers (Bottom of Page)"/>
        <w:docPartUnique/>
      </w:docPartObj>
    </w:sdtPr>
    <w:sdtContent>
      <w:p w14:paraId="3486F46B" w14:textId="277A4640" w:rsidR="00336C1D" w:rsidRDefault="00336C1D" w:rsidP="00F71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D92BD" w14:textId="77777777" w:rsidR="00336C1D" w:rsidRDefault="00336C1D" w:rsidP="0033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445225"/>
      <w:docPartObj>
        <w:docPartGallery w:val="Page Numbers (Bottom of Page)"/>
        <w:docPartUnique/>
      </w:docPartObj>
    </w:sdtPr>
    <w:sdtContent>
      <w:p w14:paraId="384D59AB" w14:textId="01C408F3" w:rsidR="00336C1D" w:rsidRDefault="00336C1D" w:rsidP="00F714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8C5515" w14:textId="30D46F11" w:rsidR="00D55BDB" w:rsidRPr="00336C1D" w:rsidRDefault="00336C1D" w:rsidP="00336C1D">
    <w:pPr>
      <w:tabs>
        <w:tab w:val="right" w:pos="10206"/>
      </w:tabs>
      <w:ind w:right="360"/>
      <w:jc w:val="center"/>
      <w:rPr>
        <w:rFonts w:cstheme="minorHAnsi"/>
        <w:sz w:val="20"/>
        <w:szCs w:val="20"/>
      </w:rPr>
    </w:pPr>
    <w:r w:rsidRPr="00336C1D">
      <w:rPr>
        <w:rFonts w:cstheme="minorHAnsi"/>
        <w:sz w:val="20"/>
        <w:szCs w:val="20"/>
      </w:rPr>
      <w:t>SUPPORTING CASE LAW TO HELP BUILD YOUR CASE</w:t>
    </w:r>
    <w:r w:rsidRPr="00336C1D">
      <w:rPr>
        <w:rFonts w:cstheme="minorHAnsi"/>
        <w:sz w:val="20"/>
        <w:szCs w:val="20"/>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80F9" w14:textId="77777777" w:rsidR="004D21D4" w:rsidRDefault="004D21D4" w:rsidP="00D55BDB">
      <w:r>
        <w:separator/>
      </w:r>
    </w:p>
  </w:footnote>
  <w:footnote w:type="continuationSeparator" w:id="0">
    <w:p w14:paraId="3E69D113" w14:textId="77777777" w:rsidR="004D21D4" w:rsidRDefault="004D21D4" w:rsidP="00D55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C787" w14:textId="0D1CC6B4" w:rsidR="00D55BDB" w:rsidRDefault="00D55BDB" w:rsidP="00D55BDB">
    <w:pPr>
      <w:pStyle w:val="Header"/>
      <w:jc w:val="center"/>
    </w:pPr>
    <w:r>
      <w:rPr>
        <w:noProof/>
        <w:color w:val="000000"/>
      </w:rPr>
      <w:drawing>
        <wp:inline distT="0" distB="0" distL="0" distR="0" wp14:anchorId="7CD37C18" wp14:editId="584CB1A8">
          <wp:extent cx="959223" cy="403412"/>
          <wp:effectExtent l="0" t="0" r="0" b="3175"/>
          <wp:docPr id="2" name="image1.jpg" descr="A red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A red and white logo&#10;&#10;Description automatically generated with medium confidence"/>
                  <pic:cNvPicPr preferRelativeResize="0"/>
                </pic:nvPicPr>
                <pic:blipFill>
                  <a:blip r:embed="rId1"/>
                  <a:srcRect/>
                  <a:stretch>
                    <a:fillRect/>
                  </a:stretch>
                </pic:blipFill>
                <pic:spPr>
                  <a:xfrm>
                    <a:off x="0" y="0"/>
                    <a:ext cx="972547" cy="409016"/>
                  </a:xfrm>
                  <a:prstGeom prst="rect">
                    <a:avLst/>
                  </a:prstGeom>
                  <a:ln/>
                </pic:spPr>
              </pic:pic>
            </a:graphicData>
          </a:graphic>
        </wp:inline>
      </w:drawing>
    </w:r>
  </w:p>
  <w:p w14:paraId="23FF9074" w14:textId="77777777" w:rsidR="00D55BDB" w:rsidRPr="00D55BDB" w:rsidRDefault="00D55BDB" w:rsidP="00D55B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3F2E"/>
    <w:multiLevelType w:val="multilevel"/>
    <w:tmpl w:val="0F5C9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B05794"/>
    <w:multiLevelType w:val="multilevel"/>
    <w:tmpl w:val="1806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66878"/>
    <w:multiLevelType w:val="hybridMultilevel"/>
    <w:tmpl w:val="B1AC87C2"/>
    <w:lvl w:ilvl="0" w:tplc="89143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B2CE0"/>
    <w:multiLevelType w:val="hybridMultilevel"/>
    <w:tmpl w:val="4DA6485C"/>
    <w:lvl w:ilvl="0" w:tplc="F5661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4639D"/>
    <w:multiLevelType w:val="hybridMultilevel"/>
    <w:tmpl w:val="B8CA9E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E3B72BD"/>
    <w:multiLevelType w:val="multilevel"/>
    <w:tmpl w:val="FBC2E1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EFB4A6D"/>
    <w:multiLevelType w:val="hybridMultilevel"/>
    <w:tmpl w:val="E3BC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765471">
    <w:abstractNumId w:val="5"/>
  </w:num>
  <w:num w:numId="2" w16cid:durableId="1991471771">
    <w:abstractNumId w:val="3"/>
  </w:num>
  <w:num w:numId="3" w16cid:durableId="198516964">
    <w:abstractNumId w:val="6"/>
  </w:num>
  <w:num w:numId="4" w16cid:durableId="1960642179">
    <w:abstractNumId w:val="1"/>
  </w:num>
  <w:num w:numId="5" w16cid:durableId="951401040">
    <w:abstractNumId w:val="2"/>
  </w:num>
  <w:num w:numId="6" w16cid:durableId="35979523">
    <w:abstractNumId w:val="4"/>
  </w:num>
  <w:num w:numId="7" w16cid:durableId="81082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40"/>
    <w:rsid w:val="00024664"/>
    <w:rsid w:val="000742AC"/>
    <w:rsid w:val="000806CE"/>
    <w:rsid w:val="0017463E"/>
    <w:rsid w:val="00284BF0"/>
    <w:rsid w:val="002A1565"/>
    <w:rsid w:val="003002AF"/>
    <w:rsid w:val="00336C1D"/>
    <w:rsid w:val="003A4304"/>
    <w:rsid w:val="003A7152"/>
    <w:rsid w:val="004D21D4"/>
    <w:rsid w:val="004E27F8"/>
    <w:rsid w:val="00651001"/>
    <w:rsid w:val="006770D6"/>
    <w:rsid w:val="00782400"/>
    <w:rsid w:val="007B3F61"/>
    <w:rsid w:val="008120BF"/>
    <w:rsid w:val="008C0AB0"/>
    <w:rsid w:val="00917D4D"/>
    <w:rsid w:val="00931B9A"/>
    <w:rsid w:val="0095029E"/>
    <w:rsid w:val="009E1586"/>
    <w:rsid w:val="009E5520"/>
    <w:rsid w:val="00AE3740"/>
    <w:rsid w:val="00AE6F90"/>
    <w:rsid w:val="00AF3FAF"/>
    <w:rsid w:val="00AF47C2"/>
    <w:rsid w:val="00B2305F"/>
    <w:rsid w:val="00BC40F8"/>
    <w:rsid w:val="00C96DD0"/>
    <w:rsid w:val="00CB5917"/>
    <w:rsid w:val="00CD62E1"/>
    <w:rsid w:val="00D55BDB"/>
    <w:rsid w:val="00D65B8A"/>
    <w:rsid w:val="00DA37D0"/>
    <w:rsid w:val="00EC4299"/>
    <w:rsid w:val="00F13F3D"/>
    <w:rsid w:val="00F2270C"/>
    <w:rsid w:val="00F86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EA30"/>
  <w15:chartTrackingRefBased/>
  <w15:docId w15:val="{B5583C5E-625F-D945-B02D-8413AD78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6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55BD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96D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7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3740"/>
    <w:rPr>
      <w:color w:val="0000FF"/>
      <w:u w:val="single"/>
    </w:rPr>
  </w:style>
  <w:style w:type="character" w:styleId="Strong">
    <w:name w:val="Strong"/>
    <w:basedOn w:val="DefaultParagraphFont"/>
    <w:uiPriority w:val="22"/>
    <w:qFormat/>
    <w:rsid w:val="00AE3740"/>
    <w:rPr>
      <w:b/>
      <w:bCs/>
    </w:rPr>
  </w:style>
  <w:style w:type="character" w:customStyle="1" w:styleId="apple-converted-space">
    <w:name w:val="apple-converted-space"/>
    <w:basedOn w:val="DefaultParagraphFont"/>
    <w:rsid w:val="00AE3740"/>
  </w:style>
  <w:style w:type="character" w:styleId="Emphasis">
    <w:name w:val="Emphasis"/>
    <w:basedOn w:val="DefaultParagraphFont"/>
    <w:uiPriority w:val="20"/>
    <w:qFormat/>
    <w:rsid w:val="00AE3740"/>
    <w:rPr>
      <w:i/>
      <w:iCs/>
    </w:rPr>
  </w:style>
  <w:style w:type="paragraph" w:styleId="ListParagraph">
    <w:name w:val="List Paragraph"/>
    <w:basedOn w:val="Normal"/>
    <w:uiPriority w:val="34"/>
    <w:qFormat/>
    <w:rsid w:val="00AE3740"/>
    <w:pPr>
      <w:ind w:left="720"/>
      <w:contextualSpacing/>
    </w:pPr>
  </w:style>
  <w:style w:type="character" w:styleId="UnresolvedMention">
    <w:name w:val="Unresolved Mention"/>
    <w:basedOn w:val="DefaultParagraphFont"/>
    <w:uiPriority w:val="99"/>
    <w:semiHidden/>
    <w:unhideWhenUsed/>
    <w:rsid w:val="00CD62E1"/>
    <w:rPr>
      <w:color w:val="605E5C"/>
      <w:shd w:val="clear" w:color="auto" w:fill="E1DFDD"/>
    </w:rPr>
  </w:style>
  <w:style w:type="character" w:styleId="FollowedHyperlink">
    <w:name w:val="FollowedHyperlink"/>
    <w:basedOn w:val="DefaultParagraphFont"/>
    <w:uiPriority w:val="99"/>
    <w:semiHidden/>
    <w:unhideWhenUsed/>
    <w:rsid w:val="00D55BDB"/>
    <w:rPr>
      <w:color w:val="954F72" w:themeColor="followedHyperlink"/>
      <w:u w:val="single"/>
    </w:rPr>
  </w:style>
  <w:style w:type="character" w:customStyle="1" w:styleId="Heading2Char">
    <w:name w:val="Heading 2 Char"/>
    <w:basedOn w:val="DefaultParagraphFont"/>
    <w:link w:val="Heading2"/>
    <w:uiPriority w:val="9"/>
    <w:rsid w:val="00D55BD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55BDB"/>
    <w:pPr>
      <w:tabs>
        <w:tab w:val="center" w:pos="4680"/>
        <w:tab w:val="right" w:pos="9360"/>
      </w:tabs>
    </w:pPr>
  </w:style>
  <w:style w:type="character" w:customStyle="1" w:styleId="HeaderChar">
    <w:name w:val="Header Char"/>
    <w:basedOn w:val="DefaultParagraphFont"/>
    <w:link w:val="Header"/>
    <w:uiPriority w:val="99"/>
    <w:rsid w:val="00D55BDB"/>
  </w:style>
  <w:style w:type="paragraph" w:styleId="Footer">
    <w:name w:val="footer"/>
    <w:basedOn w:val="Normal"/>
    <w:link w:val="FooterChar"/>
    <w:uiPriority w:val="99"/>
    <w:unhideWhenUsed/>
    <w:rsid w:val="00D55BDB"/>
    <w:pPr>
      <w:tabs>
        <w:tab w:val="center" w:pos="4680"/>
        <w:tab w:val="right" w:pos="9360"/>
      </w:tabs>
    </w:pPr>
  </w:style>
  <w:style w:type="character" w:customStyle="1" w:styleId="FooterChar">
    <w:name w:val="Footer Char"/>
    <w:basedOn w:val="DefaultParagraphFont"/>
    <w:link w:val="Footer"/>
    <w:uiPriority w:val="99"/>
    <w:rsid w:val="00D55BDB"/>
  </w:style>
  <w:style w:type="character" w:customStyle="1" w:styleId="Heading3Char">
    <w:name w:val="Heading 3 Char"/>
    <w:basedOn w:val="DefaultParagraphFont"/>
    <w:link w:val="Heading3"/>
    <w:uiPriority w:val="9"/>
    <w:rsid w:val="00C96DD0"/>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9E5520"/>
    <w:pPr>
      <w:spacing w:after="100"/>
      <w:ind w:left="240"/>
    </w:pPr>
  </w:style>
  <w:style w:type="paragraph" w:styleId="TOC3">
    <w:name w:val="toc 3"/>
    <w:basedOn w:val="Normal"/>
    <w:next w:val="Normal"/>
    <w:autoRedefine/>
    <w:uiPriority w:val="39"/>
    <w:unhideWhenUsed/>
    <w:rsid w:val="009E5520"/>
    <w:pPr>
      <w:spacing w:after="100"/>
      <w:ind w:left="480"/>
    </w:pPr>
  </w:style>
  <w:style w:type="character" w:customStyle="1" w:styleId="Heading1Char">
    <w:name w:val="Heading 1 Char"/>
    <w:basedOn w:val="DefaultParagraphFont"/>
    <w:link w:val="Heading1"/>
    <w:uiPriority w:val="9"/>
    <w:rsid w:val="00024664"/>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24664"/>
    <w:pPr>
      <w:spacing w:after="100"/>
    </w:pPr>
  </w:style>
  <w:style w:type="character" w:styleId="PageNumber">
    <w:name w:val="page number"/>
    <w:basedOn w:val="DefaultParagraphFont"/>
    <w:uiPriority w:val="99"/>
    <w:semiHidden/>
    <w:unhideWhenUsed/>
    <w:rsid w:val="0033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321">
      <w:bodyDiv w:val="1"/>
      <w:marLeft w:val="0"/>
      <w:marRight w:val="0"/>
      <w:marTop w:val="0"/>
      <w:marBottom w:val="0"/>
      <w:divBdr>
        <w:top w:val="none" w:sz="0" w:space="0" w:color="auto"/>
        <w:left w:val="none" w:sz="0" w:space="0" w:color="auto"/>
        <w:bottom w:val="none" w:sz="0" w:space="0" w:color="auto"/>
        <w:right w:val="none" w:sz="0" w:space="0" w:color="auto"/>
      </w:divBdr>
    </w:div>
    <w:div w:id="106585797">
      <w:bodyDiv w:val="1"/>
      <w:marLeft w:val="0"/>
      <w:marRight w:val="0"/>
      <w:marTop w:val="0"/>
      <w:marBottom w:val="0"/>
      <w:divBdr>
        <w:top w:val="none" w:sz="0" w:space="0" w:color="auto"/>
        <w:left w:val="none" w:sz="0" w:space="0" w:color="auto"/>
        <w:bottom w:val="none" w:sz="0" w:space="0" w:color="auto"/>
        <w:right w:val="none" w:sz="0" w:space="0" w:color="auto"/>
      </w:divBdr>
    </w:div>
    <w:div w:id="463084857">
      <w:bodyDiv w:val="1"/>
      <w:marLeft w:val="0"/>
      <w:marRight w:val="0"/>
      <w:marTop w:val="0"/>
      <w:marBottom w:val="0"/>
      <w:divBdr>
        <w:top w:val="none" w:sz="0" w:space="0" w:color="auto"/>
        <w:left w:val="none" w:sz="0" w:space="0" w:color="auto"/>
        <w:bottom w:val="none" w:sz="0" w:space="0" w:color="auto"/>
        <w:right w:val="none" w:sz="0" w:space="0" w:color="auto"/>
      </w:divBdr>
    </w:div>
    <w:div w:id="636884990">
      <w:bodyDiv w:val="1"/>
      <w:marLeft w:val="0"/>
      <w:marRight w:val="0"/>
      <w:marTop w:val="0"/>
      <w:marBottom w:val="0"/>
      <w:divBdr>
        <w:top w:val="none" w:sz="0" w:space="0" w:color="auto"/>
        <w:left w:val="none" w:sz="0" w:space="0" w:color="auto"/>
        <w:bottom w:val="none" w:sz="0" w:space="0" w:color="auto"/>
        <w:right w:val="none" w:sz="0" w:space="0" w:color="auto"/>
      </w:divBdr>
    </w:div>
    <w:div w:id="723286422">
      <w:bodyDiv w:val="1"/>
      <w:marLeft w:val="0"/>
      <w:marRight w:val="0"/>
      <w:marTop w:val="0"/>
      <w:marBottom w:val="0"/>
      <w:divBdr>
        <w:top w:val="none" w:sz="0" w:space="0" w:color="auto"/>
        <w:left w:val="none" w:sz="0" w:space="0" w:color="auto"/>
        <w:bottom w:val="none" w:sz="0" w:space="0" w:color="auto"/>
        <w:right w:val="none" w:sz="0" w:space="0" w:color="auto"/>
      </w:divBdr>
    </w:div>
    <w:div w:id="867370434">
      <w:bodyDiv w:val="1"/>
      <w:marLeft w:val="0"/>
      <w:marRight w:val="0"/>
      <w:marTop w:val="0"/>
      <w:marBottom w:val="0"/>
      <w:divBdr>
        <w:top w:val="none" w:sz="0" w:space="0" w:color="auto"/>
        <w:left w:val="none" w:sz="0" w:space="0" w:color="auto"/>
        <w:bottom w:val="none" w:sz="0" w:space="0" w:color="auto"/>
        <w:right w:val="none" w:sz="0" w:space="0" w:color="auto"/>
      </w:divBdr>
    </w:div>
    <w:div w:id="944996042">
      <w:bodyDiv w:val="1"/>
      <w:marLeft w:val="0"/>
      <w:marRight w:val="0"/>
      <w:marTop w:val="0"/>
      <w:marBottom w:val="0"/>
      <w:divBdr>
        <w:top w:val="none" w:sz="0" w:space="0" w:color="auto"/>
        <w:left w:val="none" w:sz="0" w:space="0" w:color="auto"/>
        <w:bottom w:val="none" w:sz="0" w:space="0" w:color="auto"/>
        <w:right w:val="none" w:sz="0" w:space="0" w:color="auto"/>
      </w:divBdr>
    </w:div>
    <w:div w:id="1213542006">
      <w:bodyDiv w:val="1"/>
      <w:marLeft w:val="0"/>
      <w:marRight w:val="0"/>
      <w:marTop w:val="0"/>
      <w:marBottom w:val="0"/>
      <w:divBdr>
        <w:top w:val="none" w:sz="0" w:space="0" w:color="auto"/>
        <w:left w:val="none" w:sz="0" w:space="0" w:color="auto"/>
        <w:bottom w:val="none" w:sz="0" w:space="0" w:color="auto"/>
        <w:right w:val="none" w:sz="0" w:space="0" w:color="auto"/>
      </w:divBdr>
    </w:div>
    <w:div w:id="1515270199">
      <w:bodyDiv w:val="1"/>
      <w:marLeft w:val="0"/>
      <w:marRight w:val="0"/>
      <w:marTop w:val="0"/>
      <w:marBottom w:val="0"/>
      <w:divBdr>
        <w:top w:val="none" w:sz="0" w:space="0" w:color="auto"/>
        <w:left w:val="none" w:sz="0" w:space="0" w:color="auto"/>
        <w:bottom w:val="none" w:sz="0" w:space="0" w:color="auto"/>
        <w:right w:val="none" w:sz="0" w:space="0" w:color="auto"/>
      </w:divBdr>
    </w:div>
    <w:div w:id="1665163592">
      <w:bodyDiv w:val="1"/>
      <w:marLeft w:val="0"/>
      <w:marRight w:val="0"/>
      <w:marTop w:val="0"/>
      <w:marBottom w:val="0"/>
      <w:divBdr>
        <w:top w:val="none" w:sz="0" w:space="0" w:color="auto"/>
        <w:left w:val="none" w:sz="0" w:space="0" w:color="auto"/>
        <w:bottom w:val="none" w:sz="0" w:space="0" w:color="auto"/>
        <w:right w:val="none" w:sz="0" w:space="0" w:color="auto"/>
      </w:divBdr>
    </w:div>
    <w:div w:id="1731230127">
      <w:bodyDiv w:val="1"/>
      <w:marLeft w:val="0"/>
      <w:marRight w:val="0"/>
      <w:marTop w:val="0"/>
      <w:marBottom w:val="0"/>
      <w:divBdr>
        <w:top w:val="none" w:sz="0" w:space="0" w:color="auto"/>
        <w:left w:val="none" w:sz="0" w:space="0" w:color="auto"/>
        <w:bottom w:val="none" w:sz="0" w:space="0" w:color="auto"/>
        <w:right w:val="none" w:sz="0" w:space="0" w:color="auto"/>
      </w:divBdr>
    </w:div>
    <w:div w:id="1749228357">
      <w:bodyDiv w:val="1"/>
      <w:marLeft w:val="0"/>
      <w:marRight w:val="0"/>
      <w:marTop w:val="0"/>
      <w:marBottom w:val="0"/>
      <w:divBdr>
        <w:top w:val="none" w:sz="0" w:space="0" w:color="auto"/>
        <w:left w:val="none" w:sz="0" w:space="0" w:color="auto"/>
        <w:bottom w:val="none" w:sz="0" w:space="0" w:color="auto"/>
        <w:right w:val="none" w:sz="0" w:space="0" w:color="auto"/>
      </w:divBdr>
    </w:div>
    <w:div w:id="1760783993">
      <w:bodyDiv w:val="1"/>
      <w:marLeft w:val="0"/>
      <w:marRight w:val="0"/>
      <w:marTop w:val="0"/>
      <w:marBottom w:val="0"/>
      <w:divBdr>
        <w:top w:val="none" w:sz="0" w:space="0" w:color="auto"/>
        <w:left w:val="none" w:sz="0" w:space="0" w:color="auto"/>
        <w:bottom w:val="none" w:sz="0" w:space="0" w:color="auto"/>
        <w:right w:val="none" w:sz="0" w:space="0" w:color="auto"/>
      </w:divBdr>
    </w:div>
    <w:div w:id="21466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c-csc.lexum.com/scc-csc/scc-csc/en/item/2748/index.do" TargetMode="External"/><Relationship Id="rId18" Type="http://schemas.openxmlformats.org/officeDocument/2006/relationships/hyperlink" Target="https://www.canlii.org/en/ca/fca/doc/1985/1985canlii3160/1985canlii3160.html?searchUrlHash=AAAAAQAlTWFjQmFpbiB2LiBMZWRlcm1hbiwgMTk4NSBDYW5MSUkgNTU0OAAAAAAB&amp;resultIndex=1" TargetMode="External"/><Relationship Id="rId26" Type="http://schemas.openxmlformats.org/officeDocument/2006/relationships/hyperlink" Target="https://www.canlii.org/en/bc/laws/stat/sbc-2008-c-28/latest/sbc-2008-c-28.html" TargetMode="External"/><Relationship Id="rId39" Type="http://schemas.openxmlformats.org/officeDocument/2006/relationships/hyperlink" Target="https://scc-csc.lexum.com/scc-csc/scc-csc/en/item/2751/index.do" TargetMode="External"/><Relationship Id="rId21" Type="http://schemas.openxmlformats.org/officeDocument/2006/relationships/hyperlink" Target="https://www.canlii.org/en/ca/laws/stat/schedule-b-to-the-canada-act-1982-uk-1982-c-11/latest/schedule-b-to-the-canada-act-1982-uk-1982-c-11.html" TargetMode="External"/><Relationship Id="rId34" Type="http://schemas.openxmlformats.org/officeDocument/2006/relationships/hyperlink" Target="https://www.occupationalhealthandsafetylaw.com/employer-breached-ohsa-collective-agreement-by-sharing-employees-medical-information-with-another-employer/" TargetMode="External"/><Relationship Id="rId42" Type="http://schemas.openxmlformats.org/officeDocument/2006/relationships/hyperlink" Target="https://scc-csc.lexum.com/scc-csc/scc-csc/en/item/970/index.do" TargetMode="External"/><Relationship Id="rId47" Type="http://schemas.openxmlformats.org/officeDocument/2006/relationships/hyperlink" Target="https://www.canlii.org/en/mb/mbca/doc/2005/2005mbca78/2005mbca78.html?resultIndex=1" TargetMode="External"/><Relationship Id="rId50" Type="http://schemas.openxmlformats.org/officeDocument/2006/relationships/footer" Target="footer1.xml"/><Relationship Id="rId7" Type="http://schemas.openxmlformats.org/officeDocument/2006/relationships/hyperlink" Target="https://www.canlii.org/en/ca/scc/doc/1938/1938canlii1/1938canlii1.html" TargetMode="External"/><Relationship Id="rId2" Type="http://schemas.openxmlformats.org/officeDocument/2006/relationships/styles" Target="styles.xml"/><Relationship Id="rId16" Type="http://schemas.openxmlformats.org/officeDocument/2006/relationships/hyperlink" Target="https://www.canlii.org/en/ca/scc/doc/1986/1986canlii24/1986canlii24.html?searchUrlHash=AAAAAQA-VGhlIFF1ZWVuIHYuIEJlYXVyZWdhcmQsIDE5ODYgQ2FuTElJIDI0IChTQ0MpLCBbMTk4Nl0gMiBTQ1IgNTYAAAAAAQ&amp;resultIndex=1" TargetMode="External"/><Relationship Id="rId29" Type="http://schemas.openxmlformats.org/officeDocument/2006/relationships/hyperlink" Target="https://www.canlii.org/en/ca/laws/stat/schedule-b-to-the-canada-act-1982-uk-1982-c-11/latest/schedule-b-to-the-canada-act-1982-uk-1982-c-11.html" TargetMode="External"/><Relationship Id="rId11" Type="http://schemas.openxmlformats.org/officeDocument/2006/relationships/hyperlink" Target="https://www.canlii.org/en/on/onsc/doc/1974/1974canlii586/1974canlii586.html?searchUrlHash=AAAAAQAiIkNhbmFkaWFuIGJpbGwgb2YgcmlnaHRzIiAiYnktbGF3IgAAAAAB&amp;resultIndex=183" TargetMode="External"/><Relationship Id="rId24" Type="http://schemas.openxmlformats.org/officeDocument/2006/relationships/hyperlink" Target="https://www.canlii.org/en/bc/laws/stat/sbc-2008-c-28/latest/sbc-2008-c-28.html" TargetMode="External"/><Relationship Id="rId32" Type="http://schemas.openxmlformats.org/officeDocument/2006/relationships/hyperlink" Target="https://www.canlii.org/en/on/onca/doc/2017/2017onca668/2017onca668.pdf" TargetMode="External"/><Relationship Id="rId37" Type="http://schemas.openxmlformats.org/officeDocument/2006/relationships/hyperlink" Target="https://scc-csc.lexum.com/scc-csc/scc-csc/en/item/1684/index.do" TargetMode="External"/><Relationship Id="rId40" Type="http://schemas.openxmlformats.org/officeDocument/2006/relationships/hyperlink" Target="https://www.canlii.org/en/on/onca/doc/2001/2001canlii8594/2001canlii8594.html?searchUrlHash=AAAAAQAfUzI1ICgxKSBDcmltaW5hbCBDb2RlIG9mIENhbmFkYQAAAAAB&amp;resultIndex=1" TargetMode="External"/><Relationship Id="rId45" Type="http://schemas.openxmlformats.org/officeDocument/2006/relationships/hyperlink" Target="https://qweri.lexum.com/calegis/schedule-b-to-the-canada-act-1982-uk-1982-c-11-en"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canlii.org/en/on/onla/doc/1978/1978canlii3475/1978canlii3475.html?searchUrlHash=AAAAAQBSQ29ycG9yYXRpb24gb2YgdGhlIENpdHkgb2YgTG9uZG9uIGFuZCBMb25kb24gQ2l2aWMgRW1wbG95ZWVzIFVuaW9uLCBMb2NhbCAxMDcgMTk3OAAAAAAB&amp;resultIndex=1&amp;fbclid=IwAR0YJ9h4HKmyZbpqpY3uE6VCKmZGQ0HwTsknPqHb4oDmQPEr9dYtL4Okn9U" TargetMode="External"/><Relationship Id="rId19" Type="http://schemas.openxmlformats.org/officeDocument/2006/relationships/hyperlink" Target="https://www.canlii.org/en/on/onsc/doc/2021/2021onsc7701/2021onsc7701.html?searchUrlHash=AAAAAQA7T2dsYXphIHYuIEouQS5LLksuIFR1ZXNkYXlzIFNwb3J0cyBQdWIgSW5jLiwgMjAyMSBPTlNDIDc3MDEAAAAAAQ&amp;resultIndex=2" TargetMode="External"/><Relationship Id="rId31" Type="http://schemas.openxmlformats.org/officeDocument/2006/relationships/hyperlink" Target="https://scc-csc.lexum.com/scc-csc/scc-csc/en/item/17947/index.do" TargetMode="External"/><Relationship Id="rId44" Type="http://schemas.openxmlformats.org/officeDocument/2006/relationships/hyperlink" Target="https://scc-csc.lexum.com/scc-csc/scc-csc/en/item/16057/index.d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lii.org/en/ab/abpc/doc/1970/1970canlii1203/1970canlii1203.html?searchUrlHash=AAAAAQAVUi4gdi4gQ29sZGJlY2ssIDE5NzAgAAAAAAE&amp;resultIndex=1&amp;fbclid=IwAR2Z-jMnI5U-hs6C7jGuHqtBpebDiz_7sHcUz_Wu6Y8_7pRhqWrZmAVbGf4" TargetMode="External"/><Relationship Id="rId14" Type="http://schemas.openxmlformats.org/officeDocument/2006/relationships/hyperlink" Target="https://www.canlii.org/en/ca/scc/doc/2003/2003scc38/2003scc38.html" TargetMode="External"/><Relationship Id="rId22" Type="http://schemas.openxmlformats.org/officeDocument/2006/relationships/hyperlink" Target="https://www.canlii.org/en/ca/laws/stat/schedule-b-to-the-canada-act-1982-uk-1982-c-11/latest/schedule-b-to-the-canada-act-1982-uk-1982-c-11.html" TargetMode="External"/><Relationship Id="rId27" Type="http://schemas.openxmlformats.org/officeDocument/2006/relationships/hyperlink" Target="https://www.canlii.org/en/bc/laws/stat/sbc-2008-c-28/latest/sbc-2008-c-28.html" TargetMode="External"/><Relationship Id="rId30" Type="http://schemas.openxmlformats.org/officeDocument/2006/relationships/hyperlink" Target="https://www.canlii.org/en/ca/laws/stat/schedule-b-to-the-canada-act-1982-uk-1982-c-11/latest/schedule-b-to-the-canada-act-1982-uk-1982-c-11.html" TargetMode="External"/><Relationship Id="rId35" Type="http://schemas.openxmlformats.org/officeDocument/2006/relationships/hyperlink" Target="https://www.canlii.org/en/ca/scc/doc/1945/1945canlii13/1945canlii13.html" TargetMode="External"/><Relationship Id="rId43" Type="http://schemas.openxmlformats.org/officeDocument/2006/relationships/hyperlink" Target="https://qweri.lexum.com/calegis/rsc-1985-c-c-46-en" TargetMode="External"/><Relationship Id="rId48" Type="http://schemas.openxmlformats.org/officeDocument/2006/relationships/hyperlink" Target="http://criminalnotebook.ca/index.php/Obstruction_of_a_Peace_Officer_(Offence)" TargetMode="External"/><Relationship Id="rId8" Type="http://schemas.openxmlformats.org/officeDocument/2006/relationships/hyperlink" Target="https://www.canlii.org/en/on/onca/doc/2012/2012onca32/2012onca32.html"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canlii.org/en/ca/scc/doc/1955/1955canlii69/1955canlii69.html" TargetMode="External"/><Relationship Id="rId17" Type="http://schemas.openxmlformats.org/officeDocument/2006/relationships/hyperlink" Target="https://www.canlii.org/en/ca/scc/doc/1985/1985canlii65/1985canlii65.html?searchUrlHash=AAAAAQA1U2luZ2ggdi4gTWluaXN0ZXIgb2YgRW1wbG95bWVudCBhbmQgSW1taWdyYXRpb24sIDE5ODUAAAAAAQ&amp;resultIndex=1" TargetMode="External"/><Relationship Id="rId25" Type="http://schemas.openxmlformats.org/officeDocument/2006/relationships/hyperlink" Target="https://www.canlii.org/en/bc/laws/stat/sbc-2008-c-28/latest/sbc-2008-c-28.html" TargetMode="External"/><Relationship Id="rId33" Type="http://schemas.openxmlformats.org/officeDocument/2006/relationships/hyperlink" Target="https://canliiconnects.org/en/commentaries/46624" TargetMode="External"/><Relationship Id="rId38" Type="http://schemas.openxmlformats.org/officeDocument/2006/relationships/hyperlink" Target="https://www.canlii.org/en/ca/scc/doc/1983/1983canlii34/1983canlii34.html" TargetMode="External"/><Relationship Id="rId46" Type="http://schemas.openxmlformats.org/officeDocument/2006/relationships/hyperlink" Target="https://qweri.lexum.com/calegis/schedule-b-to-the-canada-act-1982-uk-1982-c-11-en" TargetMode="External"/><Relationship Id="rId20" Type="http://schemas.openxmlformats.org/officeDocument/2006/relationships/hyperlink" Target="https://www.canlii.org/en/bc/bcsc/doc/2021/2021bcsc512/2021bcsc512.html?resultIndex=1" TargetMode="External"/><Relationship Id="rId41" Type="http://schemas.openxmlformats.org/officeDocument/2006/relationships/hyperlink" Target="https://www.legislation.gov.uk/aep/WillandMarSess2/1/2/introduc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en/bc/bcsc/doc/1986/1986canlii966/1986canlii966.html?searchUrlHash=AAAAAQAlUi4gdi4gQW5kcmV3LCAxOTg2IENhbkxJSSA5NjYgKEJDIFNDKQAAAAAB&amp;resultIndex=1" TargetMode="External"/><Relationship Id="rId23" Type="http://schemas.openxmlformats.org/officeDocument/2006/relationships/hyperlink" Target="https://www.canlii.org/en/ca/laws/stat/schedule-b-to-the-canada-act-1982-uk-1982-c-11/latest/schedule-b-to-the-canada-act-1982-uk-1982-c-11.html" TargetMode="External"/><Relationship Id="rId28" Type="http://schemas.openxmlformats.org/officeDocument/2006/relationships/hyperlink" Target="https://www.canlii.org/en/bc/laws/stat/sbc-2008-c-28/latest/sbc-2008-c-28.html" TargetMode="External"/><Relationship Id="rId36" Type="http://schemas.openxmlformats.org/officeDocument/2006/relationships/hyperlink" Target="https://scc-csc.lexum.com/scc-csc/scc-csc/en/item/2553/index.do"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6414</Words>
  <Characters>36564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Sheppard</dc:creator>
  <cp:keywords/>
  <dc:description/>
  <cp:lastModifiedBy>Rebecca Sheppard</cp:lastModifiedBy>
  <cp:revision>2</cp:revision>
  <dcterms:created xsi:type="dcterms:W3CDTF">2023-01-24T06:05:00Z</dcterms:created>
  <dcterms:modified xsi:type="dcterms:W3CDTF">2023-01-24T06:05:00Z</dcterms:modified>
</cp:coreProperties>
</file>