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A79F" w14:textId="77777777" w:rsidR="00271A75" w:rsidRDefault="00271A75" w:rsidP="00F83627"/>
    <w:p w14:paraId="39BC2E58" w14:textId="77777777" w:rsidR="00625CA6" w:rsidRDefault="00625CA6" w:rsidP="00AC2D1A">
      <w:pPr>
        <w:jc w:val="center"/>
        <w:rPr>
          <w:b/>
          <w:caps/>
        </w:rPr>
      </w:pPr>
    </w:p>
    <w:p w14:paraId="034AA690" w14:textId="77777777" w:rsidR="005D0630" w:rsidRDefault="00062401" w:rsidP="00AC2D1A">
      <w:pPr>
        <w:jc w:val="center"/>
        <w:rPr>
          <w:b/>
          <w:caps/>
        </w:rPr>
      </w:pPr>
      <w:r>
        <w:rPr>
          <w:b/>
          <w:caps/>
        </w:rPr>
        <w:t>What is Coaching?</w:t>
      </w:r>
    </w:p>
    <w:p w14:paraId="61E490EB" w14:textId="77777777" w:rsidR="0030161E" w:rsidRDefault="0030161E" w:rsidP="009E5519"/>
    <w:p w14:paraId="18986077" w14:textId="77777777" w:rsidR="003B0236" w:rsidRPr="00366323" w:rsidRDefault="003B0236" w:rsidP="009E5519"/>
    <w:p w14:paraId="28B97E96" w14:textId="77777777" w:rsidR="00060992" w:rsidRPr="000A0724" w:rsidRDefault="00F52E52" w:rsidP="00434C77">
      <w:pPr>
        <w:jc w:val="both"/>
      </w:pPr>
      <w:r>
        <w:t>The word “coach” origin</w:t>
      </w:r>
      <w:r w:rsidR="00434C77">
        <w:t>ated from</w:t>
      </w:r>
      <w:r w:rsidR="00B4585B">
        <w:t xml:space="preserve"> the Hungarian word “</w:t>
      </w:r>
      <w:proofErr w:type="spellStart"/>
      <w:r w:rsidR="00B4585B">
        <w:t>kocs</w:t>
      </w:r>
      <w:proofErr w:type="spellEnd"/>
      <w:r w:rsidR="00B4585B">
        <w:t>”,</w:t>
      </w:r>
      <w:r w:rsidR="00434C77">
        <w:t xml:space="preserve"> the name of a small town</w:t>
      </w:r>
      <w:r w:rsidR="00B4585B">
        <w:t xml:space="preserve"> </w:t>
      </w:r>
      <w:r w:rsidR="00EF4945">
        <w:t>near Budapest</w:t>
      </w:r>
      <w:r w:rsidR="00B4585B">
        <w:t xml:space="preserve"> </w:t>
      </w:r>
      <w:r w:rsidR="00EF4945">
        <w:t>where cart makers and transport experts honed their craft</w:t>
      </w:r>
      <w:r w:rsidR="003B0236">
        <w:t>. Just as a coach</w:t>
      </w:r>
      <w:r>
        <w:t xml:space="preserve"> carries people</w:t>
      </w:r>
      <w:r w:rsidR="00434C77">
        <w:t xml:space="preserve"> and/or goods</w:t>
      </w:r>
      <w:r>
        <w:t xml:space="preserve"> from one place to another, the act of “coaching” intends to transport clients from where they are to where they want to be.</w:t>
      </w:r>
      <w:r w:rsidR="009E6641">
        <w:t xml:space="preserve"> Despite a shared origin of the word “coaching”, </w:t>
      </w:r>
      <w:r w:rsidR="00434C77">
        <w:t>coaching</w:t>
      </w:r>
      <w:r w:rsidR="009E6641">
        <w:t xml:space="preserve"> scholars and practitioners</w:t>
      </w:r>
      <w:r w:rsidR="001F6525">
        <w:t xml:space="preserve"> have not </w:t>
      </w:r>
      <w:r w:rsidR="009E6641">
        <w:t>reached consensus on a definition of the term.</w:t>
      </w:r>
    </w:p>
    <w:p w14:paraId="6F3A13A9" w14:textId="77777777" w:rsidR="00084ED2" w:rsidRPr="00084ED2" w:rsidRDefault="00084ED2" w:rsidP="00366323"/>
    <w:p w14:paraId="22112C10" w14:textId="77777777" w:rsidR="00D82E9B" w:rsidRPr="00366323" w:rsidRDefault="00510793" w:rsidP="00366323">
      <w:r>
        <w:rPr>
          <w:b/>
        </w:rPr>
        <w:t xml:space="preserve">Coaching Defined </w:t>
      </w:r>
      <w:proofErr w:type="gramStart"/>
      <w:r>
        <w:rPr>
          <w:b/>
        </w:rPr>
        <w:t>By</w:t>
      </w:r>
      <w:proofErr w:type="gramEnd"/>
      <w:r>
        <w:rPr>
          <w:b/>
        </w:rPr>
        <w:t xml:space="preserve"> Scholars</w:t>
      </w:r>
    </w:p>
    <w:p w14:paraId="07D42A6C" w14:textId="77777777" w:rsidR="00510793" w:rsidRDefault="00766DB2" w:rsidP="00D3388C">
      <w:pPr>
        <w:jc w:val="both"/>
      </w:pPr>
      <w:r>
        <w:t>D</w:t>
      </w:r>
      <w:r w:rsidR="00C81BDE">
        <w:t>rawing upon three</w:t>
      </w:r>
      <w:r>
        <w:t xml:space="preserve"> </w:t>
      </w:r>
      <w:r w:rsidR="00C81BDE">
        <w:t>reviews of coaching literature</w:t>
      </w:r>
      <w:r>
        <w:t xml:space="preserve"> (Athanasopoulou &amp; Dopson, 2015; Hamlin, Ellinger, &amp; Beattie, 2008; Maltbia, </w:t>
      </w:r>
      <w:proofErr w:type="spellStart"/>
      <w:r>
        <w:t>Marsick</w:t>
      </w:r>
      <w:proofErr w:type="spellEnd"/>
      <w:r>
        <w:t xml:space="preserve">, &amp; Ghosh, 2014), </w:t>
      </w:r>
      <w:r w:rsidR="00393F2E">
        <w:t xml:space="preserve">almost 50 </w:t>
      </w:r>
      <w:r>
        <w:t>distinct definitions of coachi</w:t>
      </w:r>
      <w:r w:rsidR="00D2711C">
        <w:t xml:space="preserve">ng </w:t>
      </w:r>
      <w:r w:rsidR="00393F2E">
        <w:t>exist</w:t>
      </w:r>
      <w:r w:rsidR="00D2711C">
        <w:t>.</w:t>
      </w:r>
      <w:r w:rsidR="00393F2E">
        <w:t xml:space="preserve"> Fifteen of the</w:t>
      </w:r>
      <w:r w:rsidR="009E6641">
        <w:t xml:space="preserve"> </w:t>
      </w:r>
      <w:proofErr w:type="gramStart"/>
      <w:r w:rsidR="009E6641">
        <w:t>most commonly referenced</w:t>
      </w:r>
      <w:proofErr w:type="gramEnd"/>
      <w:r w:rsidR="009E6641">
        <w:t xml:space="preserve"> </w:t>
      </w:r>
      <w:r w:rsidR="00393F2E">
        <w:t>definitions are provided in chronological order in the table below.</w:t>
      </w:r>
    </w:p>
    <w:p w14:paraId="716C2515" w14:textId="77777777" w:rsidR="003B0236" w:rsidRDefault="003B0236" w:rsidP="00D3388C">
      <w:pPr>
        <w:jc w:val="both"/>
      </w:pPr>
    </w:p>
    <w:p w14:paraId="5CD78B24" w14:textId="77777777" w:rsidR="00434C77" w:rsidRDefault="003A4360" w:rsidP="00D3388C">
      <w:pPr>
        <w:jc w:val="both"/>
      </w:pPr>
      <w:r>
        <w:t xml:space="preserve">Table 1: </w:t>
      </w:r>
      <w:r w:rsidR="00C80B03">
        <w:t xml:space="preserve">Scholarly </w:t>
      </w:r>
      <w:r>
        <w:t>Definitions of Coaching</w:t>
      </w:r>
    </w:p>
    <w:p w14:paraId="5401CF4D" w14:textId="77777777" w:rsidR="00766DB2" w:rsidRDefault="00766DB2" w:rsidP="00D3388C">
      <w:pPr>
        <w:jc w:val="both"/>
      </w:pPr>
    </w:p>
    <w:tbl>
      <w:tblPr>
        <w:tblW w:w="9540" w:type="dxa"/>
        <w:tblInd w:w="108" w:type="dxa"/>
        <w:tblLook w:val="04A0" w:firstRow="1" w:lastRow="0" w:firstColumn="1" w:lastColumn="0" w:noHBand="0" w:noVBand="1"/>
      </w:tblPr>
      <w:tblGrid>
        <w:gridCol w:w="2070"/>
        <w:gridCol w:w="7470"/>
      </w:tblGrid>
      <w:tr w:rsidR="0084527A" w14:paraId="606F383B" w14:textId="77777777" w:rsidTr="00B00A28">
        <w:tc>
          <w:tcPr>
            <w:tcW w:w="2070" w:type="dxa"/>
            <w:shd w:val="clear" w:color="auto" w:fill="auto"/>
          </w:tcPr>
          <w:p w14:paraId="647A940A" w14:textId="77777777" w:rsidR="0084527A" w:rsidRPr="00AF4BAC" w:rsidRDefault="0084527A" w:rsidP="006F2E80">
            <w:pPr>
              <w:jc w:val="both"/>
              <w:rPr>
                <w:bCs/>
              </w:rPr>
            </w:pPr>
            <w:r w:rsidRPr="00AF4BAC">
              <w:rPr>
                <w:bCs/>
              </w:rPr>
              <w:t>SOURCE</w:t>
            </w:r>
          </w:p>
        </w:tc>
        <w:tc>
          <w:tcPr>
            <w:tcW w:w="7470" w:type="dxa"/>
            <w:shd w:val="clear" w:color="auto" w:fill="auto"/>
          </w:tcPr>
          <w:p w14:paraId="4D8E2005" w14:textId="77777777" w:rsidR="0084527A" w:rsidRPr="00AF4BAC" w:rsidRDefault="0084527A" w:rsidP="006F2E80">
            <w:pPr>
              <w:jc w:val="both"/>
              <w:rPr>
                <w:bCs/>
              </w:rPr>
            </w:pPr>
            <w:r w:rsidRPr="00AF4BAC">
              <w:rPr>
                <w:bCs/>
              </w:rPr>
              <w:t>DEFINITION</w:t>
            </w:r>
          </w:p>
        </w:tc>
      </w:tr>
      <w:tr w:rsidR="006F2E80" w14:paraId="4432A807" w14:textId="77777777" w:rsidTr="00B00A28">
        <w:tc>
          <w:tcPr>
            <w:tcW w:w="2070" w:type="dxa"/>
            <w:shd w:val="clear" w:color="auto" w:fill="F2F2F2"/>
          </w:tcPr>
          <w:p w14:paraId="25CD162A" w14:textId="77777777" w:rsidR="0079024D" w:rsidRPr="003A4360" w:rsidRDefault="0079024D" w:rsidP="0079024D">
            <w:pPr>
              <w:rPr>
                <w:bCs/>
              </w:rPr>
            </w:pPr>
            <w:r w:rsidRPr="003A4360">
              <w:rPr>
                <w:bCs/>
              </w:rPr>
              <w:t>Kilburg, 1996</w:t>
            </w:r>
          </w:p>
        </w:tc>
        <w:tc>
          <w:tcPr>
            <w:tcW w:w="7470" w:type="dxa"/>
            <w:shd w:val="clear" w:color="auto" w:fill="F2F2F2"/>
          </w:tcPr>
          <w:p w14:paraId="47D7FDDB" w14:textId="77777777" w:rsidR="0079024D" w:rsidRPr="005610DA" w:rsidRDefault="0079024D" w:rsidP="006F2E80">
            <w:pPr>
              <w:jc w:val="both"/>
            </w:pPr>
            <w:r>
              <w:t>A helping relationship formed between a client who has managerial authority and responsibility in an organization and a consultant who uses a wide variety of behavioral techniques and methods to</w:t>
            </w:r>
            <w:r w:rsidR="00323072">
              <w:t xml:space="preserve"> </w:t>
            </w:r>
            <w:r>
              <w:t>help the client achieve a mutually identified set of goals to improve his or her professional performance and personal satisfaction and, consequently, to improve the effectiveness of the client’s organization within a formally defined coaching agreement (p. 142)</w:t>
            </w:r>
          </w:p>
        </w:tc>
      </w:tr>
      <w:tr w:rsidR="0079024D" w14:paraId="2745E6B8" w14:textId="77777777" w:rsidTr="00B00A28">
        <w:tc>
          <w:tcPr>
            <w:tcW w:w="2070" w:type="dxa"/>
            <w:shd w:val="clear" w:color="auto" w:fill="auto"/>
          </w:tcPr>
          <w:p w14:paraId="6664FCD7" w14:textId="77777777" w:rsidR="0079024D" w:rsidRPr="003A4360" w:rsidRDefault="0079024D" w:rsidP="0079024D">
            <w:pPr>
              <w:rPr>
                <w:bCs/>
              </w:rPr>
            </w:pPr>
            <w:r w:rsidRPr="003A4360">
              <w:rPr>
                <w:bCs/>
              </w:rPr>
              <w:t>Tobias, 1996</w:t>
            </w:r>
          </w:p>
        </w:tc>
        <w:tc>
          <w:tcPr>
            <w:tcW w:w="7470" w:type="dxa"/>
            <w:shd w:val="clear" w:color="auto" w:fill="auto"/>
          </w:tcPr>
          <w:p w14:paraId="4B44BE50" w14:textId="77777777" w:rsidR="0079024D" w:rsidRPr="005610DA" w:rsidRDefault="0079024D" w:rsidP="0099078C">
            <w:pPr>
              <w:jc w:val="both"/>
            </w:pPr>
            <w:r>
              <w:t>In its narrowest sense coaching is seen as help to someone who has irritated others in the organization, on a broader sense it would refer to someone who has conflictual relationships with others or trou</w:t>
            </w:r>
            <w:r w:rsidR="00323072">
              <w:t>b</w:t>
            </w:r>
            <w:r>
              <w:t>le in adjusting to organizational or personal changes and crises</w:t>
            </w:r>
            <w:r w:rsidR="0099078C">
              <w:t xml:space="preserve"> (p. 87</w:t>
            </w:r>
            <w:r>
              <w:t>)</w:t>
            </w:r>
          </w:p>
        </w:tc>
      </w:tr>
      <w:tr w:rsidR="006F2E80" w14:paraId="45910EAD" w14:textId="77777777" w:rsidTr="00B00A28">
        <w:tc>
          <w:tcPr>
            <w:tcW w:w="2070" w:type="dxa"/>
            <w:shd w:val="clear" w:color="auto" w:fill="F2F2F2"/>
          </w:tcPr>
          <w:p w14:paraId="3FB0EAA6" w14:textId="77777777" w:rsidR="0079024D" w:rsidRPr="003A4360" w:rsidRDefault="0079024D" w:rsidP="0079024D">
            <w:pPr>
              <w:rPr>
                <w:bCs/>
              </w:rPr>
            </w:pPr>
            <w:r w:rsidRPr="003A4360">
              <w:rPr>
                <w:bCs/>
              </w:rPr>
              <w:t>Witherspoon &amp; White, 1996</w:t>
            </w:r>
          </w:p>
        </w:tc>
        <w:tc>
          <w:tcPr>
            <w:tcW w:w="7470" w:type="dxa"/>
            <w:shd w:val="clear" w:color="auto" w:fill="F2F2F2"/>
          </w:tcPr>
          <w:p w14:paraId="0126B8ED" w14:textId="77777777" w:rsidR="0079024D" w:rsidRPr="005610DA" w:rsidRDefault="0079024D" w:rsidP="006F2E80">
            <w:pPr>
              <w:jc w:val="both"/>
            </w:pPr>
            <w:r>
              <w:t xml:space="preserve">A confidential, highly personal learning process – an organized, personal learning provided over a specified </w:t>
            </w:r>
            <w:proofErr w:type="gramStart"/>
            <w:r>
              <w:t>period of time</w:t>
            </w:r>
            <w:proofErr w:type="gramEnd"/>
            <w:r>
              <w:t xml:space="preserve"> to bring about the possibility of effective action, performance improvement, and or growth (p. 127)</w:t>
            </w:r>
          </w:p>
        </w:tc>
      </w:tr>
      <w:tr w:rsidR="0079024D" w14:paraId="48D2203E" w14:textId="77777777" w:rsidTr="00B00A28">
        <w:tc>
          <w:tcPr>
            <w:tcW w:w="2070" w:type="dxa"/>
            <w:shd w:val="clear" w:color="auto" w:fill="auto"/>
          </w:tcPr>
          <w:p w14:paraId="68ECCDA0" w14:textId="77777777" w:rsidR="0079024D" w:rsidRPr="003A4360" w:rsidRDefault="0079024D" w:rsidP="0079024D">
            <w:pPr>
              <w:rPr>
                <w:bCs/>
              </w:rPr>
            </w:pPr>
            <w:r w:rsidRPr="003A4360">
              <w:rPr>
                <w:bCs/>
              </w:rPr>
              <w:t xml:space="preserve">Hall, </w:t>
            </w:r>
            <w:proofErr w:type="spellStart"/>
            <w:r w:rsidRPr="003A4360">
              <w:rPr>
                <w:bCs/>
              </w:rPr>
              <w:t>Otazo</w:t>
            </w:r>
            <w:proofErr w:type="spellEnd"/>
            <w:r w:rsidRPr="003A4360">
              <w:rPr>
                <w:bCs/>
              </w:rPr>
              <w:t>, &amp; Hollenbeck, 1999</w:t>
            </w:r>
          </w:p>
        </w:tc>
        <w:tc>
          <w:tcPr>
            <w:tcW w:w="7470" w:type="dxa"/>
            <w:shd w:val="clear" w:color="auto" w:fill="auto"/>
          </w:tcPr>
          <w:p w14:paraId="5F996311" w14:textId="77777777" w:rsidR="007F78D7" w:rsidRDefault="0079024D" w:rsidP="006F2E80">
            <w:pPr>
              <w:jc w:val="both"/>
            </w:pPr>
            <w:r>
              <w:t>A practical, goal-focused form of personal, one-on-one learning for business executives and may be used to improve performance or executive behavior, enhancing a career or prevent derailment, and work through organizational issues or change initiatives (p. 40)</w:t>
            </w:r>
          </w:p>
          <w:p w14:paraId="1A7A6B41" w14:textId="77777777" w:rsidR="007463DA" w:rsidRDefault="007463DA" w:rsidP="006F2E80">
            <w:pPr>
              <w:jc w:val="both"/>
            </w:pPr>
          </w:p>
          <w:p w14:paraId="65715B8D" w14:textId="77777777" w:rsidR="00DB7562" w:rsidRPr="005610DA" w:rsidRDefault="00DB7562" w:rsidP="006F2E80">
            <w:pPr>
              <w:jc w:val="both"/>
            </w:pPr>
          </w:p>
        </w:tc>
      </w:tr>
      <w:tr w:rsidR="0079024D" w14:paraId="3590A9EF" w14:textId="77777777" w:rsidTr="00B00A28">
        <w:tc>
          <w:tcPr>
            <w:tcW w:w="2070" w:type="dxa"/>
            <w:shd w:val="clear" w:color="auto" w:fill="F2F2F2"/>
          </w:tcPr>
          <w:p w14:paraId="402BB334" w14:textId="77777777" w:rsidR="0079024D" w:rsidRPr="003A4360" w:rsidRDefault="0079024D" w:rsidP="0079024D">
            <w:pPr>
              <w:rPr>
                <w:bCs/>
              </w:rPr>
            </w:pPr>
            <w:r w:rsidRPr="003A4360">
              <w:rPr>
                <w:bCs/>
              </w:rPr>
              <w:lastRenderedPageBreak/>
              <w:t xml:space="preserve">Garman, </w:t>
            </w:r>
            <w:r w:rsidR="000B173A" w:rsidRPr="003A4360">
              <w:rPr>
                <w:bCs/>
              </w:rPr>
              <w:t xml:space="preserve">Whiston, &amp; </w:t>
            </w:r>
            <w:proofErr w:type="spellStart"/>
            <w:r w:rsidR="000B173A" w:rsidRPr="003A4360">
              <w:rPr>
                <w:bCs/>
              </w:rPr>
              <w:t>Slatoper</w:t>
            </w:r>
            <w:proofErr w:type="spellEnd"/>
            <w:r w:rsidR="000B173A" w:rsidRPr="003A4360">
              <w:rPr>
                <w:bCs/>
              </w:rPr>
              <w:t>, 2000</w:t>
            </w:r>
          </w:p>
        </w:tc>
        <w:tc>
          <w:tcPr>
            <w:tcW w:w="7470" w:type="dxa"/>
            <w:shd w:val="clear" w:color="auto" w:fill="F2F2F2"/>
          </w:tcPr>
          <w:p w14:paraId="6786B312" w14:textId="77777777" w:rsidR="0079024D" w:rsidRDefault="000B173A" w:rsidP="006F2E80">
            <w:pPr>
              <w:jc w:val="both"/>
            </w:pPr>
            <w:r>
              <w:t>One-on-one consultation, provided by outsiders (individuals who do not have organizational ties), regarding the consultee’s individual performance as it relates to a specific organizational context or contexts (p. 202)</w:t>
            </w:r>
          </w:p>
        </w:tc>
      </w:tr>
      <w:tr w:rsidR="0079024D" w14:paraId="3AD13187" w14:textId="77777777" w:rsidTr="00B00A28">
        <w:tc>
          <w:tcPr>
            <w:tcW w:w="2070" w:type="dxa"/>
            <w:shd w:val="clear" w:color="auto" w:fill="auto"/>
          </w:tcPr>
          <w:p w14:paraId="09D3FAFD" w14:textId="77777777" w:rsidR="0079024D" w:rsidRPr="003A4360" w:rsidRDefault="0079024D" w:rsidP="0079024D">
            <w:pPr>
              <w:rPr>
                <w:bCs/>
              </w:rPr>
            </w:pPr>
            <w:r w:rsidRPr="003A4360">
              <w:rPr>
                <w:bCs/>
              </w:rPr>
              <w:t>Kampa-Kokesch &amp; Anderson, 2001</w:t>
            </w:r>
          </w:p>
        </w:tc>
        <w:tc>
          <w:tcPr>
            <w:tcW w:w="7470" w:type="dxa"/>
            <w:shd w:val="clear" w:color="auto" w:fill="auto"/>
          </w:tcPr>
          <w:p w14:paraId="24506220" w14:textId="77777777" w:rsidR="0079024D" w:rsidRPr="005610DA" w:rsidRDefault="0079024D" w:rsidP="006F2E80">
            <w:pPr>
              <w:jc w:val="both"/>
            </w:pPr>
            <w:r>
              <w:t>A systematic feedback intervention aimed at enhancing professional skills, interpersonal awareness, and personal effectiveness (p. 208)</w:t>
            </w:r>
          </w:p>
        </w:tc>
      </w:tr>
      <w:tr w:rsidR="006F2E80" w14:paraId="737B2B35" w14:textId="77777777" w:rsidTr="00B00A28">
        <w:tc>
          <w:tcPr>
            <w:tcW w:w="2070" w:type="dxa"/>
            <w:shd w:val="clear" w:color="auto" w:fill="F2F2F2"/>
          </w:tcPr>
          <w:p w14:paraId="0665E1F6" w14:textId="77777777" w:rsidR="0079024D" w:rsidRPr="003A4360" w:rsidRDefault="000B173A" w:rsidP="0079024D">
            <w:pPr>
              <w:rPr>
                <w:bCs/>
              </w:rPr>
            </w:pPr>
            <w:r w:rsidRPr="003A4360">
              <w:rPr>
                <w:bCs/>
              </w:rPr>
              <w:t>Peltier, 2001</w:t>
            </w:r>
          </w:p>
        </w:tc>
        <w:tc>
          <w:tcPr>
            <w:tcW w:w="7470" w:type="dxa"/>
            <w:shd w:val="clear" w:color="auto" w:fill="F2F2F2"/>
          </w:tcPr>
          <w:p w14:paraId="0D9A4CA6" w14:textId="77777777" w:rsidR="0079024D" w:rsidRPr="005610DA" w:rsidRDefault="000B173A" w:rsidP="006F2E80">
            <w:pPr>
              <w:jc w:val="both"/>
            </w:pPr>
            <w:r>
              <w:t>One-on-one servi</w:t>
            </w:r>
            <w:r w:rsidR="003C1A78">
              <w:t>c</w:t>
            </w:r>
            <w:r>
              <w:t>es to top level leaders in an organization, on the principle that positive changes can be leveraged to filter down and enhance the entire organization (p. xv)</w:t>
            </w:r>
          </w:p>
        </w:tc>
      </w:tr>
      <w:tr w:rsidR="00443F4A" w14:paraId="4D952E02" w14:textId="77777777" w:rsidTr="00B00A28">
        <w:tc>
          <w:tcPr>
            <w:tcW w:w="2070" w:type="dxa"/>
            <w:shd w:val="clear" w:color="auto" w:fill="auto"/>
          </w:tcPr>
          <w:p w14:paraId="57358537" w14:textId="77777777" w:rsidR="00443F4A" w:rsidRPr="003A4360" w:rsidRDefault="00443F4A" w:rsidP="000B173A">
            <w:pPr>
              <w:rPr>
                <w:bCs/>
              </w:rPr>
            </w:pPr>
            <w:r w:rsidRPr="003A4360">
              <w:rPr>
                <w:bCs/>
              </w:rPr>
              <w:t xml:space="preserve">McCauley &amp; </w:t>
            </w:r>
            <w:proofErr w:type="spellStart"/>
            <w:r w:rsidRPr="003A4360">
              <w:rPr>
                <w:bCs/>
              </w:rPr>
              <w:t>Hezlett</w:t>
            </w:r>
            <w:proofErr w:type="spellEnd"/>
            <w:r w:rsidRPr="003A4360">
              <w:rPr>
                <w:bCs/>
              </w:rPr>
              <w:t>, 2001</w:t>
            </w:r>
          </w:p>
        </w:tc>
        <w:tc>
          <w:tcPr>
            <w:tcW w:w="7470" w:type="dxa"/>
            <w:shd w:val="clear" w:color="auto" w:fill="auto"/>
          </w:tcPr>
          <w:p w14:paraId="3B447DA6" w14:textId="77777777" w:rsidR="00443F4A" w:rsidRDefault="00443F4A" w:rsidP="006F2E80">
            <w:pPr>
              <w:jc w:val="both"/>
            </w:pPr>
            <w:r>
              <w:t xml:space="preserve">A series of one-to-one interventions between a manager or executive and an external coach </w:t>
            </w:r>
            <w:proofErr w:type="gramStart"/>
            <w:r>
              <w:t>in order to</w:t>
            </w:r>
            <w:proofErr w:type="gramEnd"/>
            <w:r>
              <w:t xml:space="preserve"> further the professional development of the manager</w:t>
            </w:r>
            <w:r w:rsidR="00852AAB">
              <w:t xml:space="preserve"> (p. 335)</w:t>
            </w:r>
          </w:p>
        </w:tc>
      </w:tr>
      <w:tr w:rsidR="00443F4A" w14:paraId="6F4440DF" w14:textId="77777777" w:rsidTr="00B00A28">
        <w:tc>
          <w:tcPr>
            <w:tcW w:w="2070" w:type="dxa"/>
            <w:shd w:val="clear" w:color="auto" w:fill="F2F2F2"/>
          </w:tcPr>
          <w:p w14:paraId="6F12E15C" w14:textId="77777777" w:rsidR="00443F4A" w:rsidRPr="003A4360" w:rsidRDefault="00443F4A" w:rsidP="000B173A">
            <w:pPr>
              <w:rPr>
                <w:bCs/>
              </w:rPr>
            </w:pPr>
            <w:r w:rsidRPr="003A4360">
              <w:rPr>
                <w:bCs/>
              </w:rPr>
              <w:t>Orenstein, 2002</w:t>
            </w:r>
          </w:p>
        </w:tc>
        <w:tc>
          <w:tcPr>
            <w:tcW w:w="7470" w:type="dxa"/>
            <w:shd w:val="clear" w:color="auto" w:fill="F2F2F2"/>
          </w:tcPr>
          <w:p w14:paraId="425C7012" w14:textId="77777777" w:rsidR="00443F4A" w:rsidRDefault="00443F4A" w:rsidP="006F2E80">
            <w:pPr>
              <w:jc w:val="both"/>
            </w:pPr>
            <w:r>
              <w:t>A one-to-one intervention with a senior manager for the purpose of improving or enhancing management skills</w:t>
            </w:r>
            <w:r w:rsidR="00DE4ACA">
              <w:t xml:space="preserve"> (p. 356)</w:t>
            </w:r>
          </w:p>
        </w:tc>
      </w:tr>
      <w:tr w:rsidR="006F2E80" w14:paraId="6789BD66" w14:textId="77777777" w:rsidTr="00B00A28">
        <w:tc>
          <w:tcPr>
            <w:tcW w:w="2070" w:type="dxa"/>
            <w:shd w:val="clear" w:color="auto" w:fill="auto"/>
          </w:tcPr>
          <w:p w14:paraId="28799F27" w14:textId="77777777" w:rsidR="000B173A" w:rsidRPr="003A4360" w:rsidRDefault="000B173A" w:rsidP="000B173A">
            <w:pPr>
              <w:rPr>
                <w:bCs/>
              </w:rPr>
            </w:pPr>
            <w:r w:rsidRPr="003A4360">
              <w:rPr>
                <w:bCs/>
              </w:rPr>
              <w:t>Stern, 2004</w:t>
            </w:r>
          </w:p>
        </w:tc>
        <w:tc>
          <w:tcPr>
            <w:tcW w:w="7470" w:type="dxa"/>
            <w:shd w:val="clear" w:color="auto" w:fill="auto"/>
          </w:tcPr>
          <w:p w14:paraId="5CDB639F" w14:textId="77777777" w:rsidR="000B173A" w:rsidRPr="005610DA" w:rsidRDefault="000B173A" w:rsidP="006F2E80">
            <w:pPr>
              <w:jc w:val="both"/>
            </w:pPr>
            <w:r>
              <w:t>An experiential, individualized, leadership development process that builds a leader’s capability to achieve short and long-term organizational goals – conducted through one-on-one interactions, driven by data from multiple perspectives, and based on mutual trust and respect (p. 154)</w:t>
            </w:r>
          </w:p>
        </w:tc>
      </w:tr>
      <w:tr w:rsidR="006F2E80" w14:paraId="0B0F75BA" w14:textId="77777777" w:rsidTr="00B00A28">
        <w:tc>
          <w:tcPr>
            <w:tcW w:w="2070" w:type="dxa"/>
            <w:shd w:val="clear" w:color="auto" w:fill="F2F2F2"/>
          </w:tcPr>
          <w:p w14:paraId="2A33EED0" w14:textId="77777777" w:rsidR="00DD7947" w:rsidRPr="003A4360" w:rsidRDefault="00DD7947" w:rsidP="00DD7947">
            <w:pPr>
              <w:rPr>
                <w:bCs/>
              </w:rPr>
            </w:pPr>
            <w:r w:rsidRPr="003A4360">
              <w:rPr>
                <w:bCs/>
              </w:rPr>
              <w:t xml:space="preserve">Feldman &amp; </w:t>
            </w:r>
            <w:proofErr w:type="spellStart"/>
            <w:r w:rsidRPr="003A4360">
              <w:rPr>
                <w:bCs/>
              </w:rPr>
              <w:t>Lankau</w:t>
            </w:r>
            <w:proofErr w:type="spellEnd"/>
            <w:r w:rsidRPr="003A4360">
              <w:rPr>
                <w:bCs/>
              </w:rPr>
              <w:t>, 2005</w:t>
            </w:r>
          </w:p>
        </w:tc>
        <w:tc>
          <w:tcPr>
            <w:tcW w:w="7470" w:type="dxa"/>
            <w:shd w:val="clear" w:color="auto" w:fill="F2F2F2"/>
          </w:tcPr>
          <w:p w14:paraId="255D6599" w14:textId="77777777" w:rsidR="00DD7947" w:rsidRPr="005610DA" w:rsidRDefault="00DD7947" w:rsidP="006F2E80">
            <w:pPr>
              <w:jc w:val="both"/>
            </w:pPr>
            <w:r>
              <w:t>A process of equipping people with the tools, knowledge, and opportunities they need to develop themselves and become more effective (p. 830)</w:t>
            </w:r>
          </w:p>
        </w:tc>
      </w:tr>
      <w:tr w:rsidR="00264500" w14:paraId="7DD7AE7B" w14:textId="77777777" w:rsidTr="00B00A28">
        <w:tc>
          <w:tcPr>
            <w:tcW w:w="2070" w:type="dxa"/>
            <w:shd w:val="clear" w:color="auto" w:fill="auto"/>
          </w:tcPr>
          <w:p w14:paraId="6B241D8F" w14:textId="77777777" w:rsidR="00264500" w:rsidRPr="003A4360" w:rsidRDefault="00264500" w:rsidP="00DD7947">
            <w:pPr>
              <w:rPr>
                <w:bCs/>
              </w:rPr>
            </w:pPr>
            <w:r w:rsidRPr="003A4360">
              <w:rPr>
                <w:bCs/>
              </w:rPr>
              <w:t>Dingman, 2006</w:t>
            </w:r>
          </w:p>
        </w:tc>
        <w:tc>
          <w:tcPr>
            <w:tcW w:w="7470" w:type="dxa"/>
            <w:shd w:val="clear" w:color="auto" w:fill="auto"/>
          </w:tcPr>
          <w:p w14:paraId="638EF19B" w14:textId="77777777" w:rsidR="00264500" w:rsidRDefault="00264500" w:rsidP="006F2E80">
            <w:pPr>
              <w:jc w:val="both"/>
            </w:pPr>
            <w:r>
              <w:t xml:space="preserve">A one-to-one interaction between a coach and an executive in a helping relationship offering experiential learning and dialogue that facilitates an executive’s desire to reach specific goals and may affect individual self-, job-, and organizational-related outcomes…the effects of which are intended to </w:t>
            </w:r>
            <w:r w:rsidR="00C1178D">
              <w:t>extend to improve</w:t>
            </w:r>
            <w:r>
              <w:t xml:space="preserve"> organizational performance</w:t>
            </w:r>
            <w:r w:rsidR="002643F6">
              <w:t xml:space="preserve"> (p. 2)</w:t>
            </w:r>
          </w:p>
        </w:tc>
      </w:tr>
      <w:tr w:rsidR="006F2E80" w14:paraId="26AAD570" w14:textId="77777777" w:rsidTr="00B00A28">
        <w:tc>
          <w:tcPr>
            <w:tcW w:w="2070" w:type="dxa"/>
            <w:shd w:val="clear" w:color="auto" w:fill="F2F2F2"/>
          </w:tcPr>
          <w:p w14:paraId="564DA975" w14:textId="77777777" w:rsidR="00DD7947" w:rsidRPr="003A4360" w:rsidRDefault="00DD7947" w:rsidP="00DD7947">
            <w:pPr>
              <w:rPr>
                <w:bCs/>
              </w:rPr>
            </w:pPr>
            <w:r w:rsidRPr="003A4360">
              <w:rPr>
                <w:bCs/>
              </w:rPr>
              <w:t>Sperry, 2008</w:t>
            </w:r>
          </w:p>
        </w:tc>
        <w:tc>
          <w:tcPr>
            <w:tcW w:w="7470" w:type="dxa"/>
            <w:shd w:val="clear" w:color="auto" w:fill="F2F2F2"/>
          </w:tcPr>
          <w:p w14:paraId="7C6AC23F" w14:textId="77777777" w:rsidR="00DD7947" w:rsidRPr="005610DA" w:rsidRDefault="00DD7947" w:rsidP="006F2E80">
            <w:pPr>
              <w:jc w:val="both"/>
            </w:pPr>
            <w:r>
              <w:t>A form of executive consultation in which a trained professional, mindful of organizational dynamics, functions as a facilitator who forms a collaborative relationship with an executive to improve his or her skills and effectiveness in communicating the corporate vision and goals, and to foster better team performance, organizational productivity, and professional-personal development (p. 36)</w:t>
            </w:r>
          </w:p>
        </w:tc>
      </w:tr>
      <w:tr w:rsidR="006F2E80" w14:paraId="1A89143C" w14:textId="77777777" w:rsidTr="00B00A28">
        <w:tc>
          <w:tcPr>
            <w:tcW w:w="2070" w:type="dxa"/>
            <w:shd w:val="clear" w:color="auto" w:fill="auto"/>
          </w:tcPr>
          <w:p w14:paraId="02CAE88E" w14:textId="77777777" w:rsidR="00DD7947" w:rsidRPr="003A4360" w:rsidRDefault="00C62A9B" w:rsidP="00DD7947">
            <w:pPr>
              <w:rPr>
                <w:bCs/>
              </w:rPr>
            </w:pPr>
            <w:r w:rsidRPr="003A4360">
              <w:rPr>
                <w:bCs/>
              </w:rPr>
              <w:t>Stokes &amp; Jolly, 2009</w:t>
            </w:r>
          </w:p>
        </w:tc>
        <w:tc>
          <w:tcPr>
            <w:tcW w:w="7470" w:type="dxa"/>
            <w:shd w:val="clear" w:color="auto" w:fill="auto"/>
          </w:tcPr>
          <w:p w14:paraId="3D485246" w14:textId="77777777" w:rsidR="00DD7947" w:rsidRPr="005610DA" w:rsidRDefault="00C62A9B" w:rsidP="006F2E80">
            <w:pPr>
              <w:jc w:val="both"/>
            </w:pPr>
            <w:r>
              <w:t xml:space="preserve">Focuses on the executive becoming more self-aware </w:t>
            </w:r>
            <w:proofErr w:type="gramStart"/>
            <w:r>
              <w:t>in order to</w:t>
            </w:r>
            <w:proofErr w:type="gramEnd"/>
            <w:r>
              <w:t xml:space="preserve"> carry out their leadership role more effectively (p. 225)</w:t>
            </w:r>
          </w:p>
        </w:tc>
      </w:tr>
      <w:tr w:rsidR="006F2E80" w14:paraId="254A431A" w14:textId="77777777" w:rsidTr="00B00A28">
        <w:tc>
          <w:tcPr>
            <w:tcW w:w="2070" w:type="dxa"/>
            <w:shd w:val="clear" w:color="auto" w:fill="F2F2F2"/>
          </w:tcPr>
          <w:p w14:paraId="17DA133F" w14:textId="77777777" w:rsidR="00DD7947" w:rsidRPr="003A4360" w:rsidRDefault="00DD7947" w:rsidP="00DD7947">
            <w:pPr>
              <w:rPr>
                <w:bCs/>
              </w:rPr>
            </w:pPr>
            <w:r w:rsidRPr="003A4360">
              <w:rPr>
                <w:bCs/>
              </w:rPr>
              <w:t>Passmore &amp; Fillery-Travis, 2011</w:t>
            </w:r>
          </w:p>
        </w:tc>
        <w:tc>
          <w:tcPr>
            <w:tcW w:w="7470" w:type="dxa"/>
            <w:shd w:val="clear" w:color="auto" w:fill="F2F2F2"/>
          </w:tcPr>
          <w:p w14:paraId="24211C60" w14:textId="77777777" w:rsidR="00DD7947" w:rsidRPr="005610DA" w:rsidRDefault="00DD7947" w:rsidP="006F2E80">
            <w:pPr>
              <w:jc w:val="both"/>
            </w:pPr>
            <w:r>
              <w:t xml:space="preserve">A Socratic based dialogue between a facilitator (coach) and a participant (client) where </w:t>
            </w:r>
            <w:proofErr w:type="gramStart"/>
            <w:r>
              <w:t>the majority of</w:t>
            </w:r>
            <w:proofErr w:type="gramEnd"/>
            <w:r>
              <w:t xml:space="preserve"> interventions used by the facilitator are open questions which are aimed at stimulating self-awareness and personal responsibility of the participant (p. 74)</w:t>
            </w:r>
          </w:p>
        </w:tc>
      </w:tr>
    </w:tbl>
    <w:p w14:paraId="2CFD0713" w14:textId="77777777" w:rsidR="00F17D60" w:rsidRDefault="00F17D60" w:rsidP="00D3388C">
      <w:pPr>
        <w:jc w:val="both"/>
      </w:pPr>
    </w:p>
    <w:p w14:paraId="02053A73" w14:textId="77777777" w:rsidR="00060992" w:rsidRDefault="00510793" w:rsidP="00D3388C">
      <w:pPr>
        <w:jc w:val="both"/>
        <w:rPr>
          <w:b/>
        </w:rPr>
      </w:pPr>
      <w:r>
        <w:rPr>
          <w:b/>
        </w:rPr>
        <w:t>Coaching Defined by Practitioner</w:t>
      </w:r>
      <w:r w:rsidR="00060992">
        <w:rPr>
          <w:b/>
        </w:rPr>
        <w:t>s</w:t>
      </w:r>
    </w:p>
    <w:p w14:paraId="1D9FF963" w14:textId="77777777" w:rsidR="00060992" w:rsidRDefault="003F6C96" w:rsidP="00D3388C">
      <w:pPr>
        <w:jc w:val="both"/>
      </w:pPr>
      <w:r>
        <w:t xml:space="preserve">In addition to scholars, practitioner-based coaching organizations have </w:t>
      </w:r>
      <w:r w:rsidR="008F2EC6">
        <w:t>constructed</w:t>
      </w:r>
      <w:r>
        <w:t xml:space="preserve"> </w:t>
      </w:r>
      <w:r w:rsidR="00F511A8">
        <w:t>five additional</w:t>
      </w:r>
      <w:r>
        <w:t xml:space="preserve"> definitions of coaching.</w:t>
      </w:r>
    </w:p>
    <w:p w14:paraId="1D2F19DE" w14:textId="77777777" w:rsidR="003F6C96" w:rsidRDefault="003F6C96" w:rsidP="00D3388C">
      <w:pPr>
        <w:jc w:val="both"/>
      </w:pPr>
    </w:p>
    <w:p w14:paraId="33002E65" w14:textId="77777777" w:rsidR="00060992" w:rsidRDefault="00060992" w:rsidP="00D3388C">
      <w:pPr>
        <w:jc w:val="both"/>
      </w:pPr>
      <w:r>
        <w:t>The Center for C</w:t>
      </w:r>
      <w:r w:rsidR="000B7F61">
        <w:t>reative Leadership (CCL) defined</w:t>
      </w:r>
      <w:r>
        <w:t xml:space="preserve"> coaching as “a practice in which the coach and coachee collaborate to assess and understand the developmental task, challenge current constraints while exploring new possibilities, and ensure accountability and support for reaching goals and </w:t>
      </w:r>
      <w:r>
        <w:lastRenderedPageBreak/>
        <w:t xml:space="preserve">sustaining development” (Nelson, Boyce, </w:t>
      </w:r>
      <w:proofErr w:type="spellStart"/>
      <w:r>
        <w:t>Hernez</w:t>
      </w:r>
      <w:proofErr w:type="spellEnd"/>
      <w:r>
        <w:t>-Broome, Eli, &amp; DiRose, 2011, p. 11; Ting &amp; Hart, 2003, p. 116).</w:t>
      </w:r>
    </w:p>
    <w:p w14:paraId="29009CE1" w14:textId="77777777" w:rsidR="00770CE9" w:rsidRDefault="00770CE9" w:rsidP="00D3388C">
      <w:pPr>
        <w:jc w:val="both"/>
      </w:pPr>
    </w:p>
    <w:p w14:paraId="178F2275" w14:textId="77777777" w:rsidR="00770CE9" w:rsidRDefault="00770CE9" w:rsidP="00D3388C">
      <w:pPr>
        <w:jc w:val="both"/>
      </w:pPr>
      <w:r>
        <w:t>The European Mentoring and</w:t>
      </w:r>
      <w:r w:rsidR="000B7F61">
        <w:t xml:space="preserve"> Coaching Council (EMCC) defined</w:t>
      </w:r>
      <w:r>
        <w:t xml:space="preserve"> coaching as “establishing a relationship with people in a series of conversations for the purp</w:t>
      </w:r>
      <w:r w:rsidR="0057655F">
        <w:t>ose of serving the clients to im</w:t>
      </w:r>
      <w:r>
        <w:t>prove their performance or enhance their personal development or both” (Gray, Garvey, &amp; Lane, 2016, p. 302).</w:t>
      </w:r>
    </w:p>
    <w:p w14:paraId="69299740" w14:textId="77777777" w:rsidR="00B2003B" w:rsidRDefault="00B2003B" w:rsidP="00D3388C">
      <w:pPr>
        <w:jc w:val="both"/>
      </w:pPr>
    </w:p>
    <w:p w14:paraId="7B9C6DA7" w14:textId="77777777" w:rsidR="00B2003B" w:rsidRDefault="00B2003B" w:rsidP="00D3388C">
      <w:pPr>
        <w:jc w:val="both"/>
      </w:pPr>
      <w:r>
        <w:t>The Graduate School Alliance of Executive Coaching (GSAEC) de</w:t>
      </w:r>
      <w:r w:rsidR="000B7F61">
        <w:t>fined</w:t>
      </w:r>
      <w:r>
        <w:t xml:space="preserve"> coaching as “a development process that builds a leader’s capabilities to achieve professional and organizational goals” (Maltbia, </w:t>
      </w:r>
      <w:proofErr w:type="spellStart"/>
      <w:r>
        <w:t>Marsick</w:t>
      </w:r>
      <w:proofErr w:type="spellEnd"/>
      <w:r>
        <w:t xml:space="preserve">, &amp; Ghosh, 2014, p. 165). </w:t>
      </w:r>
    </w:p>
    <w:p w14:paraId="3B27A617" w14:textId="77777777" w:rsidR="00B2003B" w:rsidRDefault="00B2003B" w:rsidP="00D3388C">
      <w:pPr>
        <w:jc w:val="both"/>
      </w:pPr>
    </w:p>
    <w:p w14:paraId="7B1B9519" w14:textId="77777777" w:rsidR="00B2003B" w:rsidRDefault="00B2003B" w:rsidP="00D3388C">
      <w:pPr>
        <w:jc w:val="both"/>
      </w:pPr>
      <w:r>
        <w:t>The Internationa</w:t>
      </w:r>
      <w:r w:rsidR="000B7F61">
        <w:t>l Coach Federation (ICF) defined</w:t>
      </w:r>
      <w:r>
        <w:t xml:space="preserve"> coaching as “partnering with clients in a thought-provoking and creative process that inspires them to maximize their personal and professional potential” (</w:t>
      </w:r>
      <w:r w:rsidR="00770CE9">
        <w:t xml:space="preserve">ICF, 2018). </w:t>
      </w:r>
    </w:p>
    <w:p w14:paraId="6C33CAA1" w14:textId="77777777" w:rsidR="003B0236" w:rsidRDefault="003B0236" w:rsidP="00D3388C">
      <w:pPr>
        <w:jc w:val="both"/>
      </w:pPr>
    </w:p>
    <w:p w14:paraId="19F167B8" w14:textId="77777777" w:rsidR="0057655F" w:rsidRDefault="0057655F" w:rsidP="00D3388C">
      <w:pPr>
        <w:jc w:val="both"/>
      </w:pPr>
      <w:r>
        <w:t>The Worldwide Association of</w:t>
      </w:r>
      <w:r w:rsidR="000B7F61">
        <w:t xml:space="preserve"> Business Coaches (WABC) defined</w:t>
      </w:r>
      <w:r>
        <w:t xml:space="preserve"> business coaching as “the process of engaging in </w:t>
      </w:r>
      <w:r w:rsidR="00146264">
        <w:t xml:space="preserve">a </w:t>
      </w:r>
      <w:r>
        <w:t xml:space="preserve">regular, structured conversation with a ‘client’: an individual or team who is within a business, profit or nonprofit organization, </w:t>
      </w:r>
      <w:proofErr w:type="gramStart"/>
      <w:r>
        <w:t>institution</w:t>
      </w:r>
      <w:proofErr w:type="gramEnd"/>
      <w:r>
        <w:t xml:space="preserve"> or government and who is the recipient of business coaching. The goal is to enhance the client’s awareness and behavior </w:t>
      </w:r>
      <w:proofErr w:type="gramStart"/>
      <w:r>
        <w:t xml:space="preserve">so </w:t>
      </w:r>
      <w:r w:rsidR="00010BD7">
        <w:t>as to</w:t>
      </w:r>
      <w:proofErr w:type="gramEnd"/>
      <w:r w:rsidR="00010BD7">
        <w:t xml:space="preserve"> achieve business objectives for both the client and their organization” (WABC, 2018).</w:t>
      </w:r>
    </w:p>
    <w:p w14:paraId="5D24C09A" w14:textId="77777777" w:rsidR="003B0236" w:rsidRDefault="003B0236" w:rsidP="00D3388C">
      <w:pPr>
        <w:jc w:val="both"/>
      </w:pPr>
    </w:p>
    <w:p w14:paraId="65FDCE14" w14:textId="77777777" w:rsidR="003B0236" w:rsidRDefault="003B0236" w:rsidP="00D3388C">
      <w:pPr>
        <w:jc w:val="both"/>
        <w:rPr>
          <w:b/>
        </w:rPr>
      </w:pPr>
      <w:r>
        <w:rPr>
          <w:b/>
        </w:rPr>
        <w:t>Agreement Around What Coaching Is Not</w:t>
      </w:r>
    </w:p>
    <w:p w14:paraId="54D7B1F3" w14:textId="77777777" w:rsidR="003B0236" w:rsidRDefault="003B0236" w:rsidP="003B0236">
      <w:pPr>
        <w:jc w:val="both"/>
      </w:pPr>
      <w:r>
        <w:t xml:space="preserve">Despite a lack of consensus around the definition of coaching, some scholars (Athanasopoulou &amp; Dopson, 2015; Feldman &amp; </w:t>
      </w:r>
      <w:proofErr w:type="spellStart"/>
      <w:r>
        <w:t>Lankau</w:t>
      </w:r>
      <w:proofErr w:type="spellEnd"/>
      <w:r>
        <w:t xml:space="preserve">, 2005; Kampa-Kokesch &amp; Anderson, 2001; Maltbia, </w:t>
      </w:r>
      <w:proofErr w:type="spellStart"/>
      <w:r>
        <w:t>Marsick</w:t>
      </w:r>
      <w:proofErr w:type="spellEnd"/>
      <w:r>
        <w:t>, &amp; Ghosh, 2014; Passmore &amp; Gibbes, 2007; Stern, 2004) have reached agreement around what coaching is not. They have argued that coaching is not managing, consulting, mentoring, therapy, or facilitating. Distinctions among the helping profe</w:t>
      </w:r>
      <w:r w:rsidR="007F78D7">
        <w:t>ssions</w:t>
      </w:r>
      <w:r>
        <w:t xml:space="preserve"> are depicted in the table below.</w:t>
      </w:r>
    </w:p>
    <w:p w14:paraId="71D2AB90" w14:textId="77777777" w:rsidR="003B0236" w:rsidRDefault="003B0236" w:rsidP="003B0236">
      <w:pPr>
        <w:jc w:val="both"/>
      </w:pPr>
    </w:p>
    <w:p w14:paraId="3A0CAFEB" w14:textId="77777777" w:rsidR="003B0236" w:rsidRDefault="003B0236" w:rsidP="003B0236">
      <w:pPr>
        <w:jc w:val="both"/>
      </w:pPr>
      <w:r>
        <w:t>Table 2: Comparison of the Helping Professions</w:t>
      </w:r>
    </w:p>
    <w:p w14:paraId="13C5A6E9" w14:textId="77777777" w:rsidR="003B0236" w:rsidRDefault="003B0236" w:rsidP="003B0236">
      <w:pPr>
        <w:jc w:val="both"/>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1890"/>
        <w:gridCol w:w="4860"/>
        <w:gridCol w:w="2520"/>
      </w:tblGrid>
      <w:tr w:rsidR="002F2938" w14:paraId="6A1F6211" w14:textId="77777777" w:rsidTr="002F2938">
        <w:tc>
          <w:tcPr>
            <w:tcW w:w="1890" w:type="dxa"/>
            <w:tcBorders>
              <w:bottom w:val="single" w:sz="4" w:space="0" w:color="7F7F7F"/>
            </w:tcBorders>
            <w:shd w:val="clear" w:color="auto" w:fill="auto"/>
          </w:tcPr>
          <w:p w14:paraId="20A0F8A3" w14:textId="77777777" w:rsidR="000B7F61" w:rsidRPr="002F2938" w:rsidRDefault="000B7F61" w:rsidP="00785BDF">
            <w:pPr>
              <w:rPr>
                <w:rFonts w:eastAsia="MS Mincho"/>
                <w:b/>
                <w:bCs/>
              </w:rPr>
            </w:pPr>
          </w:p>
        </w:tc>
        <w:tc>
          <w:tcPr>
            <w:tcW w:w="4860" w:type="dxa"/>
            <w:tcBorders>
              <w:bottom w:val="single" w:sz="4" w:space="0" w:color="7F7F7F"/>
            </w:tcBorders>
            <w:shd w:val="clear" w:color="auto" w:fill="auto"/>
          </w:tcPr>
          <w:p w14:paraId="5A6F3D56" w14:textId="77777777" w:rsidR="000B7F61" w:rsidRPr="002F2938" w:rsidRDefault="00AF4BAC" w:rsidP="00785BDF">
            <w:pPr>
              <w:rPr>
                <w:rFonts w:eastAsia="MS Mincho"/>
                <w:b/>
                <w:bCs/>
              </w:rPr>
            </w:pPr>
            <w:r w:rsidRPr="002F2938">
              <w:rPr>
                <w:rFonts w:eastAsia="MS Mincho"/>
                <w:b/>
                <w:bCs/>
              </w:rPr>
              <w:t>PURPOSE</w:t>
            </w:r>
          </w:p>
        </w:tc>
        <w:tc>
          <w:tcPr>
            <w:tcW w:w="2520" w:type="dxa"/>
            <w:tcBorders>
              <w:bottom w:val="single" w:sz="4" w:space="0" w:color="7F7F7F"/>
            </w:tcBorders>
            <w:shd w:val="clear" w:color="auto" w:fill="auto"/>
          </w:tcPr>
          <w:p w14:paraId="7890E7F4" w14:textId="77777777" w:rsidR="000B7F61" w:rsidRPr="002F2938" w:rsidRDefault="00AF4BAC" w:rsidP="00785BDF">
            <w:pPr>
              <w:rPr>
                <w:rFonts w:eastAsia="MS Mincho"/>
                <w:b/>
                <w:bCs/>
              </w:rPr>
            </w:pPr>
            <w:r w:rsidRPr="002F2938">
              <w:rPr>
                <w:rFonts w:eastAsia="MS Mincho"/>
                <w:b/>
                <w:bCs/>
              </w:rPr>
              <w:t>RELATIONSHIP</w:t>
            </w:r>
          </w:p>
        </w:tc>
      </w:tr>
      <w:tr w:rsidR="002F2938" w14:paraId="7941AE1C" w14:textId="77777777" w:rsidTr="002F2938">
        <w:tc>
          <w:tcPr>
            <w:tcW w:w="1890" w:type="dxa"/>
            <w:tcBorders>
              <w:top w:val="single" w:sz="4" w:space="0" w:color="7F7F7F"/>
              <w:bottom w:val="single" w:sz="4" w:space="0" w:color="7F7F7F"/>
            </w:tcBorders>
            <w:shd w:val="clear" w:color="auto" w:fill="auto"/>
          </w:tcPr>
          <w:p w14:paraId="51020BB4" w14:textId="77777777" w:rsidR="000B7F61" w:rsidRPr="002F2938" w:rsidRDefault="000B7F61" w:rsidP="00785BDF">
            <w:pPr>
              <w:rPr>
                <w:rFonts w:eastAsia="MS Mincho"/>
                <w:b/>
                <w:bCs/>
              </w:rPr>
            </w:pPr>
            <w:r w:rsidRPr="002F2938">
              <w:rPr>
                <w:rFonts w:eastAsia="MS Mincho"/>
                <w:b/>
                <w:bCs/>
              </w:rPr>
              <w:t>Coaching</w:t>
            </w:r>
          </w:p>
          <w:p w14:paraId="5687D6F3" w14:textId="77777777" w:rsidR="000B7F61" w:rsidRPr="002F2938" w:rsidRDefault="000B7F61" w:rsidP="00785BDF">
            <w:pPr>
              <w:rPr>
                <w:rFonts w:eastAsia="MS Mincho"/>
                <w:b/>
                <w:bCs/>
              </w:rPr>
            </w:pPr>
          </w:p>
        </w:tc>
        <w:tc>
          <w:tcPr>
            <w:tcW w:w="4860" w:type="dxa"/>
            <w:tcBorders>
              <w:top w:val="single" w:sz="4" w:space="0" w:color="7F7F7F"/>
              <w:bottom w:val="single" w:sz="4" w:space="0" w:color="7F7F7F"/>
            </w:tcBorders>
            <w:shd w:val="clear" w:color="auto" w:fill="auto"/>
          </w:tcPr>
          <w:p w14:paraId="344E0AF5" w14:textId="77777777" w:rsidR="000B7F61" w:rsidRPr="002F2938" w:rsidRDefault="000B7F61" w:rsidP="00785BDF">
            <w:pPr>
              <w:rPr>
                <w:rFonts w:eastAsia="MS Mincho"/>
              </w:rPr>
            </w:pPr>
            <w:r w:rsidRPr="002F2938">
              <w:rPr>
                <w:rFonts w:eastAsia="MS Mincho"/>
              </w:rPr>
              <w:t>Emphasizing goal setting and reflection</w:t>
            </w:r>
          </w:p>
          <w:p w14:paraId="31073B50" w14:textId="77777777" w:rsidR="000B7F61" w:rsidRPr="002F2938" w:rsidRDefault="000B7F61" w:rsidP="00785BDF">
            <w:pPr>
              <w:rPr>
                <w:rFonts w:eastAsia="MS Mincho"/>
              </w:rPr>
            </w:pPr>
            <w:r w:rsidRPr="002F2938">
              <w:rPr>
                <w:rFonts w:eastAsia="MS Mincho"/>
              </w:rPr>
              <w:t>Focusing on situation and context</w:t>
            </w:r>
          </w:p>
        </w:tc>
        <w:tc>
          <w:tcPr>
            <w:tcW w:w="2520" w:type="dxa"/>
            <w:tcBorders>
              <w:top w:val="single" w:sz="4" w:space="0" w:color="7F7F7F"/>
              <w:bottom w:val="single" w:sz="4" w:space="0" w:color="7F7F7F"/>
            </w:tcBorders>
            <w:shd w:val="clear" w:color="auto" w:fill="auto"/>
          </w:tcPr>
          <w:p w14:paraId="7D7B2B86" w14:textId="77777777" w:rsidR="000B7F61" w:rsidRPr="002F2938" w:rsidRDefault="000B7F61" w:rsidP="00785BDF">
            <w:pPr>
              <w:rPr>
                <w:rFonts w:eastAsia="MS Mincho"/>
              </w:rPr>
            </w:pPr>
            <w:r w:rsidRPr="002F2938">
              <w:rPr>
                <w:rFonts w:eastAsia="MS Mincho"/>
              </w:rPr>
              <w:t>Coach-client</w:t>
            </w:r>
          </w:p>
        </w:tc>
      </w:tr>
      <w:tr w:rsidR="002F2938" w14:paraId="05B696D2" w14:textId="77777777" w:rsidTr="002F2938">
        <w:tc>
          <w:tcPr>
            <w:tcW w:w="1890" w:type="dxa"/>
            <w:shd w:val="clear" w:color="auto" w:fill="auto"/>
          </w:tcPr>
          <w:p w14:paraId="67C160E1" w14:textId="77777777" w:rsidR="000B7F61" w:rsidRPr="002F2938" w:rsidRDefault="000B7F61" w:rsidP="00785BDF">
            <w:pPr>
              <w:rPr>
                <w:rFonts w:eastAsia="MS Mincho"/>
                <w:b/>
                <w:bCs/>
              </w:rPr>
            </w:pPr>
            <w:r w:rsidRPr="002F2938">
              <w:rPr>
                <w:rFonts w:eastAsia="MS Mincho"/>
                <w:b/>
                <w:bCs/>
              </w:rPr>
              <w:t>Managing</w:t>
            </w:r>
          </w:p>
          <w:p w14:paraId="00AE898F" w14:textId="77777777" w:rsidR="000B7F61" w:rsidRPr="002F2938" w:rsidRDefault="000B7F61" w:rsidP="00785BDF">
            <w:pPr>
              <w:rPr>
                <w:rFonts w:eastAsia="MS Mincho"/>
                <w:b/>
                <w:bCs/>
              </w:rPr>
            </w:pPr>
          </w:p>
        </w:tc>
        <w:tc>
          <w:tcPr>
            <w:tcW w:w="4860" w:type="dxa"/>
            <w:shd w:val="clear" w:color="auto" w:fill="auto"/>
          </w:tcPr>
          <w:p w14:paraId="42DFE30E" w14:textId="77777777" w:rsidR="000B7F61" w:rsidRPr="002F2938" w:rsidRDefault="000B7F61" w:rsidP="00785BDF">
            <w:pPr>
              <w:rPr>
                <w:rFonts w:eastAsia="MS Mincho"/>
              </w:rPr>
            </w:pPr>
            <w:r w:rsidRPr="002F2938">
              <w:rPr>
                <w:rFonts w:eastAsia="MS Mincho"/>
              </w:rPr>
              <w:t>Controlling and directing people/process</w:t>
            </w:r>
          </w:p>
          <w:p w14:paraId="22165B18" w14:textId="77777777" w:rsidR="000B7F61" w:rsidRPr="002F2938" w:rsidRDefault="000B7F61" w:rsidP="00785BDF">
            <w:pPr>
              <w:rPr>
                <w:rFonts w:eastAsia="MS Mincho"/>
              </w:rPr>
            </w:pPr>
            <w:r w:rsidRPr="002F2938">
              <w:rPr>
                <w:rFonts w:eastAsia="MS Mincho"/>
              </w:rPr>
              <w:t>Planning and monitoring action and risks</w:t>
            </w:r>
          </w:p>
        </w:tc>
        <w:tc>
          <w:tcPr>
            <w:tcW w:w="2520" w:type="dxa"/>
            <w:shd w:val="clear" w:color="auto" w:fill="auto"/>
          </w:tcPr>
          <w:p w14:paraId="4EB15FD7" w14:textId="77777777" w:rsidR="000B7F61" w:rsidRPr="002F2938" w:rsidRDefault="000B7F61" w:rsidP="00785BDF">
            <w:pPr>
              <w:rPr>
                <w:rFonts w:eastAsia="MS Mincho"/>
              </w:rPr>
            </w:pPr>
            <w:r w:rsidRPr="002F2938">
              <w:rPr>
                <w:rFonts w:eastAsia="MS Mincho"/>
              </w:rPr>
              <w:t>Supervisor-subordinate</w:t>
            </w:r>
          </w:p>
        </w:tc>
      </w:tr>
      <w:tr w:rsidR="002F2938" w14:paraId="526CF7BD" w14:textId="77777777" w:rsidTr="002F2938">
        <w:tc>
          <w:tcPr>
            <w:tcW w:w="1890" w:type="dxa"/>
            <w:tcBorders>
              <w:top w:val="single" w:sz="4" w:space="0" w:color="7F7F7F"/>
              <w:bottom w:val="single" w:sz="4" w:space="0" w:color="7F7F7F"/>
            </w:tcBorders>
            <w:shd w:val="clear" w:color="auto" w:fill="auto"/>
          </w:tcPr>
          <w:p w14:paraId="48C4B65A" w14:textId="77777777" w:rsidR="000B7F61" w:rsidRPr="002F2938" w:rsidRDefault="000B7F61" w:rsidP="00785BDF">
            <w:pPr>
              <w:rPr>
                <w:rFonts w:eastAsia="MS Mincho"/>
                <w:b/>
                <w:bCs/>
              </w:rPr>
            </w:pPr>
            <w:r w:rsidRPr="002F2938">
              <w:rPr>
                <w:rFonts w:eastAsia="MS Mincho"/>
                <w:b/>
                <w:bCs/>
              </w:rPr>
              <w:t>Consulting</w:t>
            </w:r>
          </w:p>
          <w:p w14:paraId="3D948026" w14:textId="77777777" w:rsidR="000B7F61" w:rsidRPr="002F2938" w:rsidRDefault="000B7F61" w:rsidP="00785BDF">
            <w:pPr>
              <w:rPr>
                <w:rFonts w:eastAsia="MS Mincho"/>
                <w:b/>
                <w:bCs/>
              </w:rPr>
            </w:pPr>
          </w:p>
        </w:tc>
        <w:tc>
          <w:tcPr>
            <w:tcW w:w="4860" w:type="dxa"/>
            <w:tcBorders>
              <w:top w:val="single" w:sz="4" w:space="0" w:color="7F7F7F"/>
              <w:bottom w:val="single" w:sz="4" w:space="0" w:color="7F7F7F"/>
            </w:tcBorders>
            <w:shd w:val="clear" w:color="auto" w:fill="auto"/>
          </w:tcPr>
          <w:p w14:paraId="05050966" w14:textId="77777777" w:rsidR="000B7F61" w:rsidRPr="002F2938" w:rsidRDefault="000B7F61" w:rsidP="00785BDF">
            <w:pPr>
              <w:rPr>
                <w:rFonts w:eastAsia="MS Mincho"/>
              </w:rPr>
            </w:pPr>
            <w:r w:rsidRPr="002F2938">
              <w:rPr>
                <w:rFonts w:eastAsia="MS Mincho"/>
              </w:rPr>
              <w:t>Advising individuals, groups, organizations</w:t>
            </w:r>
          </w:p>
          <w:p w14:paraId="2D464E7F" w14:textId="77777777" w:rsidR="000B7F61" w:rsidRPr="002F2938" w:rsidRDefault="000B7F61" w:rsidP="00785BDF">
            <w:pPr>
              <w:rPr>
                <w:rFonts w:eastAsia="MS Mincho"/>
              </w:rPr>
            </w:pPr>
            <w:r w:rsidRPr="002F2938">
              <w:rPr>
                <w:rFonts w:eastAsia="MS Mincho"/>
              </w:rPr>
              <w:t>Supporting large-scale change initiatives</w:t>
            </w:r>
          </w:p>
        </w:tc>
        <w:tc>
          <w:tcPr>
            <w:tcW w:w="2520" w:type="dxa"/>
            <w:tcBorders>
              <w:top w:val="single" w:sz="4" w:space="0" w:color="7F7F7F"/>
              <w:bottom w:val="single" w:sz="4" w:space="0" w:color="7F7F7F"/>
            </w:tcBorders>
            <w:shd w:val="clear" w:color="auto" w:fill="auto"/>
          </w:tcPr>
          <w:p w14:paraId="7D3E19B4" w14:textId="77777777" w:rsidR="000B7F61" w:rsidRPr="002F2938" w:rsidRDefault="000B7F61" w:rsidP="00785BDF">
            <w:pPr>
              <w:rPr>
                <w:rFonts w:eastAsia="MS Mincho"/>
              </w:rPr>
            </w:pPr>
            <w:r w:rsidRPr="002F2938">
              <w:rPr>
                <w:rFonts w:eastAsia="MS Mincho"/>
              </w:rPr>
              <w:t>Expert-novice</w:t>
            </w:r>
          </w:p>
        </w:tc>
      </w:tr>
      <w:tr w:rsidR="002F2938" w14:paraId="76608BCA" w14:textId="77777777" w:rsidTr="002F2938">
        <w:tc>
          <w:tcPr>
            <w:tcW w:w="1890" w:type="dxa"/>
            <w:shd w:val="clear" w:color="auto" w:fill="auto"/>
          </w:tcPr>
          <w:p w14:paraId="3968F67C" w14:textId="77777777" w:rsidR="000B7F61" w:rsidRPr="002F2938" w:rsidRDefault="000B7F61" w:rsidP="00785BDF">
            <w:pPr>
              <w:rPr>
                <w:rFonts w:eastAsia="MS Mincho"/>
                <w:b/>
                <w:bCs/>
              </w:rPr>
            </w:pPr>
            <w:r w:rsidRPr="002F2938">
              <w:rPr>
                <w:rFonts w:eastAsia="MS Mincho"/>
                <w:b/>
                <w:bCs/>
              </w:rPr>
              <w:t>Mentoring</w:t>
            </w:r>
          </w:p>
          <w:p w14:paraId="0AC4D14F" w14:textId="77777777" w:rsidR="000B7F61" w:rsidRPr="002F2938" w:rsidRDefault="000B7F61" w:rsidP="00785BDF">
            <w:pPr>
              <w:rPr>
                <w:rFonts w:eastAsia="MS Mincho"/>
                <w:b/>
                <w:bCs/>
              </w:rPr>
            </w:pPr>
          </w:p>
        </w:tc>
        <w:tc>
          <w:tcPr>
            <w:tcW w:w="4860" w:type="dxa"/>
            <w:shd w:val="clear" w:color="auto" w:fill="auto"/>
          </w:tcPr>
          <w:p w14:paraId="3B9E8A82" w14:textId="77777777" w:rsidR="000B7F61" w:rsidRPr="002F2938" w:rsidRDefault="000B7F61" w:rsidP="00785BDF">
            <w:pPr>
              <w:rPr>
                <w:rFonts w:eastAsia="MS Mincho"/>
              </w:rPr>
            </w:pPr>
            <w:r w:rsidRPr="002F2938">
              <w:rPr>
                <w:rFonts w:eastAsia="MS Mincho"/>
              </w:rPr>
              <w:t>Developing individual potential</w:t>
            </w:r>
          </w:p>
          <w:p w14:paraId="4C3469A7" w14:textId="77777777" w:rsidR="000B7F61" w:rsidRPr="002F2938" w:rsidRDefault="000B7F61" w:rsidP="00785BDF">
            <w:pPr>
              <w:rPr>
                <w:rFonts w:eastAsia="MS Mincho"/>
              </w:rPr>
            </w:pPr>
            <w:r w:rsidRPr="002F2938">
              <w:rPr>
                <w:rFonts w:eastAsia="MS Mincho"/>
              </w:rPr>
              <w:t>Transferring domain knowledge</w:t>
            </w:r>
          </w:p>
        </w:tc>
        <w:tc>
          <w:tcPr>
            <w:tcW w:w="2520" w:type="dxa"/>
            <w:shd w:val="clear" w:color="auto" w:fill="auto"/>
          </w:tcPr>
          <w:p w14:paraId="11C61000" w14:textId="77777777" w:rsidR="000B7F61" w:rsidRPr="002F2938" w:rsidRDefault="000B7F61" w:rsidP="00785BDF">
            <w:pPr>
              <w:rPr>
                <w:rFonts w:eastAsia="MS Mincho"/>
              </w:rPr>
            </w:pPr>
            <w:r w:rsidRPr="002F2938">
              <w:rPr>
                <w:rFonts w:eastAsia="MS Mincho"/>
              </w:rPr>
              <w:t>Mentor-mentee</w:t>
            </w:r>
          </w:p>
        </w:tc>
      </w:tr>
      <w:tr w:rsidR="002F2938" w14:paraId="044C6706" w14:textId="77777777" w:rsidTr="002F2938">
        <w:tc>
          <w:tcPr>
            <w:tcW w:w="1890" w:type="dxa"/>
            <w:tcBorders>
              <w:top w:val="single" w:sz="4" w:space="0" w:color="7F7F7F"/>
              <w:bottom w:val="single" w:sz="4" w:space="0" w:color="7F7F7F"/>
            </w:tcBorders>
            <w:shd w:val="clear" w:color="auto" w:fill="auto"/>
          </w:tcPr>
          <w:p w14:paraId="70DFC2A2" w14:textId="77777777" w:rsidR="000B7F61" w:rsidRPr="002F2938" w:rsidRDefault="000B7F61" w:rsidP="00785BDF">
            <w:pPr>
              <w:rPr>
                <w:rFonts w:eastAsia="MS Mincho"/>
                <w:b/>
                <w:bCs/>
              </w:rPr>
            </w:pPr>
            <w:r w:rsidRPr="002F2938">
              <w:rPr>
                <w:rFonts w:eastAsia="MS Mincho"/>
                <w:b/>
                <w:bCs/>
              </w:rPr>
              <w:t>Therapy</w:t>
            </w:r>
          </w:p>
        </w:tc>
        <w:tc>
          <w:tcPr>
            <w:tcW w:w="4860" w:type="dxa"/>
            <w:tcBorders>
              <w:top w:val="single" w:sz="4" w:space="0" w:color="7F7F7F"/>
              <w:bottom w:val="single" w:sz="4" w:space="0" w:color="7F7F7F"/>
            </w:tcBorders>
            <w:shd w:val="clear" w:color="auto" w:fill="auto"/>
          </w:tcPr>
          <w:p w14:paraId="533AC39A" w14:textId="77777777" w:rsidR="000B7F61" w:rsidRPr="002F2938" w:rsidRDefault="000B7F61" w:rsidP="00785BDF">
            <w:pPr>
              <w:rPr>
                <w:rFonts w:eastAsia="MS Mincho"/>
              </w:rPr>
            </w:pPr>
            <w:r w:rsidRPr="002F2938">
              <w:rPr>
                <w:rFonts w:eastAsia="MS Mincho"/>
              </w:rPr>
              <w:t>Treating pain, discomfort, or conflict within or between individuals</w:t>
            </w:r>
          </w:p>
        </w:tc>
        <w:tc>
          <w:tcPr>
            <w:tcW w:w="2520" w:type="dxa"/>
            <w:tcBorders>
              <w:top w:val="single" w:sz="4" w:space="0" w:color="7F7F7F"/>
              <w:bottom w:val="single" w:sz="4" w:space="0" w:color="7F7F7F"/>
            </w:tcBorders>
            <w:shd w:val="clear" w:color="auto" w:fill="auto"/>
          </w:tcPr>
          <w:p w14:paraId="106EC370" w14:textId="77777777" w:rsidR="000B7F61" w:rsidRPr="002F2938" w:rsidRDefault="000B7F61" w:rsidP="00785BDF">
            <w:pPr>
              <w:rPr>
                <w:rFonts w:eastAsia="MS Mincho"/>
              </w:rPr>
            </w:pPr>
            <w:r w:rsidRPr="002F2938">
              <w:rPr>
                <w:rFonts w:eastAsia="MS Mincho"/>
              </w:rPr>
              <w:t>Doctor-patient</w:t>
            </w:r>
          </w:p>
        </w:tc>
      </w:tr>
      <w:tr w:rsidR="002F2938" w14:paraId="6E9A0C94" w14:textId="77777777" w:rsidTr="002F2938">
        <w:tc>
          <w:tcPr>
            <w:tcW w:w="1890" w:type="dxa"/>
            <w:shd w:val="clear" w:color="auto" w:fill="auto"/>
          </w:tcPr>
          <w:p w14:paraId="021901AA" w14:textId="77777777" w:rsidR="000B7F61" w:rsidRPr="002F2938" w:rsidRDefault="000B7F61" w:rsidP="00785BDF">
            <w:pPr>
              <w:rPr>
                <w:rFonts w:eastAsia="MS Mincho"/>
                <w:b/>
                <w:bCs/>
              </w:rPr>
            </w:pPr>
            <w:r w:rsidRPr="002F2938">
              <w:rPr>
                <w:rFonts w:eastAsia="MS Mincho"/>
                <w:b/>
                <w:bCs/>
              </w:rPr>
              <w:t>Facilitating</w:t>
            </w:r>
          </w:p>
          <w:p w14:paraId="146177E1" w14:textId="77777777" w:rsidR="000B7F61" w:rsidRPr="002F2938" w:rsidRDefault="000B7F61" w:rsidP="00785BDF">
            <w:pPr>
              <w:rPr>
                <w:rFonts w:eastAsia="MS Mincho"/>
                <w:b/>
                <w:bCs/>
              </w:rPr>
            </w:pPr>
          </w:p>
        </w:tc>
        <w:tc>
          <w:tcPr>
            <w:tcW w:w="4860" w:type="dxa"/>
            <w:shd w:val="clear" w:color="auto" w:fill="auto"/>
          </w:tcPr>
          <w:p w14:paraId="7A40B127" w14:textId="77777777" w:rsidR="000B7F61" w:rsidRPr="002F2938" w:rsidRDefault="000B7F61" w:rsidP="00785BDF">
            <w:pPr>
              <w:rPr>
                <w:rFonts w:eastAsia="MS Mincho"/>
              </w:rPr>
            </w:pPr>
            <w:r w:rsidRPr="002F2938">
              <w:rPr>
                <w:rFonts w:eastAsia="MS Mincho"/>
              </w:rPr>
              <w:t>Empowering individuals and groups</w:t>
            </w:r>
          </w:p>
          <w:p w14:paraId="1ED921C7" w14:textId="77777777" w:rsidR="000B7F61" w:rsidRPr="002F2938" w:rsidRDefault="000B7F61" w:rsidP="00785BDF">
            <w:pPr>
              <w:rPr>
                <w:rFonts w:eastAsia="MS Mincho"/>
              </w:rPr>
            </w:pPr>
            <w:r w:rsidRPr="002F2938">
              <w:rPr>
                <w:rFonts w:eastAsia="MS Mincho"/>
              </w:rPr>
              <w:t>Creating frameworks for social interaction</w:t>
            </w:r>
          </w:p>
        </w:tc>
        <w:tc>
          <w:tcPr>
            <w:tcW w:w="2520" w:type="dxa"/>
            <w:shd w:val="clear" w:color="auto" w:fill="auto"/>
          </w:tcPr>
          <w:p w14:paraId="0AF18578" w14:textId="77777777" w:rsidR="000B7F61" w:rsidRPr="002F2938" w:rsidRDefault="000B7F61" w:rsidP="00785BDF">
            <w:pPr>
              <w:rPr>
                <w:rFonts w:eastAsia="MS Mincho"/>
              </w:rPr>
            </w:pPr>
            <w:r w:rsidRPr="002F2938">
              <w:rPr>
                <w:rFonts w:eastAsia="MS Mincho"/>
              </w:rPr>
              <w:t>Instructor-student</w:t>
            </w:r>
          </w:p>
        </w:tc>
      </w:tr>
    </w:tbl>
    <w:p w14:paraId="26E18E9E" w14:textId="77777777" w:rsidR="003B0236" w:rsidRDefault="003B0236" w:rsidP="003B0236">
      <w:pPr>
        <w:jc w:val="both"/>
      </w:pPr>
    </w:p>
    <w:p w14:paraId="3628F8D3" w14:textId="77777777" w:rsidR="00060992" w:rsidRDefault="00F04849" w:rsidP="00D3388C">
      <w:pPr>
        <w:jc w:val="both"/>
        <w:rPr>
          <w:b/>
        </w:rPr>
      </w:pPr>
      <w:r>
        <w:rPr>
          <w:b/>
        </w:rPr>
        <w:lastRenderedPageBreak/>
        <w:t>Dichotomies Among</w:t>
      </w:r>
      <w:r w:rsidR="003F6C96">
        <w:rPr>
          <w:b/>
        </w:rPr>
        <w:t xml:space="preserve"> Coaching Definitions</w:t>
      </w:r>
    </w:p>
    <w:p w14:paraId="5CDE7DAF" w14:textId="77777777" w:rsidR="00DB7562" w:rsidRDefault="003B0236" w:rsidP="00D3388C">
      <w:pPr>
        <w:jc w:val="both"/>
      </w:pPr>
      <w:r>
        <w:t xml:space="preserve">In a collective analysis of both scholar and practitioner definitions of coaching, at least </w:t>
      </w:r>
      <w:r w:rsidR="00763ED8">
        <w:t xml:space="preserve">five </w:t>
      </w:r>
      <w:r>
        <w:t xml:space="preserve">dichotomies emerge: (1) performance versus potential, (2) process versus relationship, (3) individual versus organizational, (4) </w:t>
      </w:r>
      <w:r w:rsidR="0098012B">
        <w:t>individual contributor</w:t>
      </w:r>
      <w:r w:rsidR="00DB7562">
        <w:t xml:space="preserve"> versus executive, and (5) </w:t>
      </w:r>
      <w:r>
        <w:t>lear</w:t>
      </w:r>
      <w:r w:rsidR="00DB7562">
        <w:t xml:space="preserve">ning versus development. </w:t>
      </w:r>
      <w:r w:rsidR="0099078C">
        <w:t xml:space="preserve">A dichotomy is a division into two opposing groups. For each dichotomy, example definitions are provided. </w:t>
      </w:r>
    </w:p>
    <w:p w14:paraId="5E8883E8" w14:textId="77777777" w:rsidR="00DB7562" w:rsidRDefault="00DB7562" w:rsidP="00D3388C">
      <w:pPr>
        <w:jc w:val="both"/>
      </w:pPr>
    </w:p>
    <w:p w14:paraId="3639333F" w14:textId="77777777" w:rsidR="007463DA" w:rsidRDefault="00F04849" w:rsidP="007463DA">
      <w:pPr>
        <w:jc w:val="both"/>
      </w:pPr>
      <w:r>
        <w:t>The first d</w:t>
      </w:r>
      <w:r w:rsidR="007463DA">
        <w:t xml:space="preserve">ichotomy is performance versus potential. </w:t>
      </w:r>
      <w:r w:rsidR="0099078C">
        <w:t>The purpose of the coaching engagement can b</w:t>
      </w:r>
      <w:r w:rsidR="00A17E88">
        <w:t>e to improve past performance or</w:t>
      </w:r>
      <w:r w:rsidR="0099078C">
        <w:t xml:space="preserve"> to increase future potential. Tobias</w:t>
      </w:r>
      <w:r w:rsidR="00593B01">
        <w:t xml:space="preserve">’ (1996) definition of </w:t>
      </w:r>
      <w:r w:rsidR="0099078C">
        <w:t xml:space="preserve">coaching as </w:t>
      </w:r>
      <w:r w:rsidR="00E521C7">
        <w:t>helping “</w:t>
      </w:r>
      <w:r w:rsidR="0099078C">
        <w:t>someone who has irrita</w:t>
      </w:r>
      <w:r w:rsidR="00E521C7">
        <w:t xml:space="preserve">ted others in the organization … [or] </w:t>
      </w:r>
      <w:r w:rsidR="0099078C">
        <w:t>someone who has conflictual relationships with others or trouble in adjusting to organizational or personal changes and crises</w:t>
      </w:r>
      <w:r w:rsidR="007463DA">
        <w:t>”</w:t>
      </w:r>
      <w:r w:rsidR="00593B01">
        <w:t xml:space="preserve"> (</w:t>
      </w:r>
      <w:r w:rsidR="0099078C">
        <w:t>p. 87)</w:t>
      </w:r>
      <w:r w:rsidR="00A17E88">
        <w:t>, focused</w:t>
      </w:r>
      <w:r w:rsidR="007463DA">
        <w:t xml:space="preserve"> on performance. In contrast, the ICF’s definition of coaching as “partnering with clients in a thought-provoking and creative process that inspires them to maximize their personal and professional potential” (</w:t>
      </w:r>
      <w:r w:rsidR="00A17E88">
        <w:t>2018), focused</w:t>
      </w:r>
      <w:r w:rsidR="007463DA">
        <w:t xml:space="preserve"> on potential.</w:t>
      </w:r>
      <w:r w:rsidR="00E521C7">
        <w:t xml:space="preserve"> Is coaching focused on performance or potential?</w:t>
      </w:r>
    </w:p>
    <w:p w14:paraId="4B6FDB2B" w14:textId="77777777" w:rsidR="007463DA" w:rsidRDefault="007463DA" w:rsidP="007463DA">
      <w:pPr>
        <w:jc w:val="both"/>
      </w:pPr>
    </w:p>
    <w:p w14:paraId="1D37CDF3" w14:textId="77777777" w:rsidR="00593B01" w:rsidRDefault="007463DA" w:rsidP="00593B01">
      <w:pPr>
        <w:jc w:val="both"/>
      </w:pPr>
      <w:r>
        <w:t xml:space="preserve">The second dichotomy is process versus relationship. The driver of the coaching engagement can be the coaching process or the relationship between coach and client. </w:t>
      </w:r>
      <w:r w:rsidR="00593B01">
        <w:t xml:space="preserve">Feldman and </w:t>
      </w:r>
      <w:proofErr w:type="spellStart"/>
      <w:r w:rsidR="00593B01">
        <w:t>Lankau</w:t>
      </w:r>
      <w:proofErr w:type="spellEnd"/>
      <w:r w:rsidR="00593B01">
        <w:t xml:space="preserve"> (2005) </w:t>
      </w:r>
      <w:r w:rsidR="00A17E88">
        <w:t>defined</w:t>
      </w:r>
      <w:r w:rsidR="00593B01">
        <w:t xml:space="preserve"> coaching as “a process of equipping people with the tools, knowledge, and opportunities they need to develop themselves and become more effective” (p. 830). Alternatively, the EMCC</w:t>
      </w:r>
      <w:r w:rsidR="00A17E88">
        <w:t xml:space="preserve"> defined</w:t>
      </w:r>
      <w:r w:rsidR="00593B01">
        <w:t xml:space="preserve"> coaching as “establishing a relationship with people in a series of conversations for the purpose of serving the clients to improve their performance or enhance their personal development or both” (Gray, Garvey, &amp; Lane, 2016, p. 302).</w:t>
      </w:r>
      <w:r w:rsidR="00E521C7">
        <w:t xml:space="preserve"> Is coaching a process or a relationship?</w:t>
      </w:r>
    </w:p>
    <w:p w14:paraId="00E4A824" w14:textId="77777777" w:rsidR="00593B01" w:rsidRDefault="00593B01" w:rsidP="00593B01">
      <w:pPr>
        <w:jc w:val="both"/>
      </w:pPr>
    </w:p>
    <w:p w14:paraId="5F131DC8" w14:textId="77777777" w:rsidR="003B0236" w:rsidRDefault="00593B01" w:rsidP="00D3388C">
      <w:pPr>
        <w:jc w:val="both"/>
      </w:pPr>
      <w:r>
        <w:t xml:space="preserve">The third dichotomy is individual versus organizational. The beneficiary of the coaching engagement can be the </w:t>
      </w:r>
      <w:r w:rsidR="00E521C7">
        <w:t>individual or the organization.</w:t>
      </w:r>
      <w:r w:rsidR="0099078C">
        <w:t xml:space="preserve"> </w:t>
      </w:r>
      <w:r w:rsidR="00A17E88">
        <w:t>Passmore and Fillery-Travis’ (2011) definition of coaching as a “Socratic based dialogue between a facilitator (coach) and a participant (client) where the majority of interventions used by the facilitator are open questions which are aimed at stimulating self-awareness and personal responsibility of the participant” (p. 74) underscored the individual participant. However, Peltier’s (2001) definition of coaching as “one-on-one services to top level leaders in an organization, on the principle that positive changes can be leveraged to filter down and enhance the entire organization” (p. xv), highlighted organizational benefits.</w:t>
      </w:r>
      <w:r w:rsidR="00E521C7">
        <w:t xml:space="preserve"> Are the beneficiaries of coaching individuals or organizations?</w:t>
      </w:r>
    </w:p>
    <w:p w14:paraId="7B6A5E0A" w14:textId="77777777" w:rsidR="00A17E88" w:rsidRDefault="00A17E88" w:rsidP="00D3388C">
      <w:pPr>
        <w:jc w:val="both"/>
      </w:pPr>
    </w:p>
    <w:p w14:paraId="3AA6AFE0" w14:textId="77777777" w:rsidR="00CA6224" w:rsidRDefault="004978F2" w:rsidP="00CA6224">
      <w:pPr>
        <w:jc w:val="both"/>
      </w:pPr>
      <w:r>
        <w:t>The fourth dichotomy is individual contributor</w:t>
      </w:r>
      <w:r w:rsidR="00A17E88">
        <w:t xml:space="preserve"> versus executive. Clients</w:t>
      </w:r>
      <w:r w:rsidR="00E521C7">
        <w:t xml:space="preserve"> can</w:t>
      </w:r>
      <w:r w:rsidR="00A17E88">
        <w:t xml:space="preserve"> sit at multiple levels in the</w:t>
      </w:r>
      <w:r w:rsidR="00CA6224">
        <w:t xml:space="preserve"> organization, including </w:t>
      </w:r>
      <w:r>
        <w:t>individual contributor</w:t>
      </w:r>
      <w:r w:rsidR="00A17E88">
        <w:t xml:space="preserve"> and executive. </w:t>
      </w:r>
      <w:r>
        <w:t xml:space="preserve">The WABC (2018) defines clients as “an individual or team who is within a business, profit or nonprofit organization, institution or government and who is the recipient of business coaching”. </w:t>
      </w:r>
      <w:r w:rsidR="00CA6224">
        <w:t xml:space="preserve">Conversely, Dingman’s (2006) definition of coaching as “a one-to-one interaction between a coach and an executive in a helping relationship offering experiential learning and dialogue that facilitates an executive’s desire to reach specific goals and may affect individual self-, job-, and organizational-related outcomes” (p. 2), mentions the executive. </w:t>
      </w:r>
      <w:r w:rsidR="00E521C7">
        <w:t xml:space="preserve">Are coaching </w:t>
      </w:r>
      <w:proofErr w:type="gramStart"/>
      <w:r w:rsidR="00E521C7">
        <w:t>clients</w:t>
      </w:r>
      <w:proofErr w:type="gramEnd"/>
      <w:r w:rsidR="00E521C7">
        <w:t xml:space="preserve"> individual contributors or executives?</w:t>
      </w:r>
    </w:p>
    <w:p w14:paraId="27B60329" w14:textId="77777777" w:rsidR="004978F2" w:rsidRDefault="004978F2" w:rsidP="00CA6224">
      <w:pPr>
        <w:jc w:val="both"/>
      </w:pPr>
    </w:p>
    <w:p w14:paraId="0CA40D1F" w14:textId="77777777" w:rsidR="004978F2" w:rsidRDefault="004978F2" w:rsidP="00CA6224">
      <w:pPr>
        <w:jc w:val="both"/>
      </w:pPr>
      <w:r>
        <w:lastRenderedPageBreak/>
        <w:t xml:space="preserve">The fifth dichotomy is learning versus development. Coaching outcomes </w:t>
      </w:r>
      <w:r w:rsidR="00E521C7">
        <w:t>vary</w:t>
      </w:r>
      <w:r>
        <w:t xml:space="preserve"> and may involve client learning or development. Hall, </w:t>
      </w:r>
      <w:proofErr w:type="spellStart"/>
      <w:r>
        <w:t>Ozato</w:t>
      </w:r>
      <w:proofErr w:type="spellEnd"/>
      <w:r>
        <w:t>, and Hollenbeck’s (1999) definition of coaching as a “practical, goal-focused form of personal, one-on-one learning for business executives” (p. 40)</w:t>
      </w:r>
      <w:r w:rsidR="00E521C7">
        <w:t xml:space="preserve"> </w:t>
      </w:r>
      <w:r>
        <w:t>emphasized learning. On the other hand, Stern’s (2004) definition of coaching as an “experiential, individualized, leadership development process” (p. 154), emphasized development.</w:t>
      </w:r>
      <w:r w:rsidR="00E521C7">
        <w:t xml:space="preserve"> Does coaching result in learning or development?</w:t>
      </w:r>
    </w:p>
    <w:p w14:paraId="0C980DD8" w14:textId="77777777" w:rsidR="00A17E88" w:rsidRDefault="00A17E88" w:rsidP="00D3388C">
      <w:pPr>
        <w:jc w:val="both"/>
      </w:pPr>
    </w:p>
    <w:p w14:paraId="4057D80F" w14:textId="77777777" w:rsidR="009E5519" w:rsidRDefault="00D13649" w:rsidP="003B0236">
      <w:pPr>
        <w:jc w:val="both"/>
      </w:pPr>
      <w:r>
        <w:t xml:space="preserve">The five dichotomies of coaching definitions are just one of the many debates underway in the scholarship and practice of coaching. </w:t>
      </w:r>
      <w:r w:rsidR="008F2EC6">
        <w:t xml:space="preserve">This technical note invites you to recognize the contested nature of the field and engage in meaningful discourse about the nature of coaching and its inherent tensions. </w:t>
      </w:r>
      <w:r>
        <w:t xml:space="preserve"> </w:t>
      </w:r>
    </w:p>
    <w:p w14:paraId="050880F5" w14:textId="77777777" w:rsidR="003B0236" w:rsidRDefault="003B0236" w:rsidP="003B0236">
      <w:pPr>
        <w:jc w:val="both"/>
      </w:pPr>
    </w:p>
    <w:p w14:paraId="3247F1C0" w14:textId="77777777" w:rsidR="00060992" w:rsidRPr="00AF4BAC" w:rsidRDefault="00B618AA" w:rsidP="00AF4BAC">
      <w:pPr>
        <w:spacing w:after="120"/>
        <w:jc w:val="center"/>
      </w:pPr>
      <w:r>
        <w:br w:type="page"/>
      </w:r>
      <w:r w:rsidR="001E4E10">
        <w:rPr>
          <w:b/>
          <w:caps/>
        </w:rPr>
        <w:lastRenderedPageBreak/>
        <w:t>WHAT IS COACHING?</w:t>
      </w:r>
    </w:p>
    <w:p w14:paraId="0D1215D0" w14:textId="77777777" w:rsidR="00060992" w:rsidRPr="00060992" w:rsidRDefault="008B0948" w:rsidP="00060992">
      <w:pPr>
        <w:jc w:val="center"/>
        <w:rPr>
          <w:b/>
        </w:rPr>
      </w:pPr>
      <w:r>
        <w:rPr>
          <w:b/>
        </w:rPr>
        <w:t>References</w:t>
      </w:r>
    </w:p>
    <w:p w14:paraId="09DB95D9" w14:textId="77777777" w:rsidR="00060992" w:rsidRDefault="00060992" w:rsidP="00060992">
      <w:pPr>
        <w:jc w:val="center"/>
      </w:pPr>
    </w:p>
    <w:p w14:paraId="48104BAC" w14:textId="77777777" w:rsidR="008E3668" w:rsidRDefault="008E3668" w:rsidP="008E3668">
      <w:pPr>
        <w:ind w:left="720" w:hanging="720"/>
      </w:pPr>
      <w:r>
        <w:t xml:space="preserve">Athanasopoulou, A., &amp; Dopson, S. (2015). </w:t>
      </w:r>
      <w:r>
        <w:rPr>
          <w:i/>
        </w:rPr>
        <w:t xml:space="preserve">Developing leaders by executive coaching: Practice and evidence. </w:t>
      </w:r>
      <w:r>
        <w:t>Oxford, U.K.: Oxford University Press.</w:t>
      </w:r>
    </w:p>
    <w:p w14:paraId="3433D4E9" w14:textId="77777777" w:rsidR="00852AAB" w:rsidRDefault="00852AAB" w:rsidP="008E3668">
      <w:pPr>
        <w:ind w:left="720" w:hanging="720"/>
      </w:pPr>
    </w:p>
    <w:p w14:paraId="437BB6CD" w14:textId="77777777" w:rsidR="00852AAB" w:rsidRDefault="00852AAB" w:rsidP="008E3668">
      <w:pPr>
        <w:ind w:left="720" w:hanging="720"/>
      </w:pPr>
      <w:r>
        <w:t xml:space="preserve">Dingman, M.E. (2006). Executive coaching: What’s the big deal? </w:t>
      </w:r>
      <w:r w:rsidRPr="00852AAB">
        <w:rPr>
          <w:i/>
        </w:rPr>
        <w:t>International Journal of Leadership Studies</w:t>
      </w:r>
      <w:r>
        <w:rPr>
          <w:i/>
        </w:rPr>
        <w:t>, 1</w:t>
      </w:r>
      <w:r>
        <w:t>(2), 2–5.</w:t>
      </w:r>
    </w:p>
    <w:p w14:paraId="7C20AD3C" w14:textId="77777777" w:rsidR="00E90CCE" w:rsidRDefault="00E90CCE" w:rsidP="008E3668">
      <w:pPr>
        <w:ind w:left="720" w:hanging="720"/>
      </w:pPr>
    </w:p>
    <w:p w14:paraId="0CA2E40A" w14:textId="77777777" w:rsidR="00766DB2" w:rsidRDefault="00E90CCE" w:rsidP="00C81BDE">
      <w:pPr>
        <w:ind w:left="720" w:hanging="720"/>
      </w:pPr>
      <w:r>
        <w:t xml:space="preserve">Feldman, D.C., &amp; </w:t>
      </w:r>
      <w:proofErr w:type="spellStart"/>
      <w:r>
        <w:t>Lankau</w:t>
      </w:r>
      <w:proofErr w:type="spellEnd"/>
      <w:r>
        <w:t xml:space="preserve">, M.J. (2005). Executive coaching: A review and agenda for future research. </w:t>
      </w:r>
      <w:r>
        <w:rPr>
          <w:i/>
        </w:rPr>
        <w:t>Journal of Management, 31</w:t>
      </w:r>
      <w:r w:rsidR="00370530">
        <w:t>(6)</w:t>
      </w:r>
      <w:r>
        <w:rPr>
          <w:i/>
        </w:rPr>
        <w:t xml:space="preserve">, </w:t>
      </w:r>
      <w:r>
        <w:t>829-848.</w:t>
      </w:r>
    </w:p>
    <w:p w14:paraId="6013163E" w14:textId="77777777" w:rsidR="00924CD9" w:rsidRDefault="00924CD9" w:rsidP="00C81BDE">
      <w:pPr>
        <w:ind w:left="720" w:hanging="720"/>
      </w:pPr>
    </w:p>
    <w:p w14:paraId="574934B8" w14:textId="77777777" w:rsidR="00924CD9" w:rsidRDefault="00924CD9" w:rsidP="00924CD9">
      <w:pPr>
        <w:ind w:left="720" w:hanging="720"/>
      </w:pPr>
      <w:r>
        <w:t xml:space="preserve">Garman, A.N., Whiston, D.L., &amp; </w:t>
      </w:r>
      <w:proofErr w:type="spellStart"/>
      <w:r>
        <w:t>Zlatoper</w:t>
      </w:r>
      <w:proofErr w:type="spellEnd"/>
      <w:r>
        <w:t xml:space="preserve">, K.W. (2000). Media perceptions of executive coaching and the formal preparation of coaches. </w:t>
      </w:r>
      <w:r>
        <w:rPr>
          <w:i/>
        </w:rPr>
        <w:t>Consulting Psychology Journal: Practice and Research, 52</w:t>
      </w:r>
      <w:r>
        <w:t>(3), 201-205.</w:t>
      </w:r>
    </w:p>
    <w:p w14:paraId="2E785BC6" w14:textId="77777777" w:rsidR="00770CE9" w:rsidRDefault="00770CE9" w:rsidP="00E90CCE">
      <w:pPr>
        <w:ind w:left="720" w:hanging="720"/>
      </w:pPr>
    </w:p>
    <w:p w14:paraId="5A65881B" w14:textId="77777777" w:rsidR="00770CE9" w:rsidRDefault="00770CE9" w:rsidP="00E90CCE">
      <w:pPr>
        <w:ind w:left="720" w:hanging="720"/>
      </w:pPr>
      <w:r>
        <w:t xml:space="preserve">Gray, D.E., Garvey, B., &amp; Lane, D.A. (2016). </w:t>
      </w:r>
      <w:r>
        <w:rPr>
          <w:i/>
        </w:rPr>
        <w:t xml:space="preserve">A critical introduction to coaching and mentoring. </w:t>
      </w:r>
      <w:r>
        <w:t>Thousand Oaks, CA: SAGE Publications, Inc.</w:t>
      </w:r>
    </w:p>
    <w:p w14:paraId="04235119" w14:textId="77777777" w:rsidR="00D05FC0" w:rsidRDefault="00D05FC0" w:rsidP="00E90CCE">
      <w:pPr>
        <w:ind w:left="720" w:hanging="720"/>
      </w:pPr>
    </w:p>
    <w:p w14:paraId="59EAE507" w14:textId="77777777" w:rsidR="00D05FC0" w:rsidRPr="00D05FC0" w:rsidRDefault="00D05FC0" w:rsidP="00E90CCE">
      <w:pPr>
        <w:ind w:left="720" w:hanging="720"/>
      </w:pPr>
      <w:r>
        <w:t xml:space="preserve">Hall, D.T., </w:t>
      </w:r>
      <w:proofErr w:type="spellStart"/>
      <w:r>
        <w:t>Otazo</w:t>
      </w:r>
      <w:proofErr w:type="spellEnd"/>
      <w:r>
        <w:t xml:space="preserve">, K.L., &amp; Hollenbeck, G.P. (1999). Behind closed doors: What really happens in executive coaching. </w:t>
      </w:r>
      <w:r>
        <w:rPr>
          <w:i/>
        </w:rPr>
        <w:t>Organizational Dynamics, 27</w:t>
      </w:r>
      <w:r>
        <w:t>(3), 39-53.</w:t>
      </w:r>
    </w:p>
    <w:p w14:paraId="2361192F" w14:textId="77777777" w:rsidR="00770CE9" w:rsidRDefault="00770CE9" w:rsidP="00E90CCE">
      <w:pPr>
        <w:ind w:left="720" w:hanging="720"/>
      </w:pPr>
    </w:p>
    <w:p w14:paraId="5F0FD92B" w14:textId="77777777" w:rsidR="00770CE9" w:rsidRDefault="00770CE9" w:rsidP="00E90CCE">
      <w:pPr>
        <w:ind w:left="720" w:hanging="720"/>
      </w:pPr>
      <w:r>
        <w:t xml:space="preserve">International Coach Federation website (2018). ICF definition of coaching. Retrieved from </w:t>
      </w:r>
      <w:r w:rsidRPr="00770CE9">
        <w:t>https://coachfederation.org/about/</w:t>
      </w:r>
    </w:p>
    <w:p w14:paraId="7E0B3031" w14:textId="77777777" w:rsidR="00C81BDE" w:rsidRDefault="00C81BDE" w:rsidP="00E90CCE">
      <w:pPr>
        <w:ind w:left="720" w:hanging="720"/>
      </w:pPr>
    </w:p>
    <w:p w14:paraId="0E44C562" w14:textId="77777777" w:rsidR="00E90CCE" w:rsidRDefault="00E90CCE" w:rsidP="00E90CCE">
      <w:pPr>
        <w:ind w:left="720" w:hanging="720"/>
      </w:pPr>
      <w:r>
        <w:t xml:space="preserve">Kampa-Kokesch, S., &amp; Anderson, M.Z. (2001). Executive coaching: A comprehensive review of the literature. </w:t>
      </w:r>
      <w:r>
        <w:rPr>
          <w:i/>
        </w:rPr>
        <w:t>Consulting Psychology Journal: Practice and Research, 53</w:t>
      </w:r>
      <w:r w:rsidR="00370530">
        <w:t>(4)</w:t>
      </w:r>
      <w:r>
        <w:rPr>
          <w:i/>
        </w:rPr>
        <w:t xml:space="preserve">, </w:t>
      </w:r>
      <w:r>
        <w:t>205-228.</w:t>
      </w:r>
    </w:p>
    <w:p w14:paraId="7F55048F" w14:textId="77777777" w:rsidR="00D05FC0" w:rsidRDefault="00D05FC0" w:rsidP="00E90CCE">
      <w:pPr>
        <w:ind w:left="720" w:hanging="720"/>
      </w:pPr>
    </w:p>
    <w:p w14:paraId="7B9CD87C" w14:textId="77777777" w:rsidR="00D05FC0" w:rsidRPr="00D05FC0" w:rsidRDefault="00D05FC0" w:rsidP="00E90CCE">
      <w:pPr>
        <w:ind w:left="720" w:hanging="720"/>
      </w:pPr>
      <w:r>
        <w:t xml:space="preserve">Kilburg, R.R. (1996). Toward a conceptual understanding and definition of executive coaching. </w:t>
      </w:r>
      <w:r>
        <w:rPr>
          <w:i/>
        </w:rPr>
        <w:t>Consulting Psychology Journal: Practice and Research, 48</w:t>
      </w:r>
      <w:r>
        <w:t>(2), 134-144.</w:t>
      </w:r>
    </w:p>
    <w:p w14:paraId="4B29F4AC" w14:textId="77777777" w:rsidR="00E90CCE" w:rsidRDefault="00E90CCE" w:rsidP="00E90CCE">
      <w:pPr>
        <w:ind w:left="720" w:hanging="720"/>
      </w:pPr>
    </w:p>
    <w:p w14:paraId="239C4C6B" w14:textId="77777777" w:rsidR="00E90CCE" w:rsidRDefault="00B2003B" w:rsidP="00E90CCE">
      <w:pPr>
        <w:ind w:left="720" w:hanging="720"/>
      </w:pPr>
      <w:r>
        <w:t xml:space="preserve">Maltbia, T.E., </w:t>
      </w:r>
      <w:proofErr w:type="spellStart"/>
      <w:r>
        <w:t>Marsick</w:t>
      </w:r>
      <w:proofErr w:type="spellEnd"/>
      <w:r>
        <w:t xml:space="preserve">, V.J., &amp; Ghosh, R. (2014). Executive and organizational coaching: A review of insights drawn from literature to inform HRD practice. </w:t>
      </w:r>
      <w:r>
        <w:rPr>
          <w:i/>
        </w:rPr>
        <w:t>Advances in Developing Human Resources, 16</w:t>
      </w:r>
      <w:r>
        <w:t>(2), 161-183.</w:t>
      </w:r>
    </w:p>
    <w:p w14:paraId="3E2C67DC" w14:textId="77777777" w:rsidR="00852AAB" w:rsidRDefault="00852AAB" w:rsidP="00E90CCE">
      <w:pPr>
        <w:ind w:left="720" w:hanging="720"/>
      </w:pPr>
    </w:p>
    <w:p w14:paraId="4899253C" w14:textId="77777777" w:rsidR="00852AAB" w:rsidRDefault="00852AAB" w:rsidP="00E90CCE">
      <w:pPr>
        <w:ind w:left="720" w:hanging="720"/>
      </w:pPr>
      <w:r>
        <w:t xml:space="preserve">McCauley, C.D., &amp; </w:t>
      </w:r>
      <w:proofErr w:type="spellStart"/>
      <w:r>
        <w:t>Hezlett</w:t>
      </w:r>
      <w:proofErr w:type="spellEnd"/>
      <w:r>
        <w:t xml:space="preserve">, S.A. (2001). Individual development in the workplace. In Anderson, N., Ones, D., </w:t>
      </w:r>
      <w:proofErr w:type="spellStart"/>
      <w:r>
        <w:t>Sinangil</w:t>
      </w:r>
      <w:proofErr w:type="spellEnd"/>
      <w:r>
        <w:t xml:space="preserve">, H.K., and </w:t>
      </w:r>
      <w:proofErr w:type="spellStart"/>
      <w:r>
        <w:t>Viswesvaran</w:t>
      </w:r>
      <w:proofErr w:type="spellEnd"/>
      <w:r>
        <w:t xml:space="preserve">, C. (Eds.), </w:t>
      </w:r>
      <w:r>
        <w:rPr>
          <w:i/>
        </w:rPr>
        <w:t>Handbook of Industrial Work</w:t>
      </w:r>
      <w:r w:rsidRPr="00852AAB">
        <w:rPr>
          <w:i/>
        </w:rPr>
        <w:t xml:space="preserve"> and Organizational Psychology</w:t>
      </w:r>
      <w:r>
        <w:t xml:space="preserve"> (Vol. 2), London, U.K.: SAGE Publications Ltd.</w:t>
      </w:r>
    </w:p>
    <w:p w14:paraId="36363F1F" w14:textId="77777777" w:rsidR="00924CD9" w:rsidRDefault="00924CD9" w:rsidP="00E90CCE">
      <w:pPr>
        <w:ind w:left="720" w:hanging="720"/>
      </w:pPr>
    </w:p>
    <w:p w14:paraId="5A20574F" w14:textId="77777777" w:rsidR="0064379F" w:rsidRDefault="00060992" w:rsidP="003B3939">
      <w:pPr>
        <w:ind w:left="720" w:hanging="720"/>
      </w:pPr>
      <w:r>
        <w:t xml:space="preserve">Nelson, J.K., Boyce, L.A., </w:t>
      </w:r>
      <w:proofErr w:type="spellStart"/>
      <w:r>
        <w:t>Hernez</w:t>
      </w:r>
      <w:proofErr w:type="spellEnd"/>
      <w:r>
        <w:t xml:space="preserve">-Broome, G., Ely, K., &amp; DiRosa, G.A. (2011). </w:t>
      </w:r>
      <w:r>
        <w:rPr>
          <w:i/>
        </w:rPr>
        <w:t xml:space="preserve">The leadership coaching sourcebook: A guide to the executive coaching literature. </w:t>
      </w:r>
      <w:r>
        <w:t>Greensboro, NC: CCL Press.</w:t>
      </w:r>
    </w:p>
    <w:p w14:paraId="25C263BE" w14:textId="77777777" w:rsidR="00852AAB" w:rsidRDefault="00852AAB" w:rsidP="003B3939">
      <w:pPr>
        <w:ind w:left="720" w:hanging="720"/>
      </w:pPr>
    </w:p>
    <w:p w14:paraId="2D793509" w14:textId="77777777" w:rsidR="00852AAB" w:rsidRPr="00852AAB" w:rsidRDefault="00852AAB" w:rsidP="003B3939">
      <w:pPr>
        <w:ind w:left="720" w:hanging="720"/>
      </w:pPr>
      <w:r>
        <w:t xml:space="preserve">Orenstein, R.L. (2002). Executive coaching: It’s not just about the executive. </w:t>
      </w:r>
      <w:r>
        <w:rPr>
          <w:i/>
        </w:rPr>
        <w:t>Journal of Applied Behavioral Science, 38</w:t>
      </w:r>
      <w:r>
        <w:t>(3), 355-374.</w:t>
      </w:r>
    </w:p>
    <w:p w14:paraId="1DF458E9" w14:textId="77777777" w:rsidR="00D05FC0" w:rsidRDefault="00D05FC0" w:rsidP="00060992">
      <w:pPr>
        <w:ind w:left="720" w:hanging="720"/>
      </w:pPr>
    </w:p>
    <w:p w14:paraId="4203B6CA" w14:textId="77777777" w:rsidR="00D05FC0" w:rsidRPr="00D05FC0" w:rsidRDefault="00D05FC0" w:rsidP="00060992">
      <w:pPr>
        <w:ind w:left="720" w:hanging="720"/>
      </w:pPr>
      <w:r>
        <w:t xml:space="preserve">Passmore, J., &amp; Fillery-Travis, A. (2011). A critical review of executive coaching research: A decade of progress and what’s to come. </w:t>
      </w:r>
      <w:r>
        <w:rPr>
          <w:i/>
        </w:rPr>
        <w:t>Coaching: An International Journal of Theory, Research, and Practice, 4</w:t>
      </w:r>
      <w:r w:rsidR="00972F55">
        <w:t>(2)</w:t>
      </w:r>
      <w:r>
        <w:rPr>
          <w:i/>
        </w:rPr>
        <w:t xml:space="preserve">, </w:t>
      </w:r>
      <w:r>
        <w:t>70-88.</w:t>
      </w:r>
    </w:p>
    <w:p w14:paraId="23883C8D" w14:textId="77777777" w:rsidR="00B2003B" w:rsidRDefault="00B2003B" w:rsidP="00060992">
      <w:pPr>
        <w:ind w:left="720" w:hanging="720"/>
      </w:pPr>
    </w:p>
    <w:p w14:paraId="3C87A68B" w14:textId="77777777" w:rsidR="00B2003B" w:rsidRDefault="00B2003B" w:rsidP="00060992">
      <w:pPr>
        <w:ind w:left="720" w:hanging="720"/>
      </w:pPr>
      <w:r>
        <w:t xml:space="preserve">Passmore, J., &amp; Gibbes, C. (2007). The state of executive coaching research: What does the current literature tell us and what’s next for coaching research? </w:t>
      </w:r>
      <w:r>
        <w:rPr>
          <w:i/>
        </w:rPr>
        <w:t>International Coaching Psychology Review, 2</w:t>
      </w:r>
      <w:r>
        <w:t>(2), 116-128.</w:t>
      </w:r>
    </w:p>
    <w:p w14:paraId="3B0CFA9D" w14:textId="77777777" w:rsidR="00924CD9" w:rsidRDefault="00924CD9" w:rsidP="00060992">
      <w:pPr>
        <w:ind w:left="720" w:hanging="720"/>
      </w:pPr>
    </w:p>
    <w:p w14:paraId="7BF723E3" w14:textId="77777777" w:rsidR="00924CD9" w:rsidRPr="00924CD9" w:rsidRDefault="00924CD9" w:rsidP="00060992">
      <w:pPr>
        <w:ind w:left="720" w:hanging="720"/>
      </w:pPr>
      <w:r>
        <w:t xml:space="preserve">Peltier, B. (2001). </w:t>
      </w:r>
      <w:r>
        <w:rPr>
          <w:i/>
        </w:rPr>
        <w:t xml:space="preserve">The Psychology of Executive Coaching: Theory and Application. </w:t>
      </w:r>
      <w:r>
        <w:t>New York, NY: Brunner-Routledge.</w:t>
      </w:r>
    </w:p>
    <w:p w14:paraId="5328A6E9" w14:textId="77777777" w:rsidR="00F633EA" w:rsidRDefault="00F633EA" w:rsidP="00060992">
      <w:pPr>
        <w:ind w:left="720" w:hanging="720"/>
      </w:pPr>
    </w:p>
    <w:p w14:paraId="599824C4" w14:textId="77777777" w:rsidR="00F633EA" w:rsidRPr="00F633EA" w:rsidRDefault="00F633EA" w:rsidP="00060992">
      <w:pPr>
        <w:ind w:left="720" w:hanging="720"/>
      </w:pPr>
      <w:r>
        <w:t>Sperry, L. (2008). Executive coaching: An intervention, role function, or profession?</w:t>
      </w:r>
      <w:r>
        <w:rPr>
          <w:i/>
        </w:rPr>
        <w:t xml:space="preserve"> Consulting Psychology Journal: Practice and Research, 60</w:t>
      </w:r>
      <w:r w:rsidR="00972F55" w:rsidRPr="00972F55">
        <w:t>(1)</w:t>
      </w:r>
      <w:r w:rsidRPr="00972F55">
        <w:t>,</w:t>
      </w:r>
      <w:r>
        <w:rPr>
          <w:i/>
        </w:rPr>
        <w:t xml:space="preserve"> </w:t>
      </w:r>
      <w:r>
        <w:t>33-37.</w:t>
      </w:r>
    </w:p>
    <w:p w14:paraId="3CC7512A" w14:textId="77777777" w:rsidR="00B2003B" w:rsidRDefault="00B2003B" w:rsidP="00060992">
      <w:pPr>
        <w:ind w:left="720" w:hanging="720"/>
      </w:pPr>
    </w:p>
    <w:p w14:paraId="4581898E" w14:textId="77777777" w:rsidR="00B2003B" w:rsidRDefault="00B2003B" w:rsidP="00060992">
      <w:pPr>
        <w:ind w:left="720" w:hanging="720"/>
      </w:pPr>
      <w:r>
        <w:t xml:space="preserve">Stern, L.R. (2004). Executive coaching: A working definition. </w:t>
      </w:r>
      <w:r>
        <w:rPr>
          <w:i/>
        </w:rPr>
        <w:t>Consulting Psychology Journal: Practice and Research, 56</w:t>
      </w:r>
      <w:r>
        <w:t>(3), 154-162.</w:t>
      </w:r>
    </w:p>
    <w:p w14:paraId="1586E980" w14:textId="77777777" w:rsidR="0064379F" w:rsidRDefault="0064379F" w:rsidP="00060992">
      <w:pPr>
        <w:ind w:left="720" w:hanging="720"/>
      </w:pPr>
    </w:p>
    <w:p w14:paraId="73B88FF7" w14:textId="77777777" w:rsidR="0064379F" w:rsidRPr="0064379F" w:rsidRDefault="0064379F" w:rsidP="00060992">
      <w:pPr>
        <w:ind w:left="720" w:hanging="720"/>
      </w:pPr>
      <w:r>
        <w:t xml:space="preserve">Stokes, J., &amp; Jolly, R. (2009). Executive and leadership coaching. In Cox, E., </w:t>
      </w:r>
      <w:proofErr w:type="spellStart"/>
      <w:r>
        <w:t>Bachkirova</w:t>
      </w:r>
      <w:proofErr w:type="spellEnd"/>
      <w:r>
        <w:t xml:space="preserve">, T., &amp; Cluterbuck, D.A. (Eds.), </w:t>
      </w:r>
      <w:r>
        <w:rPr>
          <w:i/>
        </w:rPr>
        <w:t xml:space="preserve">The Complete Handbook of Coaching. </w:t>
      </w:r>
      <w:r>
        <w:t>London, U.K.: SAGE Publications Ltd.</w:t>
      </w:r>
    </w:p>
    <w:p w14:paraId="0A77E6FA" w14:textId="77777777" w:rsidR="00060992" w:rsidRDefault="00060992" w:rsidP="00060992">
      <w:pPr>
        <w:ind w:left="720" w:hanging="720"/>
      </w:pPr>
    </w:p>
    <w:p w14:paraId="34E4BC31" w14:textId="77777777" w:rsidR="00060992" w:rsidRDefault="00060992" w:rsidP="00060992">
      <w:pPr>
        <w:ind w:left="720" w:hanging="720"/>
      </w:pPr>
      <w:r>
        <w:t xml:space="preserve">Ting, S., &amp; Hart, E.W. (2003). Formal coaching. In C.D. McCauley &amp; E. Van Velsor (Eds.), </w:t>
      </w:r>
      <w:r>
        <w:rPr>
          <w:i/>
        </w:rPr>
        <w:t xml:space="preserve">The Center for Creative Leadership handbook of leadership development </w:t>
      </w:r>
      <w:r>
        <w:t>(pp. 116-150). San Francisco, CA: Jossey-Bass.</w:t>
      </w:r>
    </w:p>
    <w:p w14:paraId="4614868E" w14:textId="77777777" w:rsidR="00924CD9" w:rsidRDefault="00924CD9" w:rsidP="00060992">
      <w:pPr>
        <w:ind w:left="720" w:hanging="720"/>
      </w:pPr>
    </w:p>
    <w:p w14:paraId="1C7ADEDD" w14:textId="77777777" w:rsidR="00924CD9" w:rsidRPr="00924CD9" w:rsidRDefault="00924CD9" w:rsidP="00060992">
      <w:pPr>
        <w:ind w:left="720" w:hanging="720"/>
      </w:pPr>
      <w:r>
        <w:t xml:space="preserve">Tobias, L.L. (1996). Coaching executives. </w:t>
      </w:r>
      <w:r>
        <w:rPr>
          <w:i/>
        </w:rPr>
        <w:t>Consulting Psychology Journal: Practice and Research, 48</w:t>
      </w:r>
      <w:r>
        <w:t>(2), 87-95.</w:t>
      </w:r>
    </w:p>
    <w:p w14:paraId="30C47FA1" w14:textId="77777777" w:rsidR="00F633EA" w:rsidRDefault="00F633EA" w:rsidP="00060992">
      <w:pPr>
        <w:ind w:left="720" w:hanging="720"/>
      </w:pPr>
    </w:p>
    <w:p w14:paraId="7D6117EE" w14:textId="77777777" w:rsidR="00F633EA" w:rsidRDefault="00F633EA" w:rsidP="00F633EA">
      <w:pPr>
        <w:ind w:left="720" w:hanging="720"/>
      </w:pPr>
      <w:r>
        <w:t xml:space="preserve">Witherspoon, R., &amp; White, R.P. (1996). Executive coaching a continuum of a role. </w:t>
      </w:r>
      <w:r>
        <w:rPr>
          <w:i/>
        </w:rPr>
        <w:t>Consulting Psychology Journal: Practice and Research, 48</w:t>
      </w:r>
      <w:r w:rsidR="00972F55">
        <w:t>(2</w:t>
      </w:r>
      <w:r>
        <w:t>), 124-133.</w:t>
      </w:r>
    </w:p>
    <w:p w14:paraId="10DFFA81" w14:textId="77777777" w:rsidR="00010BD7" w:rsidRDefault="00010BD7" w:rsidP="00060992">
      <w:pPr>
        <w:ind w:left="720" w:hanging="720"/>
      </w:pPr>
    </w:p>
    <w:p w14:paraId="7B99CFD9" w14:textId="77777777" w:rsidR="00B618AA" w:rsidRPr="00F507A5" w:rsidRDefault="00010BD7" w:rsidP="00855CE0">
      <w:pPr>
        <w:ind w:left="720" w:hanging="720"/>
      </w:pPr>
      <w:r>
        <w:t xml:space="preserve">Worldwide Association of Business Coaches (2018). Business coaching definition. Retrieved from </w:t>
      </w:r>
      <w:r w:rsidRPr="00010BD7">
        <w:t>http://www.wabccoaches.com/includes/popups/definition.html</w:t>
      </w:r>
    </w:p>
    <w:sectPr w:rsidR="00B618AA" w:rsidRPr="00F507A5" w:rsidSect="00B618AA">
      <w:headerReference w:type="even" r:id="rId8"/>
      <w:headerReference w:type="default" r:id="rId9"/>
      <w:footerReference w:type="default" r:id="rId10"/>
      <w:headerReference w:type="first" r:id="rId11"/>
      <w:footerReference w:type="first" r:id="rId12"/>
      <w:pgSz w:w="12240" w:h="15840" w:code="1"/>
      <w:pgMar w:top="900" w:right="1440" w:bottom="1440" w:left="1440" w:header="900" w:footer="1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050D" w14:textId="77777777" w:rsidR="002F2938" w:rsidRDefault="002F2938">
      <w:r>
        <w:separator/>
      </w:r>
    </w:p>
  </w:endnote>
  <w:endnote w:type="continuationSeparator" w:id="0">
    <w:p w14:paraId="16A9E420" w14:textId="77777777" w:rsidR="002F2938" w:rsidRDefault="002F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DBEC" w14:textId="77777777" w:rsidR="002D3FD0" w:rsidRPr="007D459A" w:rsidRDefault="002D3FD0" w:rsidP="00AC081A">
    <w:pPr>
      <w:pStyle w:val="Footer"/>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EC66" w14:textId="77777777" w:rsidR="002D3FD0" w:rsidRPr="00AE611E" w:rsidRDefault="002D3FD0" w:rsidP="00AE611E">
    <w:pPr>
      <w:pStyle w:val="Footer"/>
      <w:tabs>
        <w:tab w:val="clear" w:pos="4320"/>
        <w:tab w:val="clear" w:pos="8640"/>
        <w:tab w:val="center" w:pos="4680"/>
        <w:tab w:val="right" w:pos="9360"/>
      </w:tabs>
      <w:jc w:val="both"/>
      <w:rPr>
        <w:snapToGrid w:val="0"/>
        <w:sz w:val="20"/>
        <w:szCs w:val="20"/>
      </w:rPr>
    </w:pPr>
  </w:p>
  <w:p w14:paraId="782DD73F" w14:textId="77777777" w:rsidR="002D3FD0" w:rsidRPr="00AE611E" w:rsidRDefault="002D3FD0" w:rsidP="00AE611E">
    <w:pPr>
      <w:pStyle w:val="Footer"/>
      <w:pBdr>
        <w:top w:val="single" w:sz="4" w:space="1" w:color="auto"/>
      </w:pBdr>
      <w:tabs>
        <w:tab w:val="clear" w:pos="4320"/>
        <w:tab w:val="clear" w:pos="8640"/>
        <w:tab w:val="center" w:pos="4680"/>
        <w:tab w:val="right" w:pos="9360"/>
      </w:tabs>
      <w:jc w:val="both"/>
      <w:rPr>
        <w:snapToGrid w:val="0"/>
        <w:sz w:val="20"/>
        <w:szCs w:val="20"/>
      </w:rPr>
    </w:pPr>
  </w:p>
  <w:p w14:paraId="11A7960F" w14:textId="77777777" w:rsidR="002D3FD0" w:rsidRPr="00AE611E" w:rsidRDefault="00AF3455" w:rsidP="00AE611E">
    <w:pPr>
      <w:pStyle w:val="Footer"/>
      <w:tabs>
        <w:tab w:val="clear" w:pos="4320"/>
        <w:tab w:val="clear" w:pos="8640"/>
        <w:tab w:val="center" w:pos="4680"/>
        <w:tab w:val="right" w:pos="9360"/>
      </w:tabs>
      <w:jc w:val="both"/>
      <w:rPr>
        <w:sz w:val="20"/>
        <w:szCs w:val="20"/>
      </w:rPr>
    </w:pPr>
    <w:r>
      <w:rPr>
        <w:snapToGrid w:val="0"/>
        <w:sz w:val="20"/>
        <w:szCs w:val="20"/>
      </w:rPr>
      <w:t>P</w:t>
    </w:r>
    <w:r w:rsidR="002D3FD0" w:rsidRPr="00AE611E">
      <w:rPr>
        <w:snapToGrid w:val="0"/>
        <w:sz w:val="20"/>
        <w:szCs w:val="20"/>
      </w:rPr>
      <w:t>repared by Connie Whittaker Dunlop</w:t>
    </w:r>
    <w:r w:rsidR="00434C77">
      <w:rPr>
        <w:snapToGrid w:val="0"/>
        <w:sz w:val="20"/>
        <w:szCs w:val="20"/>
      </w:rPr>
      <w:t>, Executive Director for Professional Advancement,</w:t>
    </w:r>
    <w:r w:rsidR="00510793">
      <w:rPr>
        <w:snapToGrid w:val="0"/>
        <w:sz w:val="20"/>
        <w:szCs w:val="20"/>
      </w:rPr>
      <w:t xml:space="preserve"> in 2018</w:t>
    </w:r>
    <w:r>
      <w:rPr>
        <w:snapToGrid w:val="0"/>
        <w:sz w:val="20"/>
        <w:szCs w:val="20"/>
      </w:rPr>
      <w:t xml:space="preserve"> for </w:t>
    </w:r>
    <w:r w:rsidR="00434C77">
      <w:rPr>
        <w:snapToGrid w:val="0"/>
        <w:sz w:val="20"/>
        <w:szCs w:val="20"/>
      </w:rPr>
      <w:t>exclusive use by students at The University of Virginia</w:t>
    </w:r>
    <w:r>
      <w:rPr>
        <w:snapToGrid w:val="0"/>
        <w:sz w:val="20"/>
        <w:szCs w:val="20"/>
      </w:rPr>
      <w:t xml:space="preserve"> Darden School of Business. Further copying and distribution are not permitted</w:t>
    </w:r>
    <w:r w:rsidR="008C78BE">
      <w:rPr>
        <w:snapToGrid w:val="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9F62" w14:textId="77777777" w:rsidR="002F2938" w:rsidRDefault="002F2938">
      <w:r>
        <w:separator/>
      </w:r>
    </w:p>
  </w:footnote>
  <w:footnote w:type="continuationSeparator" w:id="0">
    <w:p w14:paraId="2EC15AA8" w14:textId="77777777" w:rsidR="002F2938" w:rsidRDefault="002F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072" w14:textId="77777777" w:rsidR="002D3FD0" w:rsidRDefault="002D3FD0" w:rsidP="006362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4B8C42" w14:textId="77777777" w:rsidR="002D3FD0" w:rsidRDefault="002D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7848" w14:textId="77777777" w:rsidR="002D3FD0" w:rsidRPr="00662589" w:rsidRDefault="002D3FD0" w:rsidP="00662589">
    <w:pPr>
      <w:pStyle w:val="Header"/>
      <w:tabs>
        <w:tab w:val="clear" w:pos="4320"/>
        <w:tab w:val="clear" w:pos="8640"/>
        <w:tab w:val="center" w:pos="4680"/>
        <w:tab w:val="right" w:pos="9360"/>
      </w:tabs>
    </w:pPr>
    <w:r w:rsidRPr="00662589">
      <w:tab/>
      <w:t>-</w:t>
    </w:r>
    <w:r w:rsidRPr="00662589">
      <w:fldChar w:fldCharType="begin"/>
    </w:r>
    <w:r w:rsidRPr="00662589">
      <w:instrText xml:space="preserve"> PAGE   \* MERGEFORMAT </w:instrText>
    </w:r>
    <w:r w:rsidRPr="00662589">
      <w:fldChar w:fldCharType="separate"/>
    </w:r>
    <w:r w:rsidR="00AF4BAC">
      <w:rPr>
        <w:noProof/>
      </w:rPr>
      <w:t>6</w:t>
    </w:r>
    <w:r w:rsidRPr="00662589">
      <w:fldChar w:fldCharType="end"/>
    </w:r>
    <w:r w:rsidRPr="00662589">
      <w:t>-</w:t>
    </w:r>
    <w:r w:rsidRPr="00662589">
      <w:tab/>
    </w:r>
  </w:p>
  <w:p w14:paraId="603847C2" w14:textId="77777777" w:rsidR="002D3FD0" w:rsidRPr="00662589" w:rsidRDefault="002D3FD0" w:rsidP="00662589">
    <w:pPr>
      <w:pStyle w:val="Header"/>
      <w:tabs>
        <w:tab w:val="clear" w:pos="4320"/>
        <w:tab w:val="clear" w:pos="8640"/>
        <w:tab w:val="center" w:pos="4680"/>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F7D0" w14:textId="148D05B5" w:rsidR="002D3FD0" w:rsidRPr="00B618AA" w:rsidRDefault="00B618AA" w:rsidP="00B618AA">
    <w:pPr>
      <w:pStyle w:val="Header"/>
      <w:tabs>
        <w:tab w:val="clear" w:pos="4320"/>
        <w:tab w:val="clear" w:pos="8640"/>
        <w:tab w:val="center" w:pos="468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252"/>
    <w:multiLevelType w:val="hybridMultilevel"/>
    <w:tmpl w:val="ABF438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425522"/>
    <w:multiLevelType w:val="hybridMultilevel"/>
    <w:tmpl w:val="C240976C"/>
    <w:lvl w:ilvl="0" w:tplc="3C388A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D44F0"/>
    <w:multiLevelType w:val="hybridMultilevel"/>
    <w:tmpl w:val="BD7A6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BD7836"/>
    <w:multiLevelType w:val="hybridMultilevel"/>
    <w:tmpl w:val="1146EEBA"/>
    <w:lvl w:ilvl="0" w:tplc="142E9F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B62D63"/>
    <w:multiLevelType w:val="hybridMultilevel"/>
    <w:tmpl w:val="CB368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C789B"/>
    <w:multiLevelType w:val="hybridMultilevel"/>
    <w:tmpl w:val="60FE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8656E"/>
    <w:multiLevelType w:val="hybridMultilevel"/>
    <w:tmpl w:val="DEF648E4"/>
    <w:lvl w:ilvl="0" w:tplc="45EC014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02568"/>
    <w:multiLevelType w:val="multilevel"/>
    <w:tmpl w:val="DEF648E4"/>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249B8"/>
    <w:multiLevelType w:val="hybridMultilevel"/>
    <w:tmpl w:val="C38EA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CE76A1"/>
    <w:multiLevelType w:val="hybridMultilevel"/>
    <w:tmpl w:val="97EC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244B25"/>
    <w:multiLevelType w:val="hybridMultilevel"/>
    <w:tmpl w:val="0FEAD9A0"/>
    <w:lvl w:ilvl="0" w:tplc="04090001">
      <w:start w:val="1"/>
      <w:numFmt w:val="bullet"/>
      <w:lvlText w:val=""/>
      <w:lvlJc w:val="left"/>
      <w:pPr>
        <w:ind w:left="1440" w:hanging="360"/>
      </w:pPr>
      <w:rPr>
        <w:rFonts w:ascii="Symbol" w:hAnsi="Symbol" w:hint="default"/>
      </w:rPr>
    </w:lvl>
    <w:lvl w:ilvl="1" w:tplc="45EC014E">
      <w:start w:val="1"/>
      <w:numFmt w:val="bullet"/>
      <w:lvlText w:val="–"/>
      <w:lvlJc w:val="left"/>
      <w:pPr>
        <w:tabs>
          <w:tab w:val="num" w:pos="2160"/>
        </w:tabs>
        <w:ind w:left="2160" w:hanging="360"/>
      </w:pPr>
      <w:rPr>
        <w:rFonts w:ascii="Arial" w:hAnsi="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D2117C"/>
    <w:multiLevelType w:val="hybridMultilevel"/>
    <w:tmpl w:val="E17C0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3F1E0D"/>
    <w:multiLevelType w:val="hybridMultilevel"/>
    <w:tmpl w:val="CCD4848C"/>
    <w:lvl w:ilvl="0" w:tplc="49EA1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6520577">
    <w:abstractNumId w:val="6"/>
  </w:num>
  <w:num w:numId="2" w16cid:durableId="860122762">
    <w:abstractNumId w:val="7"/>
  </w:num>
  <w:num w:numId="3" w16cid:durableId="1312170275">
    <w:abstractNumId w:val="3"/>
  </w:num>
  <w:num w:numId="4" w16cid:durableId="100997140">
    <w:abstractNumId w:val="2"/>
  </w:num>
  <w:num w:numId="5" w16cid:durableId="1661957795">
    <w:abstractNumId w:val="0"/>
  </w:num>
  <w:num w:numId="6" w16cid:durableId="469977272">
    <w:abstractNumId w:val="9"/>
  </w:num>
  <w:num w:numId="7" w16cid:durableId="1334143378">
    <w:abstractNumId w:val="10"/>
  </w:num>
  <w:num w:numId="8" w16cid:durableId="1211265169">
    <w:abstractNumId w:val="11"/>
  </w:num>
  <w:num w:numId="9" w16cid:durableId="1659117156">
    <w:abstractNumId w:val="1"/>
  </w:num>
  <w:num w:numId="10" w16cid:durableId="325790832">
    <w:abstractNumId w:val="5"/>
  </w:num>
  <w:num w:numId="11" w16cid:durableId="2041391705">
    <w:abstractNumId w:val="8"/>
  </w:num>
  <w:num w:numId="12" w16cid:durableId="367609036">
    <w:abstractNumId w:val="4"/>
  </w:num>
  <w:num w:numId="13" w16cid:durableId="6952357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CD"/>
    <w:rsid w:val="000036A8"/>
    <w:rsid w:val="000051F8"/>
    <w:rsid w:val="00007805"/>
    <w:rsid w:val="00010BD7"/>
    <w:rsid w:val="000173DB"/>
    <w:rsid w:val="00022AFF"/>
    <w:rsid w:val="00023385"/>
    <w:rsid w:val="0003077D"/>
    <w:rsid w:val="00033700"/>
    <w:rsid w:val="00037F1A"/>
    <w:rsid w:val="00040985"/>
    <w:rsid w:val="00040DE9"/>
    <w:rsid w:val="0004226F"/>
    <w:rsid w:val="00046B2C"/>
    <w:rsid w:val="000547C8"/>
    <w:rsid w:val="00056451"/>
    <w:rsid w:val="000564F1"/>
    <w:rsid w:val="00060992"/>
    <w:rsid w:val="00062401"/>
    <w:rsid w:val="0007751D"/>
    <w:rsid w:val="00084ED2"/>
    <w:rsid w:val="000851D5"/>
    <w:rsid w:val="0008582F"/>
    <w:rsid w:val="00085FC4"/>
    <w:rsid w:val="00087CEA"/>
    <w:rsid w:val="000911B5"/>
    <w:rsid w:val="00091BB5"/>
    <w:rsid w:val="00093177"/>
    <w:rsid w:val="000A0724"/>
    <w:rsid w:val="000A74FF"/>
    <w:rsid w:val="000A7D9F"/>
    <w:rsid w:val="000B173A"/>
    <w:rsid w:val="000B4119"/>
    <w:rsid w:val="000B7F61"/>
    <w:rsid w:val="000C7909"/>
    <w:rsid w:val="000E1FCE"/>
    <w:rsid w:val="000E2DF1"/>
    <w:rsid w:val="000E7C86"/>
    <w:rsid w:val="000F0089"/>
    <w:rsid w:val="000F6EF1"/>
    <w:rsid w:val="001074B3"/>
    <w:rsid w:val="00111338"/>
    <w:rsid w:val="00115116"/>
    <w:rsid w:val="001156D0"/>
    <w:rsid w:val="0011716C"/>
    <w:rsid w:val="001306CB"/>
    <w:rsid w:val="00132EA7"/>
    <w:rsid w:val="00134FFB"/>
    <w:rsid w:val="0013500B"/>
    <w:rsid w:val="0013738B"/>
    <w:rsid w:val="00146264"/>
    <w:rsid w:val="00157376"/>
    <w:rsid w:val="001573C0"/>
    <w:rsid w:val="00160C06"/>
    <w:rsid w:val="0016342B"/>
    <w:rsid w:val="001824CE"/>
    <w:rsid w:val="00185AD8"/>
    <w:rsid w:val="00186287"/>
    <w:rsid w:val="00194F5A"/>
    <w:rsid w:val="001A5DB5"/>
    <w:rsid w:val="001B159F"/>
    <w:rsid w:val="001B246B"/>
    <w:rsid w:val="001B3678"/>
    <w:rsid w:val="001B4F70"/>
    <w:rsid w:val="001B560A"/>
    <w:rsid w:val="001B602E"/>
    <w:rsid w:val="001C3FA4"/>
    <w:rsid w:val="001D03FC"/>
    <w:rsid w:val="001E4E10"/>
    <w:rsid w:val="001F0B29"/>
    <w:rsid w:val="001F5081"/>
    <w:rsid w:val="001F6525"/>
    <w:rsid w:val="002021B2"/>
    <w:rsid w:val="00205DD2"/>
    <w:rsid w:val="00212617"/>
    <w:rsid w:val="00225467"/>
    <w:rsid w:val="002319AE"/>
    <w:rsid w:val="00237A0C"/>
    <w:rsid w:val="002403B9"/>
    <w:rsid w:val="00244FBF"/>
    <w:rsid w:val="00246087"/>
    <w:rsid w:val="00250149"/>
    <w:rsid w:val="00250606"/>
    <w:rsid w:val="002643F6"/>
    <w:rsid w:val="00264500"/>
    <w:rsid w:val="00265475"/>
    <w:rsid w:val="00270DDC"/>
    <w:rsid w:val="00270EE6"/>
    <w:rsid w:val="002715E0"/>
    <w:rsid w:val="00271A75"/>
    <w:rsid w:val="00272ECA"/>
    <w:rsid w:val="002755E2"/>
    <w:rsid w:val="00276700"/>
    <w:rsid w:val="00280892"/>
    <w:rsid w:val="002866B8"/>
    <w:rsid w:val="00291AA8"/>
    <w:rsid w:val="002B453D"/>
    <w:rsid w:val="002C1851"/>
    <w:rsid w:val="002C46E9"/>
    <w:rsid w:val="002C53B8"/>
    <w:rsid w:val="002D3FD0"/>
    <w:rsid w:val="002D41A2"/>
    <w:rsid w:val="002D603A"/>
    <w:rsid w:val="002D6C2B"/>
    <w:rsid w:val="002E06A3"/>
    <w:rsid w:val="002E3090"/>
    <w:rsid w:val="002F0C8A"/>
    <w:rsid w:val="002F1E9B"/>
    <w:rsid w:val="002F2938"/>
    <w:rsid w:val="002F3F99"/>
    <w:rsid w:val="0030161E"/>
    <w:rsid w:val="00303CDB"/>
    <w:rsid w:val="003051C6"/>
    <w:rsid w:val="00305C2D"/>
    <w:rsid w:val="00323072"/>
    <w:rsid w:val="00327C33"/>
    <w:rsid w:val="00333C70"/>
    <w:rsid w:val="0033584A"/>
    <w:rsid w:val="00335E47"/>
    <w:rsid w:val="0034336A"/>
    <w:rsid w:val="003477D9"/>
    <w:rsid w:val="00347C14"/>
    <w:rsid w:val="003506C7"/>
    <w:rsid w:val="00352F28"/>
    <w:rsid w:val="0035601C"/>
    <w:rsid w:val="00357551"/>
    <w:rsid w:val="0036283D"/>
    <w:rsid w:val="0036472C"/>
    <w:rsid w:val="00366323"/>
    <w:rsid w:val="00370530"/>
    <w:rsid w:val="00374059"/>
    <w:rsid w:val="003779B5"/>
    <w:rsid w:val="00384C2A"/>
    <w:rsid w:val="0038737C"/>
    <w:rsid w:val="00393F2E"/>
    <w:rsid w:val="003A1681"/>
    <w:rsid w:val="003A227B"/>
    <w:rsid w:val="003A4360"/>
    <w:rsid w:val="003B0236"/>
    <w:rsid w:val="003B3939"/>
    <w:rsid w:val="003C1A78"/>
    <w:rsid w:val="003C425E"/>
    <w:rsid w:val="003C577E"/>
    <w:rsid w:val="003D0BBA"/>
    <w:rsid w:val="003D7B94"/>
    <w:rsid w:val="003E6C41"/>
    <w:rsid w:val="003E6EBD"/>
    <w:rsid w:val="003E7977"/>
    <w:rsid w:val="003F6C96"/>
    <w:rsid w:val="003F79FB"/>
    <w:rsid w:val="003F7AAA"/>
    <w:rsid w:val="003F7BF6"/>
    <w:rsid w:val="00400674"/>
    <w:rsid w:val="004037B5"/>
    <w:rsid w:val="004066E6"/>
    <w:rsid w:val="0041037F"/>
    <w:rsid w:val="00413E34"/>
    <w:rsid w:val="0041531A"/>
    <w:rsid w:val="00423BC8"/>
    <w:rsid w:val="0042436F"/>
    <w:rsid w:val="00434C77"/>
    <w:rsid w:val="004425BF"/>
    <w:rsid w:val="00443F4A"/>
    <w:rsid w:val="004625F9"/>
    <w:rsid w:val="00466B13"/>
    <w:rsid w:val="0047218C"/>
    <w:rsid w:val="00474D81"/>
    <w:rsid w:val="00480932"/>
    <w:rsid w:val="00482B95"/>
    <w:rsid w:val="004833C6"/>
    <w:rsid w:val="0048343D"/>
    <w:rsid w:val="0048596C"/>
    <w:rsid w:val="00487D08"/>
    <w:rsid w:val="004906D1"/>
    <w:rsid w:val="00493668"/>
    <w:rsid w:val="00495F87"/>
    <w:rsid w:val="004978F2"/>
    <w:rsid w:val="004A5913"/>
    <w:rsid w:val="004B4BC2"/>
    <w:rsid w:val="004C09E3"/>
    <w:rsid w:val="004D0B5D"/>
    <w:rsid w:val="004D29F4"/>
    <w:rsid w:val="004D432D"/>
    <w:rsid w:val="004D7B22"/>
    <w:rsid w:val="004E0483"/>
    <w:rsid w:val="004E5FFE"/>
    <w:rsid w:val="004E76D6"/>
    <w:rsid w:val="004F0FB9"/>
    <w:rsid w:val="004F2CAD"/>
    <w:rsid w:val="004F5116"/>
    <w:rsid w:val="004F56CA"/>
    <w:rsid w:val="004F6EF9"/>
    <w:rsid w:val="00510522"/>
    <w:rsid w:val="00510793"/>
    <w:rsid w:val="0051262D"/>
    <w:rsid w:val="005134A2"/>
    <w:rsid w:val="005171FB"/>
    <w:rsid w:val="0052386C"/>
    <w:rsid w:val="00525F01"/>
    <w:rsid w:val="00530654"/>
    <w:rsid w:val="00533C01"/>
    <w:rsid w:val="005410E7"/>
    <w:rsid w:val="00544EF6"/>
    <w:rsid w:val="00545731"/>
    <w:rsid w:val="00547A84"/>
    <w:rsid w:val="00556496"/>
    <w:rsid w:val="005610DA"/>
    <w:rsid w:val="00565F1F"/>
    <w:rsid w:val="00566DCE"/>
    <w:rsid w:val="005707B5"/>
    <w:rsid w:val="0057655F"/>
    <w:rsid w:val="00576C09"/>
    <w:rsid w:val="00584DFC"/>
    <w:rsid w:val="00585367"/>
    <w:rsid w:val="00585506"/>
    <w:rsid w:val="0058786B"/>
    <w:rsid w:val="00587F02"/>
    <w:rsid w:val="005910E1"/>
    <w:rsid w:val="00593B01"/>
    <w:rsid w:val="005944DC"/>
    <w:rsid w:val="0059600C"/>
    <w:rsid w:val="005A2C9E"/>
    <w:rsid w:val="005B6D23"/>
    <w:rsid w:val="005C03A2"/>
    <w:rsid w:val="005C4234"/>
    <w:rsid w:val="005C683D"/>
    <w:rsid w:val="005D0630"/>
    <w:rsid w:val="005E1BC4"/>
    <w:rsid w:val="005E6744"/>
    <w:rsid w:val="005F097A"/>
    <w:rsid w:val="005F572D"/>
    <w:rsid w:val="005F5E71"/>
    <w:rsid w:val="00602FAD"/>
    <w:rsid w:val="00605F0D"/>
    <w:rsid w:val="006172EE"/>
    <w:rsid w:val="00621D1B"/>
    <w:rsid w:val="00622300"/>
    <w:rsid w:val="00623AD1"/>
    <w:rsid w:val="006240B5"/>
    <w:rsid w:val="00624620"/>
    <w:rsid w:val="00625CA6"/>
    <w:rsid w:val="00626F4F"/>
    <w:rsid w:val="006313BE"/>
    <w:rsid w:val="006362E3"/>
    <w:rsid w:val="006367D6"/>
    <w:rsid w:val="0064046A"/>
    <w:rsid w:val="00640915"/>
    <w:rsid w:val="0064379F"/>
    <w:rsid w:val="00645402"/>
    <w:rsid w:val="00655EF5"/>
    <w:rsid w:val="00662589"/>
    <w:rsid w:val="00667371"/>
    <w:rsid w:val="0067122C"/>
    <w:rsid w:val="0067340E"/>
    <w:rsid w:val="006777BF"/>
    <w:rsid w:val="00683250"/>
    <w:rsid w:val="0069345D"/>
    <w:rsid w:val="006942F5"/>
    <w:rsid w:val="006972A7"/>
    <w:rsid w:val="006A706E"/>
    <w:rsid w:val="006A794F"/>
    <w:rsid w:val="006A7E40"/>
    <w:rsid w:val="006A7EFE"/>
    <w:rsid w:val="006B0280"/>
    <w:rsid w:val="006B11DF"/>
    <w:rsid w:val="006B6462"/>
    <w:rsid w:val="006C0DD4"/>
    <w:rsid w:val="006C1DA1"/>
    <w:rsid w:val="006C69F0"/>
    <w:rsid w:val="006D7C52"/>
    <w:rsid w:val="006E4B60"/>
    <w:rsid w:val="006F27CB"/>
    <w:rsid w:val="006F2E80"/>
    <w:rsid w:val="006F444E"/>
    <w:rsid w:val="006F4DB8"/>
    <w:rsid w:val="00700C17"/>
    <w:rsid w:val="007076EA"/>
    <w:rsid w:val="00713119"/>
    <w:rsid w:val="00721FC7"/>
    <w:rsid w:val="0072294F"/>
    <w:rsid w:val="007240DF"/>
    <w:rsid w:val="00730E1A"/>
    <w:rsid w:val="0073668F"/>
    <w:rsid w:val="00740238"/>
    <w:rsid w:val="00744907"/>
    <w:rsid w:val="007463DA"/>
    <w:rsid w:val="0075342A"/>
    <w:rsid w:val="00756178"/>
    <w:rsid w:val="00760C4B"/>
    <w:rsid w:val="00762D98"/>
    <w:rsid w:val="00763ED8"/>
    <w:rsid w:val="00766DB2"/>
    <w:rsid w:val="007702AF"/>
    <w:rsid w:val="00770CE9"/>
    <w:rsid w:val="00774397"/>
    <w:rsid w:val="00775348"/>
    <w:rsid w:val="007807A8"/>
    <w:rsid w:val="007853C8"/>
    <w:rsid w:val="00785C69"/>
    <w:rsid w:val="0079024D"/>
    <w:rsid w:val="00791A0B"/>
    <w:rsid w:val="00797EED"/>
    <w:rsid w:val="007A38D0"/>
    <w:rsid w:val="007A4380"/>
    <w:rsid w:val="007B2F92"/>
    <w:rsid w:val="007B6920"/>
    <w:rsid w:val="007C0241"/>
    <w:rsid w:val="007C3356"/>
    <w:rsid w:val="007C4146"/>
    <w:rsid w:val="007C4363"/>
    <w:rsid w:val="007C7DBB"/>
    <w:rsid w:val="007D459A"/>
    <w:rsid w:val="007D62F1"/>
    <w:rsid w:val="007E46AA"/>
    <w:rsid w:val="007E6AA2"/>
    <w:rsid w:val="007F0532"/>
    <w:rsid w:val="007F6A49"/>
    <w:rsid w:val="007F78D7"/>
    <w:rsid w:val="008013BE"/>
    <w:rsid w:val="0080186C"/>
    <w:rsid w:val="00810317"/>
    <w:rsid w:val="00815A53"/>
    <w:rsid w:val="00822079"/>
    <w:rsid w:val="008241D7"/>
    <w:rsid w:val="00825AF4"/>
    <w:rsid w:val="008333C7"/>
    <w:rsid w:val="00844AEB"/>
    <w:rsid w:val="0084527A"/>
    <w:rsid w:val="00852AAB"/>
    <w:rsid w:val="00855CE0"/>
    <w:rsid w:val="00864153"/>
    <w:rsid w:val="00874F83"/>
    <w:rsid w:val="008756C8"/>
    <w:rsid w:val="00887E00"/>
    <w:rsid w:val="0089224F"/>
    <w:rsid w:val="008944A6"/>
    <w:rsid w:val="008B0948"/>
    <w:rsid w:val="008B34FF"/>
    <w:rsid w:val="008B7E84"/>
    <w:rsid w:val="008C2AAB"/>
    <w:rsid w:val="008C78BE"/>
    <w:rsid w:val="008E3668"/>
    <w:rsid w:val="008E6988"/>
    <w:rsid w:val="008E7A34"/>
    <w:rsid w:val="008F2EC6"/>
    <w:rsid w:val="008F4490"/>
    <w:rsid w:val="008F4693"/>
    <w:rsid w:val="00900022"/>
    <w:rsid w:val="00901366"/>
    <w:rsid w:val="009041EB"/>
    <w:rsid w:val="00911FDC"/>
    <w:rsid w:val="009121CE"/>
    <w:rsid w:val="00917ED8"/>
    <w:rsid w:val="009228C9"/>
    <w:rsid w:val="00923C24"/>
    <w:rsid w:val="00924CD9"/>
    <w:rsid w:val="00925524"/>
    <w:rsid w:val="00933C22"/>
    <w:rsid w:val="00934026"/>
    <w:rsid w:val="00936D1E"/>
    <w:rsid w:val="009379A1"/>
    <w:rsid w:val="00937EAB"/>
    <w:rsid w:val="009400E5"/>
    <w:rsid w:val="0095564A"/>
    <w:rsid w:val="00961A73"/>
    <w:rsid w:val="00967320"/>
    <w:rsid w:val="00972F55"/>
    <w:rsid w:val="0098012B"/>
    <w:rsid w:val="009829F0"/>
    <w:rsid w:val="00982ADD"/>
    <w:rsid w:val="0099078C"/>
    <w:rsid w:val="00992BA5"/>
    <w:rsid w:val="009A2971"/>
    <w:rsid w:val="009B27D3"/>
    <w:rsid w:val="009B3F16"/>
    <w:rsid w:val="009B7BCE"/>
    <w:rsid w:val="009B7BE1"/>
    <w:rsid w:val="009C27D4"/>
    <w:rsid w:val="009C4475"/>
    <w:rsid w:val="009C4EF3"/>
    <w:rsid w:val="009D6FAE"/>
    <w:rsid w:val="009D7BDC"/>
    <w:rsid w:val="009D7D14"/>
    <w:rsid w:val="009E1DDB"/>
    <w:rsid w:val="009E5519"/>
    <w:rsid w:val="009E6641"/>
    <w:rsid w:val="00A163C7"/>
    <w:rsid w:val="00A176FC"/>
    <w:rsid w:val="00A17E88"/>
    <w:rsid w:val="00A220CF"/>
    <w:rsid w:val="00A36E8C"/>
    <w:rsid w:val="00A41687"/>
    <w:rsid w:val="00A53A51"/>
    <w:rsid w:val="00A549D9"/>
    <w:rsid w:val="00A56F51"/>
    <w:rsid w:val="00A60680"/>
    <w:rsid w:val="00A61B8B"/>
    <w:rsid w:val="00A66EE1"/>
    <w:rsid w:val="00A748B6"/>
    <w:rsid w:val="00A86250"/>
    <w:rsid w:val="00A9343F"/>
    <w:rsid w:val="00AB0D55"/>
    <w:rsid w:val="00AB41A4"/>
    <w:rsid w:val="00AC081A"/>
    <w:rsid w:val="00AC2219"/>
    <w:rsid w:val="00AC2D1A"/>
    <w:rsid w:val="00AC2D8D"/>
    <w:rsid w:val="00AC380E"/>
    <w:rsid w:val="00AC5FD1"/>
    <w:rsid w:val="00AE3E98"/>
    <w:rsid w:val="00AE611E"/>
    <w:rsid w:val="00AF3455"/>
    <w:rsid w:val="00AF4BAC"/>
    <w:rsid w:val="00AF5AA1"/>
    <w:rsid w:val="00B00A28"/>
    <w:rsid w:val="00B03165"/>
    <w:rsid w:val="00B04052"/>
    <w:rsid w:val="00B048E2"/>
    <w:rsid w:val="00B144C4"/>
    <w:rsid w:val="00B2003B"/>
    <w:rsid w:val="00B231E6"/>
    <w:rsid w:val="00B25E43"/>
    <w:rsid w:val="00B26083"/>
    <w:rsid w:val="00B306FD"/>
    <w:rsid w:val="00B41751"/>
    <w:rsid w:val="00B41DFC"/>
    <w:rsid w:val="00B4585B"/>
    <w:rsid w:val="00B557B6"/>
    <w:rsid w:val="00B618AA"/>
    <w:rsid w:val="00B62CD5"/>
    <w:rsid w:val="00B736D3"/>
    <w:rsid w:val="00B75C16"/>
    <w:rsid w:val="00B768D0"/>
    <w:rsid w:val="00B80EE3"/>
    <w:rsid w:val="00B83A14"/>
    <w:rsid w:val="00B865DD"/>
    <w:rsid w:val="00B97D48"/>
    <w:rsid w:val="00BA2CC2"/>
    <w:rsid w:val="00BA73D4"/>
    <w:rsid w:val="00BB5D65"/>
    <w:rsid w:val="00BC055F"/>
    <w:rsid w:val="00BE417A"/>
    <w:rsid w:val="00BE6190"/>
    <w:rsid w:val="00BE6217"/>
    <w:rsid w:val="00BE6E80"/>
    <w:rsid w:val="00BF5594"/>
    <w:rsid w:val="00C0415E"/>
    <w:rsid w:val="00C06BAC"/>
    <w:rsid w:val="00C07C88"/>
    <w:rsid w:val="00C1178D"/>
    <w:rsid w:val="00C12709"/>
    <w:rsid w:val="00C1272E"/>
    <w:rsid w:val="00C16D97"/>
    <w:rsid w:val="00C21372"/>
    <w:rsid w:val="00C24F6D"/>
    <w:rsid w:val="00C50C65"/>
    <w:rsid w:val="00C52F9F"/>
    <w:rsid w:val="00C6252B"/>
    <w:rsid w:val="00C62A9B"/>
    <w:rsid w:val="00C773E5"/>
    <w:rsid w:val="00C80B03"/>
    <w:rsid w:val="00C81BDE"/>
    <w:rsid w:val="00C81E08"/>
    <w:rsid w:val="00C829EF"/>
    <w:rsid w:val="00C84216"/>
    <w:rsid w:val="00C851E4"/>
    <w:rsid w:val="00C926F8"/>
    <w:rsid w:val="00CA5538"/>
    <w:rsid w:val="00CA6224"/>
    <w:rsid w:val="00CA6DAC"/>
    <w:rsid w:val="00CB0981"/>
    <w:rsid w:val="00CB22AE"/>
    <w:rsid w:val="00CB638E"/>
    <w:rsid w:val="00CC57CF"/>
    <w:rsid w:val="00CD1C9B"/>
    <w:rsid w:val="00CE0789"/>
    <w:rsid w:val="00CF1FF2"/>
    <w:rsid w:val="00CF2C18"/>
    <w:rsid w:val="00CF4E6A"/>
    <w:rsid w:val="00D05FC0"/>
    <w:rsid w:val="00D13649"/>
    <w:rsid w:val="00D142EE"/>
    <w:rsid w:val="00D2711C"/>
    <w:rsid w:val="00D314CD"/>
    <w:rsid w:val="00D3339B"/>
    <w:rsid w:val="00D3388C"/>
    <w:rsid w:val="00D3670A"/>
    <w:rsid w:val="00D40B01"/>
    <w:rsid w:val="00D453F0"/>
    <w:rsid w:val="00D55BEE"/>
    <w:rsid w:val="00D61695"/>
    <w:rsid w:val="00D66AB6"/>
    <w:rsid w:val="00D67E1D"/>
    <w:rsid w:val="00D70A58"/>
    <w:rsid w:val="00D763A3"/>
    <w:rsid w:val="00D82E9B"/>
    <w:rsid w:val="00D86337"/>
    <w:rsid w:val="00DA0155"/>
    <w:rsid w:val="00DA1420"/>
    <w:rsid w:val="00DB7562"/>
    <w:rsid w:val="00DB7930"/>
    <w:rsid w:val="00DC0969"/>
    <w:rsid w:val="00DC2BDF"/>
    <w:rsid w:val="00DD7947"/>
    <w:rsid w:val="00DE21E2"/>
    <w:rsid w:val="00DE4ACA"/>
    <w:rsid w:val="00DE5E62"/>
    <w:rsid w:val="00DF6328"/>
    <w:rsid w:val="00E019EE"/>
    <w:rsid w:val="00E01BC4"/>
    <w:rsid w:val="00E12B9D"/>
    <w:rsid w:val="00E16801"/>
    <w:rsid w:val="00E226E7"/>
    <w:rsid w:val="00E229DC"/>
    <w:rsid w:val="00E32EF0"/>
    <w:rsid w:val="00E521C7"/>
    <w:rsid w:val="00E5445B"/>
    <w:rsid w:val="00E548CC"/>
    <w:rsid w:val="00E557F5"/>
    <w:rsid w:val="00E55FE7"/>
    <w:rsid w:val="00E56686"/>
    <w:rsid w:val="00E71E67"/>
    <w:rsid w:val="00E85DB1"/>
    <w:rsid w:val="00E90CCE"/>
    <w:rsid w:val="00E94F33"/>
    <w:rsid w:val="00E9667A"/>
    <w:rsid w:val="00E9783B"/>
    <w:rsid w:val="00EA6367"/>
    <w:rsid w:val="00EA68FB"/>
    <w:rsid w:val="00EB3B6E"/>
    <w:rsid w:val="00EB562A"/>
    <w:rsid w:val="00EB5679"/>
    <w:rsid w:val="00EB70DC"/>
    <w:rsid w:val="00EC088F"/>
    <w:rsid w:val="00EC12DC"/>
    <w:rsid w:val="00EC74E6"/>
    <w:rsid w:val="00ED22FD"/>
    <w:rsid w:val="00ED2635"/>
    <w:rsid w:val="00ED4F85"/>
    <w:rsid w:val="00EE2096"/>
    <w:rsid w:val="00EF1B95"/>
    <w:rsid w:val="00EF3040"/>
    <w:rsid w:val="00EF4945"/>
    <w:rsid w:val="00F015E5"/>
    <w:rsid w:val="00F021F9"/>
    <w:rsid w:val="00F038C5"/>
    <w:rsid w:val="00F04849"/>
    <w:rsid w:val="00F0621F"/>
    <w:rsid w:val="00F076DF"/>
    <w:rsid w:val="00F07D10"/>
    <w:rsid w:val="00F15F8A"/>
    <w:rsid w:val="00F168CA"/>
    <w:rsid w:val="00F1694E"/>
    <w:rsid w:val="00F17D60"/>
    <w:rsid w:val="00F41C02"/>
    <w:rsid w:val="00F43DBC"/>
    <w:rsid w:val="00F44DCD"/>
    <w:rsid w:val="00F47802"/>
    <w:rsid w:val="00F50182"/>
    <w:rsid w:val="00F507A5"/>
    <w:rsid w:val="00F511A8"/>
    <w:rsid w:val="00F52E52"/>
    <w:rsid w:val="00F633EA"/>
    <w:rsid w:val="00F67A38"/>
    <w:rsid w:val="00F70880"/>
    <w:rsid w:val="00F71F47"/>
    <w:rsid w:val="00F72FA1"/>
    <w:rsid w:val="00F83627"/>
    <w:rsid w:val="00F90FC8"/>
    <w:rsid w:val="00FA142A"/>
    <w:rsid w:val="00FB4BAA"/>
    <w:rsid w:val="00FB6E80"/>
    <w:rsid w:val="00FC0123"/>
    <w:rsid w:val="00FC1F42"/>
    <w:rsid w:val="00FC27AB"/>
    <w:rsid w:val="00FC33DE"/>
    <w:rsid w:val="00FC518C"/>
    <w:rsid w:val="00FC52F5"/>
    <w:rsid w:val="00FD67F3"/>
    <w:rsid w:val="00FE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1C4CDA"/>
  <w15:chartTrackingRefBased/>
  <w15:docId w15:val="{47992E65-C5DC-48E1-8309-C27D045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99"/>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14CD"/>
    <w:rPr>
      <w:color w:val="0000FF"/>
      <w:u w:val="single"/>
    </w:rPr>
  </w:style>
  <w:style w:type="paragraph" w:styleId="FootnoteText">
    <w:name w:val="footnote text"/>
    <w:basedOn w:val="Normal"/>
    <w:semiHidden/>
    <w:rsid w:val="00933C22"/>
    <w:rPr>
      <w:sz w:val="20"/>
      <w:szCs w:val="20"/>
    </w:rPr>
  </w:style>
  <w:style w:type="character" w:styleId="FootnoteReference">
    <w:name w:val="footnote reference"/>
    <w:semiHidden/>
    <w:rsid w:val="00933C22"/>
    <w:rPr>
      <w:vertAlign w:val="superscript"/>
    </w:rPr>
  </w:style>
  <w:style w:type="paragraph" w:styleId="Header">
    <w:name w:val="header"/>
    <w:basedOn w:val="Normal"/>
    <w:link w:val="HeaderChar"/>
    <w:uiPriority w:val="99"/>
    <w:rsid w:val="006362E3"/>
    <w:pPr>
      <w:tabs>
        <w:tab w:val="center" w:pos="4320"/>
        <w:tab w:val="right" w:pos="8640"/>
      </w:tabs>
    </w:pPr>
  </w:style>
  <w:style w:type="character" w:styleId="PageNumber">
    <w:name w:val="page number"/>
    <w:basedOn w:val="DefaultParagraphFont"/>
    <w:rsid w:val="006362E3"/>
  </w:style>
  <w:style w:type="paragraph" w:styleId="ListParagraph">
    <w:name w:val="List Paragraph"/>
    <w:basedOn w:val="Normal"/>
    <w:qFormat/>
    <w:rsid w:val="006C69F0"/>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BC055F"/>
    <w:pPr>
      <w:tabs>
        <w:tab w:val="center" w:pos="4320"/>
        <w:tab w:val="right" w:pos="8640"/>
      </w:tabs>
    </w:pPr>
  </w:style>
  <w:style w:type="table" w:styleId="TableGrid">
    <w:name w:val="Table Grid"/>
    <w:basedOn w:val="TableNormal"/>
    <w:rsid w:val="000E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71A75"/>
    <w:rPr>
      <w:sz w:val="24"/>
      <w:szCs w:val="24"/>
    </w:rPr>
  </w:style>
  <w:style w:type="paragraph" w:styleId="BalloonText">
    <w:name w:val="Balloon Text"/>
    <w:basedOn w:val="Normal"/>
    <w:link w:val="BalloonTextChar"/>
    <w:rsid w:val="00271A75"/>
    <w:rPr>
      <w:rFonts w:ascii="Tahoma" w:hAnsi="Tahoma" w:cs="Tahoma"/>
      <w:sz w:val="16"/>
      <w:szCs w:val="16"/>
    </w:rPr>
  </w:style>
  <w:style w:type="character" w:customStyle="1" w:styleId="BalloonTextChar">
    <w:name w:val="Balloon Text Char"/>
    <w:link w:val="BalloonText"/>
    <w:rsid w:val="00271A75"/>
    <w:rPr>
      <w:rFonts w:ascii="Tahoma" w:hAnsi="Tahoma" w:cs="Tahoma"/>
      <w:sz w:val="16"/>
      <w:szCs w:val="16"/>
    </w:rPr>
  </w:style>
  <w:style w:type="character" w:customStyle="1" w:styleId="HeaderChar">
    <w:name w:val="Header Char"/>
    <w:link w:val="Header"/>
    <w:uiPriority w:val="99"/>
    <w:rsid w:val="00271A75"/>
    <w:rPr>
      <w:sz w:val="24"/>
      <w:szCs w:val="24"/>
    </w:rPr>
  </w:style>
  <w:style w:type="character" w:styleId="CommentReference">
    <w:name w:val="annotation reference"/>
    <w:rsid w:val="003D7B94"/>
    <w:rPr>
      <w:sz w:val="16"/>
      <w:szCs w:val="16"/>
    </w:rPr>
  </w:style>
  <w:style w:type="paragraph" w:styleId="CommentText">
    <w:name w:val="annotation text"/>
    <w:basedOn w:val="Normal"/>
    <w:link w:val="CommentTextChar"/>
    <w:rsid w:val="003D7B94"/>
    <w:rPr>
      <w:sz w:val="20"/>
      <w:szCs w:val="20"/>
    </w:rPr>
  </w:style>
  <w:style w:type="character" w:customStyle="1" w:styleId="CommentTextChar">
    <w:name w:val="Comment Text Char"/>
    <w:basedOn w:val="DefaultParagraphFont"/>
    <w:link w:val="CommentText"/>
    <w:rsid w:val="003D7B94"/>
  </w:style>
  <w:style w:type="paragraph" w:styleId="CommentSubject">
    <w:name w:val="annotation subject"/>
    <w:basedOn w:val="CommentText"/>
    <w:next w:val="CommentText"/>
    <w:link w:val="CommentSubjectChar"/>
    <w:rsid w:val="003D7B94"/>
    <w:rPr>
      <w:b/>
      <w:bCs/>
    </w:rPr>
  </w:style>
  <w:style w:type="character" w:customStyle="1" w:styleId="CommentSubjectChar">
    <w:name w:val="Comment Subject Char"/>
    <w:link w:val="CommentSubject"/>
    <w:rsid w:val="003D7B94"/>
    <w:rPr>
      <w:b/>
      <w:bCs/>
    </w:rPr>
  </w:style>
  <w:style w:type="paragraph" w:styleId="Revision">
    <w:name w:val="Revision"/>
    <w:hidden/>
    <w:uiPriority w:val="99"/>
    <w:semiHidden/>
    <w:rsid w:val="00205DD2"/>
    <w:rPr>
      <w:sz w:val="24"/>
      <w:szCs w:val="24"/>
    </w:rPr>
  </w:style>
  <w:style w:type="paragraph" w:styleId="EndnoteText">
    <w:name w:val="endnote text"/>
    <w:basedOn w:val="Normal"/>
    <w:link w:val="EndnoteTextChar"/>
    <w:rsid w:val="009E5519"/>
    <w:rPr>
      <w:sz w:val="20"/>
      <w:szCs w:val="20"/>
    </w:rPr>
  </w:style>
  <w:style w:type="character" w:customStyle="1" w:styleId="EndnoteTextChar">
    <w:name w:val="Endnote Text Char"/>
    <w:basedOn w:val="DefaultParagraphFont"/>
    <w:link w:val="EndnoteText"/>
    <w:rsid w:val="009E5519"/>
  </w:style>
  <w:style w:type="character" w:styleId="EndnoteReference">
    <w:name w:val="endnote reference"/>
    <w:rsid w:val="009E5519"/>
    <w:rPr>
      <w:vertAlign w:val="superscript"/>
    </w:rPr>
  </w:style>
  <w:style w:type="table" w:styleId="PlainTable4">
    <w:name w:val="Plain Table 4"/>
    <w:basedOn w:val="TableNormal"/>
    <w:uiPriority w:val="44"/>
    <w:rsid w:val="008452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99"/>
    <w:rsid w:val="003C1A78"/>
    <w:rPr>
      <w:rFonts w:ascii="Cambria" w:eastAsia="MS Mincho" w:hAnsi="Cambria"/>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1940-284A-45F6-A491-CBF6133C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Technical Note</vt:lpstr>
    </vt:vector>
  </TitlesOfParts>
  <Company>Dunlop</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Note</dc:title>
  <dc:subject/>
  <dc:creator>Connie Dunlop</dc:creator>
  <cp:keywords/>
  <cp:lastModifiedBy>Connie Whittaker Dunlop</cp:lastModifiedBy>
  <cp:revision>2</cp:revision>
  <cp:lastPrinted>2013-03-06T15:57:00Z</cp:lastPrinted>
  <dcterms:created xsi:type="dcterms:W3CDTF">2023-10-24T21:28:00Z</dcterms:created>
  <dcterms:modified xsi:type="dcterms:W3CDTF">2023-10-24T21:28:00Z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FileType">
    <vt:lpwstr>Case</vt:lpwstr>
  </property>
  <property fmtid="{D5CDD505-2E9C-101B-9397-08002B2CF9AE}" pid="3" name="Owner">
    <vt:lpwstr>187</vt:lpwstr>
  </property>
  <property fmtid="{D5CDD505-2E9C-101B-9397-08002B2CF9AE}" pid="4" name="SubjectArea">
    <vt:lpwstr>Personal Assessment and Career Strategy</vt:lpwstr>
  </property>
  <property fmtid="{D5CDD505-2E9C-101B-9397-08002B2CF9AE}" pid="5" name="FileGUID">
    <vt:lpwstr>27249b5a-8688-41a5-9748-bd207322f29e</vt:lpwstr>
  </property>
  <property fmtid="{D5CDD505-2E9C-101B-9397-08002B2CF9AE}" pid="6" name="Alternate">
    <vt:lpwstr>4</vt:lpwstr>
  </property>
  <property fmtid="{D5CDD505-2E9C-101B-9397-08002B2CF9AE}" pid="7" name="VersionModifier">
    <vt:lpwstr>257</vt:lpwstr>
  </property>
  <property fmtid="{D5CDD505-2E9C-101B-9397-08002B2CF9AE}" pid="8" name="MetadataLibrary">
    <vt:lpwstr>Editing Metadata</vt:lpwstr>
  </property>
  <property fmtid="{D5CDD505-2E9C-101B-9397-08002B2CF9AE}" pid="9" name="MetadataURL">
    <vt:lpwstr>http://casemanagement.darden.virginia.edu/Lists/Editing Metadata/DispForm.aspx?ID=1744, View Document Metadata</vt:lpwstr>
  </property>
  <property fmtid="{D5CDD505-2E9C-101B-9397-08002B2CF9AE}" pid="10" name="ApprovalState">
    <vt:lpwstr>New Document</vt:lpwstr>
  </property>
  <property fmtid="{D5CDD505-2E9C-101B-9397-08002B2CF9AE}" pid="11" name="MetadataID">
    <vt:lpwstr>1744</vt:lpwstr>
  </property>
  <property fmtid="{D5CDD505-2E9C-101B-9397-08002B2CF9AE}" pid="12" name="Status">
    <vt:lpwstr>In Editing</vt:lpwstr>
  </property>
  <property fmtid="{D5CDD505-2E9C-101B-9397-08002B2CF9AE}" pid="13" name="VersionModifierName">
    <vt:lpwstr>DARDEN\shrodek</vt:lpwstr>
  </property>
  <property fmtid="{D5CDD505-2E9C-101B-9397-08002B2CF9AE}" pid="14" name="MetadataLibraryDisplayFormLink">
    <vt:lpwstr>http://casemanagement.darden.virginia.edu/Lists/Editing Metadata/DispForm.aspx</vt:lpwstr>
  </property>
  <property fmtid="{D5CDD505-2E9C-101B-9397-08002B2CF9AE}" pid="15" name="DateInEditing">
    <vt:lpwstr>2010-04-20T14:36:47Z</vt:lpwstr>
  </property>
  <property fmtid="{D5CDD505-2E9C-101B-9397-08002B2CF9AE}" pid="16" name="DBPEditor">
    <vt:lpwstr>257</vt:lpwstr>
  </property>
  <property fmtid="{D5CDD505-2E9C-101B-9397-08002B2CF9AE}" pid="17" name="EditingStatus">
    <vt:lpwstr>Final Editor Review</vt:lpwstr>
  </property>
  <property fmtid="{D5CDD505-2E9C-101B-9397-08002B2CF9AE}" pid="18" name="PrimaryAuthor">
    <vt:lpwstr/>
  </property>
  <property fmtid="{D5CDD505-2E9C-101B-9397-08002B2CF9AE}" pid="19" name="DateOfApproval">
    <vt:lpwstr/>
  </property>
  <property fmtid="{D5CDD505-2E9C-101B-9397-08002B2CF9AE}" pid="20" name="DateEditingEnded">
    <vt:lpwstr/>
  </property>
  <property fmtid="{D5CDD505-2E9C-101B-9397-08002B2CF9AE}" pid="21" name="RWP">
    <vt:lpwstr/>
  </property>
  <property fmtid="{D5CDD505-2E9C-101B-9397-08002B2CF9AE}" pid="22" name="DatePending">
    <vt:lpwstr/>
  </property>
  <property fmtid="{D5CDD505-2E9C-101B-9397-08002B2CF9AE}" pid="23" name="XMLFilename">
    <vt:lpwstr/>
  </property>
  <property fmtid="{D5CDD505-2E9C-101B-9397-08002B2CF9AE}" pid="24" name="RejectionText">
    <vt:lpwstr/>
  </property>
  <property fmtid="{D5CDD505-2E9C-101B-9397-08002B2CF9AE}" pid="25" name="CheckinCommentLine">
    <vt:lpwstr/>
  </property>
</Properties>
</file>