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6F6" w14:textId="6DC00088" w:rsidR="008C3C5C" w:rsidRPr="00C67735" w:rsidRDefault="008C3C5C" w:rsidP="008C3C5C">
      <w:pPr>
        <w:widowControl w:val="0"/>
        <w:tabs>
          <w:tab w:val="left" w:pos="1980"/>
          <w:tab w:val="left" w:pos="2430"/>
          <w:tab w:val="decimal" w:pos="3420"/>
          <w:tab w:val="left" w:pos="4590"/>
        </w:tabs>
        <w:spacing w:after="0" w:line="240" w:lineRule="atLeast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  <w:b/>
          <w:u w:val="single"/>
        </w:rPr>
        <w:t>Post address</w:t>
      </w:r>
      <w:r w:rsidRPr="00C67735">
        <w:rPr>
          <w:rFonts w:ascii="Arial Narrow" w:eastAsia="Times New Roman" w:hAnsi="Arial Narrow" w:cs="Times New Roman"/>
          <w:b/>
        </w:rPr>
        <w:t>:</w:t>
      </w:r>
      <w:r w:rsidRPr="00C67735">
        <w:rPr>
          <w:rFonts w:ascii="Arial Narrow" w:eastAsia="Times New Roman" w:hAnsi="Arial Narrow" w:cs="Times New Roman"/>
          <w:b/>
        </w:rPr>
        <w:tab/>
      </w:r>
      <w:r w:rsidRPr="00C67735">
        <w:rPr>
          <w:rFonts w:ascii="Arial Narrow" w:eastAsia="Times New Roman" w:hAnsi="Arial Narrow" w:cs="Times New Roman"/>
          <w:b/>
        </w:rPr>
        <w:tab/>
      </w:r>
      <w:r w:rsidRPr="00C67735">
        <w:rPr>
          <w:rFonts w:ascii="Arial Narrow" w:eastAsia="Times New Roman" w:hAnsi="Arial Narrow" w:cs="Times New Roman"/>
          <w:b/>
        </w:rPr>
        <w:tab/>
      </w:r>
      <w:r w:rsidRPr="00C67735">
        <w:rPr>
          <w:rFonts w:ascii="Arial Narrow" w:eastAsia="Times New Roman" w:hAnsi="Arial Narrow" w:cs="Times New Roman"/>
          <w:b/>
        </w:rPr>
        <w:tab/>
        <w:t>Affidavit Resolution, Board of Trustees</w:t>
      </w:r>
    </w:p>
    <w:p w14:paraId="66D7ABCE" w14:textId="77777777" w:rsidR="008C3C5C" w:rsidRPr="00C67735" w:rsidRDefault="008C3C5C" w:rsidP="008C3C5C">
      <w:pPr>
        <w:tabs>
          <w:tab w:val="left" w:pos="5760"/>
        </w:tabs>
        <w:spacing w:after="0" w:line="240" w:lineRule="atLeast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</w:rPr>
        <w:t>Board of Trustees</w:t>
      </w:r>
    </w:p>
    <w:p w14:paraId="7AE6DFC4" w14:textId="77777777" w:rsidR="008C3C5C" w:rsidRPr="00C67735" w:rsidRDefault="008C3C5C" w:rsidP="008C3C5C">
      <w:pPr>
        <w:tabs>
          <w:tab w:val="center" w:pos="4680"/>
          <w:tab w:val="left" w:pos="5760"/>
          <w:tab w:val="right" w:pos="9360"/>
        </w:tabs>
        <w:spacing w:after="0" w:line="240" w:lineRule="atLeast"/>
        <w:rPr>
          <w:rFonts w:ascii="Arial Narrow" w:eastAsia="Times New Roman" w:hAnsi="Arial Narrow" w:cs="Times New Roman"/>
        </w:rPr>
      </w:pPr>
      <w:proofErr w:type="spellStart"/>
      <w:r w:rsidRPr="00C67735">
        <w:rPr>
          <w:rFonts w:ascii="Arial Narrow" w:eastAsia="Times New Roman" w:hAnsi="Arial Narrow" w:cs="Times New Roman"/>
          <w:b/>
        </w:rPr>
        <w:t>StandFirmNow</w:t>
      </w:r>
      <w:proofErr w:type="spellEnd"/>
    </w:p>
    <w:p w14:paraId="06234B8E" w14:textId="77777777" w:rsidR="008C3C5C" w:rsidRPr="00C67735" w:rsidRDefault="008C3C5C" w:rsidP="008C3C5C">
      <w:pPr>
        <w:spacing w:after="0" w:line="240" w:lineRule="atLeast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</w:rPr>
        <w:t>Non-Domestic</w:t>
      </w:r>
    </w:p>
    <w:p w14:paraId="1316490D" w14:textId="77777777" w:rsidR="008C3C5C" w:rsidRPr="00C67735" w:rsidRDefault="008C3C5C" w:rsidP="008C3C5C">
      <w:pPr>
        <w:spacing w:after="0" w:line="240" w:lineRule="auto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</w:rPr>
        <w:t>c/o: 12 Portland Street; near</w:t>
      </w:r>
    </w:p>
    <w:p w14:paraId="58FD2F9E" w14:textId="77777777" w:rsidR="008C3C5C" w:rsidRPr="00C67735" w:rsidRDefault="008C3C5C" w:rsidP="008C3C5C">
      <w:pPr>
        <w:spacing w:after="0" w:line="240" w:lineRule="auto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</w:rPr>
        <w:t xml:space="preserve">Yarmouth [04096] </w:t>
      </w:r>
    </w:p>
    <w:p w14:paraId="0418AD93" w14:textId="77777777" w:rsidR="008C3C5C" w:rsidRPr="00C67735" w:rsidRDefault="008C3C5C" w:rsidP="008C3C5C">
      <w:pPr>
        <w:tabs>
          <w:tab w:val="left" w:pos="5760"/>
        </w:tabs>
        <w:spacing w:after="0" w:line="240" w:lineRule="atLeast"/>
        <w:rPr>
          <w:rFonts w:ascii="Arial Narrow" w:eastAsia="Times New Roman" w:hAnsi="Arial Narrow" w:cs="Times New Roman"/>
        </w:rPr>
      </w:pPr>
      <w:r w:rsidRPr="00C67735">
        <w:rPr>
          <w:rFonts w:ascii="Arial Narrow" w:eastAsia="Times New Roman" w:hAnsi="Arial Narrow" w:cs="Times New Roman"/>
        </w:rPr>
        <w:t>Maine</w:t>
      </w:r>
    </w:p>
    <w:p w14:paraId="43C819F7" w14:textId="77777777" w:rsidR="008C3C5C" w:rsidRPr="00C67735" w:rsidRDefault="008C3C5C" w:rsidP="008C3C5C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67735">
        <w:rPr>
          <w:rFonts w:ascii="Arial Narrow" w:hAnsi="Arial Narrow" w:cs="Times New Roman"/>
          <w:b/>
          <w:bCs/>
        </w:rPr>
        <w:t xml:space="preserve">Contractual Agreement between the Board of Trustees </w:t>
      </w:r>
    </w:p>
    <w:p w14:paraId="6CFEF99C" w14:textId="53D59529" w:rsidR="008C3C5C" w:rsidRPr="00C67735" w:rsidRDefault="008C3C5C" w:rsidP="008C3C5C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67735">
        <w:rPr>
          <w:rFonts w:ascii="Arial Narrow" w:hAnsi="Arial Narrow" w:cs="Times New Roman"/>
          <w:b/>
          <w:bCs/>
        </w:rPr>
        <w:t xml:space="preserve">of </w:t>
      </w:r>
      <w:proofErr w:type="spellStart"/>
      <w:r w:rsidRPr="00C67735">
        <w:rPr>
          <w:rFonts w:ascii="Arial Narrow" w:hAnsi="Arial Narrow" w:cs="Times New Roman"/>
          <w:b/>
          <w:bCs/>
        </w:rPr>
        <w:t>StandFirmNow</w:t>
      </w:r>
      <w:proofErr w:type="spellEnd"/>
      <w:r w:rsidRPr="00C67735">
        <w:rPr>
          <w:rFonts w:ascii="Arial Narrow" w:hAnsi="Arial Narrow" w:cs="Times New Roman"/>
          <w:b/>
          <w:bCs/>
        </w:rPr>
        <w:t xml:space="preserve"> and the Affiant herein</w:t>
      </w:r>
    </w:p>
    <w:p w14:paraId="54D80186" w14:textId="752232D1" w:rsidR="008C3C5C" w:rsidRPr="00C67735" w:rsidRDefault="008C3C5C" w:rsidP="00C67735">
      <w:pPr>
        <w:spacing w:after="0" w:line="360" w:lineRule="auto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 xml:space="preserve">Affiant: </w:t>
      </w:r>
    </w:p>
    <w:p w14:paraId="66E5C076" w14:textId="77777777" w:rsidR="008C3C5C" w:rsidRPr="00C67735" w:rsidRDefault="008C3C5C" w:rsidP="00C67735">
      <w:pPr>
        <w:spacing w:after="0" w:line="360" w:lineRule="auto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>__________________________________, living wo/man</w:t>
      </w:r>
    </w:p>
    <w:p w14:paraId="17156315" w14:textId="77777777" w:rsidR="008C3C5C" w:rsidRPr="00C67735" w:rsidRDefault="008C3C5C" w:rsidP="00C67735">
      <w:pPr>
        <w:spacing w:after="0" w:line="360" w:lineRule="auto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>On the county at Large, __________</w:t>
      </w:r>
    </w:p>
    <w:p w14:paraId="2A86EBE8" w14:textId="77777777" w:rsidR="008C3C5C" w:rsidRPr="00C67735" w:rsidRDefault="008C3C5C" w:rsidP="00C67735">
      <w:pPr>
        <w:spacing w:after="0" w:line="360" w:lineRule="auto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>c/o: _____________________________</w:t>
      </w:r>
    </w:p>
    <w:p w14:paraId="3C04728A" w14:textId="4A172FA3" w:rsidR="008C3C5C" w:rsidRPr="00C67735" w:rsidRDefault="008C3C5C" w:rsidP="00C67735">
      <w:pPr>
        <w:spacing w:after="0" w:line="360" w:lineRule="auto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>__________________________________</w:t>
      </w:r>
    </w:p>
    <w:p w14:paraId="768B684A" w14:textId="65AD1495" w:rsidR="008C3C5C" w:rsidRPr="00C67735" w:rsidRDefault="008C3C5C" w:rsidP="00C67735">
      <w:pPr>
        <w:jc w:val="both"/>
        <w:rPr>
          <w:rFonts w:ascii="Arial Narrow" w:hAnsi="Arial Narrow" w:cs="Arial"/>
          <w:color w:val="202122"/>
          <w:shd w:val="clear" w:color="auto" w:fill="FFFFFF"/>
        </w:rPr>
      </w:pPr>
      <w:r w:rsidRPr="00C67735">
        <w:rPr>
          <w:rFonts w:ascii="Arial Narrow" w:hAnsi="Arial Narrow" w:cs="Times New Roman"/>
        </w:rPr>
        <w:t xml:space="preserve">WHEREAS, </w:t>
      </w:r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The </w:t>
      </w:r>
      <w:r w:rsidR="00C67735" w:rsidRPr="00C67735">
        <w:rPr>
          <w:rFonts w:ascii="Arial Narrow" w:hAnsi="Arial Narrow" w:cs="Arial"/>
          <w:b/>
          <w:bCs/>
          <w:color w:val="202122"/>
          <w:shd w:val="clear" w:color="auto" w:fill="FFFFFF"/>
        </w:rPr>
        <w:t>Supremacy Clause</w:t>
      </w:r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of the </w:t>
      </w:r>
      <w:hyperlink r:id="rId6" w:tooltip="Constitution of the United States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Constitution of the United States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(</w:t>
      </w:r>
      <w:hyperlink r:id="rId7" w:anchor="Supremacy" w:tooltip="Article Six of the United States Constitution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Article VI, Clause 2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) establishes that the Constitution, </w:t>
      </w:r>
      <w:hyperlink r:id="rId8" w:tooltip="Law of the United States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federal laws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made pursuant to it, and </w:t>
      </w:r>
      <w:hyperlink r:id="rId9" w:tooltip="Treaty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treaties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made under its authority, constitute the "supreme Law of the Land", and thus take priority over any conflicting </w:t>
      </w:r>
      <w:hyperlink r:id="rId10" w:tooltip="State law (United States)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state laws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.</w:t>
      </w:r>
      <w:hyperlink r:id="rId11" w:anchor="cite_note-A6C2NCC-1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  <w:vertAlign w:val="superscript"/>
          </w:rPr>
          <w:t>[1]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It provides that </w:t>
      </w:r>
      <w:hyperlink r:id="rId12" w:tooltip="State court (United States)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state courts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are bound by, and </w:t>
      </w:r>
      <w:hyperlink r:id="rId13" w:tooltip="State constitution (United States)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state constitutions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subordinate to, the supreme law.</w:t>
      </w:r>
      <w:hyperlink r:id="rId14" w:anchor="cite_note-2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  <w:vertAlign w:val="superscript"/>
          </w:rPr>
          <w:t>[2]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However, federal statutes and treaties must be within the parameters of the Constitution;</w:t>
      </w:r>
      <w:hyperlink r:id="rId15" w:anchor="cite_note-3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  <w:vertAlign w:val="superscript"/>
          </w:rPr>
          <w:t>[3]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 that is, they must be pursuant to the federal government's </w:t>
      </w:r>
      <w:hyperlink r:id="rId16" w:tooltip="Enumerated powers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enumerated powers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, and not violate other constitutional limits on federal power, such as the </w:t>
      </w:r>
      <w:hyperlink r:id="rId17" w:tooltip="United States Bill of Rights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Bill of Rights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>—of particular interest is the </w:t>
      </w:r>
      <w:hyperlink r:id="rId18" w:tooltip="Tenth Amendment to the United States Constitution" w:history="1">
        <w:r w:rsidR="00C67735"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Tenth Amendment to the United States Constitution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 xml:space="preserve">, which states that the federal government has only those powers delegated to it by the Constitution. </w:t>
      </w:r>
      <w:hyperlink r:id="rId19" w:history="1">
        <w:r w:rsidR="00C67735" w:rsidRPr="00C67735">
          <w:rPr>
            <w:rStyle w:val="Hyperlink"/>
            <w:rFonts w:ascii="Arial Narrow" w:hAnsi="Arial Narrow" w:cs="Arial"/>
            <w:shd w:val="clear" w:color="auto" w:fill="FFFFFF"/>
          </w:rPr>
          <w:t>https://en.wikipedia.org/wiki/Supremacy_Clause</w:t>
        </w:r>
      </w:hyperlink>
      <w:r w:rsidR="00C67735" w:rsidRPr="00C67735">
        <w:rPr>
          <w:rFonts w:ascii="Arial Narrow" w:hAnsi="Arial Narrow" w:cs="Arial"/>
          <w:color w:val="202122"/>
          <w:shd w:val="clear" w:color="auto" w:fill="FFFFFF"/>
        </w:rPr>
        <w:t xml:space="preserve"> ; and</w:t>
      </w:r>
    </w:p>
    <w:p w14:paraId="04C85B89" w14:textId="383DB8B3" w:rsidR="00C67735" w:rsidRPr="00C67735" w:rsidRDefault="00C67735" w:rsidP="00C67735">
      <w:pPr>
        <w:jc w:val="both"/>
        <w:rPr>
          <w:rFonts w:ascii="Arial Narrow" w:hAnsi="Arial Narrow" w:cs="Arial"/>
          <w:color w:val="202122"/>
          <w:shd w:val="clear" w:color="auto" w:fill="FFFFFF"/>
        </w:rPr>
      </w:pPr>
      <w:r w:rsidRPr="00C67735">
        <w:rPr>
          <w:rFonts w:ascii="Arial Narrow" w:hAnsi="Arial Narrow" w:cs="Times New Roman"/>
        </w:rPr>
        <w:t>WHER</w:t>
      </w:r>
      <w:r w:rsidR="009D683B">
        <w:rPr>
          <w:rFonts w:ascii="Arial Narrow" w:hAnsi="Arial Narrow" w:cs="Times New Roman"/>
        </w:rPr>
        <w:t>E</w:t>
      </w:r>
      <w:r w:rsidRPr="00C67735">
        <w:rPr>
          <w:rFonts w:ascii="Arial Narrow" w:hAnsi="Arial Narrow" w:cs="Times New Roman"/>
        </w:rPr>
        <w:t xml:space="preserve">AS, </w:t>
      </w:r>
      <w:hyperlink r:id="rId20" w:anchor="Clause_1:_Contract_Clause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Article I, Section 10, Clause 1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> of the </w:t>
      </w:r>
      <w:hyperlink r:id="rId21" w:tooltip="United States Constitution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United States Constitution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>, known as the </w:t>
      </w:r>
      <w:r w:rsidRPr="00C67735">
        <w:rPr>
          <w:rFonts w:ascii="Arial Narrow" w:hAnsi="Arial Narrow" w:cs="Arial"/>
          <w:b/>
          <w:bCs/>
          <w:color w:val="202122"/>
          <w:shd w:val="clear" w:color="auto" w:fill="FFFFFF"/>
        </w:rPr>
        <w:t>Contract Clause</w:t>
      </w:r>
      <w:r w:rsidRPr="00C67735">
        <w:rPr>
          <w:rFonts w:ascii="Arial Narrow" w:hAnsi="Arial Narrow" w:cs="Arial"/>
          <w:color w:val="202122"/>
          <w:shd w:val="clear" w:color="auto" w:fill="FFFFFF"/>
        </w:rPr>
        <w:t>, imposes certain prohibitions on the </w:t>
      </w:r>
      <w:hyperlink r:id="rId22" w:tooltip="U.S. state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states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>. These prohibitions are meant to protect individuals from intrusion by </w:t>
      </w:r>
      <w:hyperlink r:id="rId23" w:tooltip="State governments of the United States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state governments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> and to keep the states from intruding on the </w:t>
      </w:r>
      <w:hyperlink r:id="rId24" w:tooltip="Enumerated powers (United States)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enumerated powers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> of the </w:t>
      </w:r>
      <w:hyperlink r:id="rId25" w:tooltip="Federal government of the United States" w:history="1">
        <w:r w:rsidRPr="00C67735">
          <w:rPr>
            <w:rStyle w:val="Hyperlink"/>
            <w:rFonts w:ascii="Arial Narrow" w:hAnsi="Arial Narrow" w:cs="Arial"/>
            <w:color w:val="0645AD"/>
            <w:shd w:val="clear" w:color="auto" w:fill="FFFFFF"/>
          </w:rPr>
          <w:t>U.S. federal government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. </w:t>
      </w:r>
      <w:hyperlink r:id="rId26" w:history="1">
        <w:r w:rsidRPr="00C67735">
          <w:rPr>
            <w:rStyle w:val="Hyperlink"/>
            <w:rFonts w:ascii="Arial Narrow" w:hAnsi="Arial Narrow" w:cs="Arial"/>
            <w:shd w:val="clear" w:color="auto" w:fill="FFFFFF"/>
          </w:rPr>
          <w:t>https://en.wikipedia.org/wiki/Contract_Clause</w:t>
        </w:r>
      </w:hyperlink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 ; and</w:t>
      </w:r>
    </w:p>
    <w:p w14:paraId="300AB421" w14:textId="6FE1850B" w:rsidR="00C67735" w:rsidRPr="00C67735" w:rsidRDefault="00C67735" w:rsidP="00C67735">
      <w:pPr>
        <w:jc w:val="both"/>
        <w:rPr>
          <w:rFonts w:ascii="Arial Narrow" w:hAnsi="Arial Narrow" w:cs="Arial"/>
          <w:color w:val="202122"/>
          <w:shd w:val="clear" w:color="auto" w:fill="FFFFFF"/>
        </w:rPr>
      </w:pPr>
      <w:r w:rsidRPr="00C67735">
        <w:rPr>
          <w:rFonts w:ascii="Arial Narrow" w:hAnsi="Arial Narrow" w:cs="Arial"/>
          <w:color w:val="202122"/>
          <w:shd w:val="clear" w:color="auto" w:fill="FFFFFF"/>
        </w:rPr>
        <w:t>WHEREAS, The Parties herein, the Board of Trustees (BOT) and Affiant (signing the “Covid Commonalities, Affidavit of ____________________________________ , in Relation to Covid 19”) hereby agree to the following terms and conditions.</w:t>
      </w:r>
    </w:p>
    <w:p w14:paraId="39B9EAE9" w14:textId="40E05E2B" w:rsidR="00C67735" w:rsidRPr="00C67735" w:rsidRDefault="00C67735" w:rsidP="00C67735">
      <w:pPr>
        <w:jc w:val="both"/>
        <w:rPr>
          <w:rFonts w:ascii="Arial Narrow" w:hAnsi="Arial Narrow" w:cs="Arial"/>
          <w:color w:val="202122"/>
          <w:shd w:val="clear" w:color="auto" w:fill="FFFFFF"/>
        </w:rPr>
      </w:pPr>
      <w:bookmarkStart w:id="0" w:name="_Hlk120259668"/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Affiant and the BOT agree that </w:t>
      </w:r>
      <w:bookmarkEnd w:id="0"/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the BOT will properly secure and store Affiant’s sworn affidavit in electronic format as well as Affiant’s video recording of Affiant reading their sworn affidavit into </w:t>
      </w:r>
      <w:r w:rsidR="00571A39">
        <w:rPr>
          <w:rFonts w:ascii="Arial Narrow" w:hAnsi="Arial Narrow" w:cs="Arial"/>
          <w:color w:val="202122"/>
          <w:shd w:val="clear" w:color="auto" w:fill="FFFFFF"/>
        </w:rPr>
        <w:t xml:space="preserve">video </w:t>
      </w:r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testimonial evidence that will be </w:t>
      </w:r>
      <w:r w:rsidR="00571A39">
        <w:rPr>
          <w:rFonts w:ascii="Arial Narrow" w:hAnsi="Arial Narrow" w:cs="Arial"/>
          <w:color w:val="202122"/>
          <w:shd w:val="clear" w:color="auto" w:fill="FFFFFF"/>
        </w:rPr>
        <w:t xml:space="preserve">submitted and </w:t>
      </w:r>
      <w:r w:rsidRPr="00C67735">
        <w:rPr>
          <w:rFonts w:ascii="Arial Narrow" w:hAnsi="Arial Narrow" w:cs="Arial"/>
          <w:color w:val="202122"/>
          <w:shd w:val="clear" w:color="auto" w:fill="FFFFFF"/>
        </w:rPr>
        <w:t>used in a court of law, civil and/or criminal, proceedings; and</w:t>
      </w:r>
    </w:p>
    <w:p w14:paraId="48D8FE96" w14:textId="3D3C1F13" w:rsidR="00C67735" w:rsidRPr="00C67735" w:rsidRDefault="00C67735" w:rsidP="00C67735">
      <w:pPr>
        <w:jc w:val="both"/>
        <w:rPr>
          <w:rFonts w:ascii="Arial Narrow" w:hAnsi="Arial Narrow" w:cs="Arial"/>
          <w:color w:val="202122"/>
          <w:shd w:val="clear" w:color="auto" w:fill="FFFFFF"/>
        </w:rPr>
      </w:pPr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Affiant and the BOT agree that Affiant will make </w:t>
      </w:r>
      <w:r w:rsidR="00E04FF0" w:rsidRPr="00C67735">
        <w:rPr>
          <w:rFonts w:ascii="Arial Narrow" w:hAnsi="Arial Narrow" w:cs="Arial"/>
          <w:color w:val="202122"/>
          <w:shd w:val="clear" w:color="auto" w:fill="FFFFFF"/>
        </w:rPr>
        <w:t>themse</w:t>
      </w:r>
      <w:r w:rsidR="00E04FF0">
        <w:rPr>
          <w:rFonts w:ascii="Arial Narrow" w:hAnsi="Arial Narrow" w:cs="Arial"/>
          <w:color w:val="202122"/>
          <w:shd w:val="clear" w:color="auto" w:fill="FFFFFF"/>
        </w:rPr>
        <w:t>lves</w:t>
      </w:r>
      <w:r w:rsidRPr="00C67735">
        <w:rPr>
          <w:rFonts w:ascii="Arial Narrow" w:hAnsi="Arial Narrow" w:cs="Arial"/>
          <w:color w:val="202122"/>
          <w:shd w:val="clear" w:color="auto" w:fill="FFFFFF"/>
        </w:rPr>
        <w:t xml:space="preserve"> available to testify, if called upon via subpoena, and to be cross examined by opposing counsel if called to do so.</w:t>
      </w:r>
    </w:p>
    <w:p w14:paraId="041B5732" w14:textId="6F6A177A" w:rsidR="00C67735" w:rsidRPr="00C67735" w:rsidRDefault="00C67735" w:rsidP="00C67735">
      <w:pPr>
        <w:jc w:val="both"/>
        <w:rPr>
          <w:rFonts w:ascii="Arial Narrow" w:hAnsi="Arial Narrow" w:cs="Times New Roman"/>
        </w:rPr>
      </w:pPr>
      <w:r w:rsidRPr="00C67735">
        <w:rPr>
          <w:rFonts w:ascii="Arial Narrow" w:hAnsi="Arial Narrow" w:cs="Times New Roman"/>
        </w:rPr>
        <w:t>The Parties agree this ____ day of __________________, 202___</w:t>
      </w:r>
    </w:p>
    <w:p w14:paraId="6098CDAF" w14:textId="77777777" w:rsidR="00571A39" w:rsidRDefault="00571A39" w:rsidP="00571A3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F27D38A" w14:textId="77777777" w:rsidR="00571A39" w:rsidRDefault="00571A39" w:rsidP="00571A3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6522C7" w14:textId="61178A77" w:rsidR="00C67735" w:rsidRDefault="00C67735" w:rsidP="00571A39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_______________________________________</w:t>
      </w:r>
    </w:p>
    <w:p w14:paraId="394A682E" w14:textId="12E241FF" w:rsidR="00C67735" w:rsidRPr="00C67735" w:rsidRDefault="00C67735" w:rsidP="00571A39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</w:t>
      </w:r>
      <w:r w:rsidR="00571A39">
        <w:rPr>
          <w:rFonts w:ascii="Arial Narrow" w:hAnsi="Arial Narrow" w:cs="Times New Roman"/>
        </w:rPr>
        <w:t>______</w:t>
      </w:r>
      <w:r>
        <w:rPr>
          <w:rFonts w:ascii="Arial Narrow" w:hAnsi="Arial Narrow" w:cs="Times New Roman"/>
        </w:rPr>
        <w:t>_____, Trustee (BOT)</w:t>
      </w:r>
      <w:r w:rsidR="00571A39">
        <w:rPr>
          <w:rFonts w:ascii="Arial Narrow" w:hAnsi="Arial Narrow" w:cs="Times New Roman"/>
        </w:rPr>
        <w:tab/>
      </w:r>
      <w:r w:rsidR="00571A39">
        <w:rPr>
          <w:rFonts w:ascii="Arial Narrow" w:hAnsi="Arial Narrow" w:cs="Times New Roman"/>
        </w:rPr>
        <w:tab/>
        <w:t>Affiant</w:t>
      </w:r>
    </w:p>
    <w:sectPr w:rsidR="00C67735" w:rsidRPr="00C67735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6CA" w14:textId="77777777" w:rsidR="00E21D16" w:rsidRDefault="00E21D16" w:rsidP="00C67735">
      <w:pPr>
        <w:spacing w:after="0" w:line="240" w:lineRule="auto"/>
      </w:pPr>
      <w:r>
        <w:separator/>
      </w:r>
    </w:p>
  </w:endnote>
  <w:endnote w:type="continuationSeparator" w:id="0">
    <w:p w14:paraId="190F6616" w14:textId="77777777" w:rsidR="00E21D16" w:rsidRDefault="00E21D16" w:rsidP="00C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3696831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54A4D5A" w14:textId="0393DA92" w:rsidR="00C67735" w:rsidRPr="00C67735" w:rsidRDefault="00C67735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35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proofErr w:type="spellStart"/>
            <w:r w:rsidRPr="00C67735">
              <w:rPr>
                <w:rFonts w:ascii="Times New Roman" w:hAnsi="Times New Roman" w:cs="Times New Roman"/>
                <w:sz w:val="20"/>
                <w:szCs w:val="20"/>
              </w:rPr>
              <w:t>StandFirmNow</w:t>
            </w:r>
            <w:proofErr w:type="spellEnd"/>
            <w:r w:rsidRPr="00C67735">
              <w:rPr>
                <w:rFonts w:ascii="Times New Roman" w:hAnsi="Times New Roman" w:cs="Times New Roman"/>
                <w:sz w:val="20"/>
                <w:szCs w:val="20"/>
              </w:rPr>
              <w:t xml:space="preserve">) Affiant Contract 221125] Page </w: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773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773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C677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72F2" w14:textId="77777777" w:rsidR="00E21D16" w:rsidRDefault="00E21D16" w:rsidP="00C67735">
      <w:pPr>
        <w:spacing w:after="0" w:line="240" w:lineRule="auto"/>
      </w:pPr>
      <w:r>
        <w:separator/>
      </w:r>
    </w:p>
  </w:footnote>
  <w:footnote w:type="continuationSeparator" w:id="0">
    <w:p w14:paraId="16555281" w14:textId="77777777" w:rsidR="00E21D16" w:rsidRDefault="00E21D16" w:rsidP="00C6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5C"/>
    <w:rsid w:val="00571A39"/>
    <w:rsid w:val="006812A0"/>
    <w:rsid w:val="007947FD"/>
    <w:rsid w:val="008C3C5C"/>
    <w:rsid w:val="009D683B"/>
    <w:rsid w:val="00C40FFF"/>
    <w:rsid w:val="00C67735"/>
    <w:rsid w:val="00CE4B78"/>
    <w:rsid w:val="00E04FF0"/>
    <w:rsid w:val="00E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57A4"/>
  <w15:chartTrackingRefBased/>
  <w15:docId w15:val="{C9D4A989-A6A8-4815-957B-A2E0733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35"/>
  </w:style>
  <w:style w:type="paragraph" w:styleId="Footer">
    <w:name w:val="footer"/>
    <w:basedOn w:val="Normal"/>
    <w:link w:val="FooterChar"/>
    <w:uiPriority w:val="99"/>
    <w:unhideWhenUsed/>
    <w:rsid w:val="00C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35"/>
  </w:style>
  <w:style w:type="character" w:styleId="Hyperlink">
    <w:name w:val="Hyperlink"/>
    <w:basedOn w:val="DefaultParagraphFont"/>
    <w:uiPriority w:val="99"/>
    <w:unhideWhenUsed/>
    <w:rsid w:val="00C67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w_of_the_United_States" TargetMode="External"/><Relationship Id="rId13" Type="http://schemas.openxmlformats.org/officeDocument/2006/relationships/hyperlink" Target="https://en.wikipedia.org/wiki/State_constitution_(United_States)" TargetMode="External"/><Relationship Id="rId18" Type="http://schemas.openxmlformats.org/officeDocument/2006/relationships/hyperlink" Target="https://en.wikipedia.org/wiki/Tenth_Amendment_to_the_United_States_Constitution" TargetMode="External"/><Relationship Id="rId26" Type="http://schemas.openxmlformats.org/officeDocument/2006/relationships/hyperlink" Target="https://en.wikipedia.org/wiki/Contract_Clau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United_States_Constitution" TargetMode="External"/><Relationship Id="rId7" Type="http://schemas.openxmlformats.org/officeDocument/2006/relationships/hyperlink" Target="https://en.wikipedia.org/wiki/Article_Six_of_the_United_States_Constitution" TargetMode="External"/><Relationship Id="rId12" Type="http://schemas.openxmlformats.org/officeDocument/2006/relationships/hyperlink" Target="https://en.wikipedia.org/wiki/State_court_(United_States)" TargetMode="External"/><Relationship Id="rId17" Type="http://schemas.openxmlformats.org/officeDocument/2006/relationships/hyperlink" Target="https://en.wikipedia.org/wiki/United_States_Bill_of_Rights" TargetMode="External"/><Relationship Id="rId25" Type="http://schemas.openxmlformats.org/officeDocument/2006/relationships/hyperlink" Target="https://en.wikipedia.org/wiki/Federal_government_of_the_United_St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numerated_powers" TargetMode="External"/><Relationship Id="rId20" Type="http://schemas.openxmlformats.org/officeDocument/2006/relationships/hyperlink" Target="https://en.wikipedia.org/wiki/Article_One_of_the_United_States_Constitut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nstitution_of_the_United_States" TargetMode="External"/><Relationship Id="rId11" Type="http://schemas.openxmlformats.org/officeDocument/2006/relationships/hyperlink" Target="https://en.wikipedia.org/wiki/Supremacy_Clause" TargetMode="External"/><Relationship Id="rId24" Type="http://schemas.openxmlformats.org/officeDocument/2006/relationships/hyperlink" Target="https://en.wikipedia.org/wiki/Enumerated_powers_(United_States)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Supremacy_Clause" TargetMode="External"/><Relationship Id="rId23" Type="http://schemas.openxmlformats.org/officeDocument/2006/relationships/hyperlink" Target="https://en.wikipedia.org/wiki/State_governments_of_the_United_Stat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State_law_(United_States)" TargetMode="External"/><Relationship Id="rId19" Type="http://schemas.openxmlformats.org/officeDocument/2006/relationships/hyperlink" Target="https://en.wikipedia.org/wiki/Supremacy_Clau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Treaty" TargetMode="External"/><Relationship Id="rId14" Type="http://schemas.openxmlformats.org/officeDocument/2006/relationships/hyperlink" Target="https://en.wikipedia.org/wiki/Supremacy_Clause" TargetMode="External"/><Relationship Id="rId22" Type="http://schemas.openxmlformats.org/officeDocument/2006/relationships/hyperlink" Target="https://en.wikipedia.org/wiki/U.S._stat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</Words>
  <Characters>4116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rice</dc:creator>
  <cp:keywords/>
  <dc:description/>
  <cp:lastModifiedBy>shawn rice</cp:lastModifiedBy>
  <cp:revision>5</cp:revision>
  <dcterms:created xsi:type="dcterms:W3CDTF">2022-11-25T16:53:00Z</dcterms:created>
  <dcterms:modified xsi:type="dcterms:W3CDTF">2022-11-25T17:47:00Z</dcterms:modified>
</cp:coreProperties>
</file>