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40"/>
        <w:jc w:val="left"/>
      </w:pPr>
      <w:r>
        <w:rPr>
          <w:rFonts w:ascii="Aptos Display" w:hAnsi="Aptos Display"/>
          <w:b/>
          <w:color w:val="172A3A"/>
          <w:sz w:val="72"/>
        </w:rPr>
        <w:t>WINTER WEATHER</w:t>
      </w:r>
    </w:p>
    <w:p>
      <w:r>
        <w:rPr>
          <w:rFonts w:ascii="Aptos" w:hAnsi="Aptos"/>
          <w:b/>
          <w:color w:val="D96C2C"/>
          <w:sz w:val="34"/>
        </w:rPr>
        <w:t>FAMILY EMERGENCY PLAN</w:t>
      </w:r>
    </w:p>
    <w:p>
      <w:r>
        <w:rPr>
          <w:rFonts w:ascii="Aptos" w:hAnsi="Aptos"/>
          <w:i/>
          <w:color w:val="24323C"/>
          <w:sz w:val="23"/>
        </w:rPr>
        <w:t>Stay warm. Avoid unnecessary travel. Prevent carbon monoxide and cold injury.</w:t>
      </w:r>
    </w:p>
    <w:p>
      <w:pPr>
        <w:spacing w:after="280"/>
      </w:pPr>
    </w:p>
    <w:tbl>
      <w:tblPr>
        <w:tblW w:type="auto" w:w="0"/>
        <w:jc w:val="center"/>
        <w:tblLayout w:type="fixed"/>
        <w:tblLook w:firstColumn="1" w:firstRow="1" w:lastColumn="0" w:lastRow="0" w:noHBand="0" w:noVBand="1" w:val="04A0"/>
      </w:tblPr>
      <w:tblGrid>
        <w:gridCol w:w="10080"/>
      </w:tblGrid>
      <w:tr>
        <w:tc>
          <w:tcPr>
            <w:tcW w:type="dxa" w:w="10166"/>
            <w:shd w:fill="F2F5F7"/>
            <w:tcMar>
              <w:top w:w="200" w:type="dxa"/>
              <w:start w:w="240" w:type="dxa"/>
              <w:bottom w:w="200" w:type="dxa"/>
              <w:end w:w="240" w:type="dxa"/>
            </w:tcMar>
          </w:tcPr>
          <w:p>
            <w:r>
              <w:rPr>
                <w:b/>
                <w:color w:val="D96C2C"/>
                <w:sz w:val="18"/>
              </w:rPr>
              <w:t>PURPOSE</w:t>
            </w:r>
          </w:p>
          <w:p>
            <w:pPr>
              <w:spacing w:after="0"/>
            </w:pPr>
            <w:r>
              <w:t>This plan is written for families facing snow, ice, blizzards, extreme cold, freezing rain, dangerous wind chill, stranded travel, frozen pipes, and winter power outages. It prioritizes safe heat, shelter, travel decisions, cold-injury prevention, communications, and continuity of medication and supplies.</w:t>
            </w:r>
          </w:p>
        </w:tc>
      </w:tr>
    </w:tbl>
    <w:p/>
    <w:p>
      <w:r>
        <w:rPr>
          <w:b/>
          <w:color w:val="D96C2C"/>
          <w:sz w:val="18"/>
        </w:rPr>
        <w:t>THE FAMILY PRIORITY ORDER</w:t>
      </w:r>
    </w:p>
    <w:p>
      <w:pPr>
        <w:spacing w:after="60"/>
      </w:pPr>
      <w:r>
        <w:rPr>
          <w:b/>
          <w:color w:val="D96C2C"/>
          <w:sz w:val="26"/>
        </w:rPr>
        <w:t xml:space="preserve">1  </w:t>
      </w:r>
      <w:r>
        <w:rPr>
          <w:b/>
          <w:color w:val="172A3A"/>
          <w:sz w:val="22"/>
        </w:rPr>
        <w:t>MAINTAIN SAFE WARMTH</w:t>
      </w:r>
    </w:p>
    <w:p>
      <w:pPr>
        <w:spacing w:after="60"/>
      </w:pPr>
      <w:r>
        <w:rPr>
          <w:b/>
          <w:color w:val="D96C2C"/>
          <w:sz w:val="26"/>
        </w:rPr>
        <w:t xml:space="preserve">2  </w:t>
      </w:r>
      <w:r>
        <w:rPr>
          <w:b/>
          <w:color w:val="172A3A"/>
          <w:sz w:val="22"/>
        </w:rPr>
        <w:t>AVOID HAZARDOUS TRAVEL</w:t>
      </w:r>
    </w:p>
    <w:p>
      <w:pPr>
        <w:spacing w:after="60"/>
      </w:pPr>
      <w:r>
        <w:rPr>
          <w:b/>
          <w:color w:val="D96C2C"/>
          <w:sz w:val="26"/>
        </w:rPr>
        <w:t xml:space="preserve">3  </w:t>
      </w:r>
      <w:r>
        <w:rPr>
          <w:b/>
          <w:color w:val="172A3A"/>
          <w:sz w:val="22"/>
        </w:rPr>
        <w:t>PREVENT CARBON MONOXIDE AND FIRE</w:t>
      </w:r>
    </w:p>
    <w:p>
      <w:pPr>
        <w:spacing w:after="60"/>
      </w:pPr>
      <w:r>
        <w:rPr>
          <w:b/>
          <w:color w:val="D96C2C"/>
          <w:sz w:val="26"/>
        </w:rPr>
        <w:t xml:space="preserve">4  </w:t>
      </w:r>
      <w:r>
        <w:rPr>
          <w:b/>
          <w:color w:val="172A3A"/>
          <w:sz w:val="22"/>
        </w:rPr>
        <w:t>PROTECT MEDICATIONS, WATER AND PETS</w:t>
      </w:r>
    </w:p>
    <w:p>
      <w:pPr>
        <w:spacing w:after="60"/>
      </w:pPr>
      <w:r>
        <w:rPr>
          <w:b/>
          <w:color w:val="D96C2C"/>
          <w:sz w:val="26"/>
        </w:rPr>
        <w:t xml:space="preserve">5  </w:t>
      </w:r>
      <w:r>
        <w:rPr>
          <w:b/>
          <w:color w:val="172A3A"/>
          <w:sz w:val="22"/>
        </w:rPr>
        <w:t>RECOGNIZE COLD INJURY EARLY</w:t>
      </w:r>
    </w:p>
    <w:p/>
    <w:p>
      <w:r>
        <w:rPr>
          <w:b/>
          <w:color w:val="172A3A"/>
          <w:sz w:val="18"/>
        </w:rPr>
        <w:t>ReadyParent Preparedness Series  |  Winter Weather Edition</w:t>
      </w:r>
    </w:p>
    <w:p>
      <w:pPr>
        <w:spacing w:after="0"/>
      </w:pPr>
      <w:r>
        <w:rPr>
          <w:color w:val="6D7880"/>
          <w:sz w:val="16"/>
        </w:rPr>
        <w:t>Source-informed by FEMA / Ready.gov, National Weather Service, CDC, U.S. Fire Administration, and state/local winter emergency guidance.</w:t>
      </w:r>
    </w:p>
    <w:p>
      <w:r>
        <w:br w:type="page"/>
      </w:r>
    </w:p>
    <w:p>
      <w:pPr>
        <w:spacing w:before="60" w:after="40"/>
      </w:pPr>
      <w:r>
        <w:rPr>
          <w:b/>
          <w:color w:val="D96C2C"/>
          <w:sz w:val="17"/>
        </w:rPr>
        <w:t>OPERATING PRINCIPLE</w:t>
      </w:r>
    </w:p>
    <w:p>
      <w:pPr>
        <w:pStyle w:val="Heading1"/>
      </w:pPr>
      <w:r>
        <w:t>The safest winter trip is often the one the family does not make.</w:t>
      </w:r>
    </w:p>
    <w:p>
      <w:r>
        <w:t>Winter weather compounds hazards: cold, poor visibility, ice, vehicle crashes, power loss, heating failure, frozen pipes, and carbon monoxide. Families should reduce travel before conditions deteriorate and know exactly when home conditions require relocation to reliable heat.</w:t>
      </w:r>
    </w:p>
    <w:p>
      <w:pPr>
        <w:pStyle w:val="Heading2"/>
      </w:pPr>
      <w:r>
        <w:t>What winter weather can do to a household</w:t>
      </w:r>
    </w:p>
    <w:p>
      <w:r>
        <w:t>Winter storms can block roads, strand vehicles, collapse trees and lines, cut power, stop heating systems, freeze pipes, and create frostbite or hypothermia. Ice can make even short outdoor movement dangerous. Fuel-burning heaters and generators can introduce carbon monoxide and fire hazards.</w:t>
      </w:r>
    </w:p>
    <w:p>
      <w:pPr>
        <w:pStyle w:val="Heading2"/>
      </w:pPr>
      <w:r>
        <w:t>Before the hazard develops</w:t>
      </w:r>
    </w:p>
    <w:p>
      <w:r>
        <w:t>The family should complete the following actions before conditions deteriorate or an incident begins.</w:t>
      </w:r>
    </w:p>
    <w:p>
      <w:pPr>
        <w:spacing w:before="60" w:after="40"/>
      </w:pPr>
      <w:r>
        <w:rPr>
          <w:b/>
          <w:color w:val="D96C2C"/>
          <w:sz w:val="17"/>
        </w:rPr>
        <w:t>PART ONE</w:t>
      </w:r>
    </w:p>
    <w:p>
      <w:pPr>
        <w:pStyle w:val="Heading1"/>
      </w:pPr>
      <w:r>
        <w:t>HOW TO PREPARE</w:t>
      </w:r>
    </w:p>
    <w:p>
      <w:pPr>
        <w:pStyle w:val="Heading2"/>
      </w:pPr>
      <w:r>
        <w:t>Winterize the home and vehicle</w:t>
      </w:r>
    </w:p>
    <w:p>
      <w:pPr>
        <w:pStyle w:val="ListBullet"/>
        <w:spacing w:after="60"/>
      </w:pPr>
      <w:r>
        <w:t>Insulate, caulk, weather-strip, and service heating equipment before winter. Have chimneys and fuel-burning appliances inspected as appropriate.</w:t>
      </w:r>
    </w:p>
    <w:p>
      <w:pPr>
        <w:pStyle w:val="ListBullet"/>
        <w:spacing w:after="60"/>
      </w:pPr>
      <w:r>
        <w:t>Test smoke and carbon-monoxide alarms and keep battery backup current.</w:t>
      </w:r>
    </w:p>
    <w:p>
      <w:pPr>
        <w:pStyle w:val="ListBullet"/>
        <w:spacing w:after="60"/>
      </w:pPr>
      <w:r>
        <w:t>Know how to protect pipes from freezing and where the main water shutoff is located. Follow local plumbing guidance for severe cold.</w:t>
      </w:r>
    </w:p>
    <w:p>
      <w:pPr>
        <w:pStyle w:val="ListBullet"/>
        <w:spacing w:after="60"/>
      </w:pPr>
      <w:r>
        <w:t>Equip vehicles with appropriate tires for local conditions and carry blankets, warm clothing, water, food, flashlight, charger, scraper, traction aid, and other region-appropriate winter supplies.</w:t>
      </w:r>
    </w:p>
    <w:p>
      <w:pPr>
        <w:pStyle w:val="ListBullet"/>
        <w:spacing w:after="60"/>
      </w:pPr>
      <w:r>
        <w:t>Keep home fuel, medications, pet supplies, food, and water adequate for several days when major winter weather is forecast.</w:t>
      </w:r>
    </w:p>
    <w:p>
      <w:pPr>
        <w:pStyle w:val="Heading2"/>
      </w:pPr>
      <w:r>
        <w:t>Set no-travel and relocation triggers</w:t>
      </w:r>
    </w:p>
    <w:p>
      <w:pPr>
        <w:pStyle w:val="ListBullet"/>
        <w:spacing w:after="60"/>
      </w:pPr>
      <w:r>
        <w:t>Postpone nonessential travel during blizzard, ice-storm, or extreme-cold warnings when authorities advise staying off roads.</w:t>
      </w:r>
    </w:p>
    <w:p>
      <w:pPr>
        <w:pStyle w:val="ListBullet"/>
        <w:spacing w:after="60"/>
      </w:pPr>
      <w:r>
        <w:t>If home heat fails and indoor temperature is steadily falling, relocate vulnerable household members before roads worsen.</w:t>
      </w:r>
    </w:p>
    <w:p>
      <w:pPr>
        <w:pStyle w:val="ListBullet"/>
        <w:spacing w:after="60"/>
      </w:pPr>
      <w:r>
        <w:t>Plan where pets and livestock can remain protected from extreme cold, wind, ice, and frozen water supplies.</w:t>
      </w:r>
    </w:p>
    <w:tbl>
      <w:tblPr>
        <w:tblW w:type="auto" w:w="0"/>
        <w:jc w:val="center"/>
        <w:tblLook w:firstColumn="1" w:firstRow="1" w:lastColumn="0" w:lastRow="0" w:noHBand="0" w:noVBand="1" w:val="04A0"/>
      </w:tblPr>
      <w:tblGrid>
        <w:gridCol w:w="10166"/>
      </w:tblGrid>
      <w:tr>
        <w:tc>
          <w:tcPr>
            <w:tcW w:type="dxa" w:w="10166"/>
            <w:shd w:fill="F2F5F7"/>
            <w:tcMar>
              <w:top w:w="170" w:type="dxa"/>
              <w:start w:w="220" w:type="dxa"/>
              <w:bottom w:w="170" w:type="dxa"/>
              <w:end w:w="220" w:type="dxa"/>
            </w:tcMar>
          </w:tcPr>
          <w:p>
            <w:r>
              <w:rPr>
                <w:b/>
                <w:color w:val="D96C2C"/>
                <w:sz w:val="18"/>
              </w:rPr>
              <w:t>HEATING SAFETY RULE</w:t>
            </w:r>
          </w:p>
          <w:p>
            <w:pPr>
              <w:spacing w:after="0"/>
            </w:pPr>
            <w:r>
              <w:t>Never use a gas oven or stove to heat the home. Never use grills, charcoal, camp stoves, or generators indoors or in garages. Use only heaters designed and approved for the intended location and fuel, with required clearances and ventilation.</w:t>
            </w:r>
          </w:p>
        </w:tc>
      </w:tr>
    </w:tbl>
    <w:p/>
    <w:p>
      <w:pPr>
        <w:spacing w:before="60" w:after="40"/>
      </w:pPr>
      <w:r>
        <w:rPr>
          <w:b/>
          <w:color w:val="D96C2C"/>
          <w:sz w:val="17"/>
        </w:rPr>
        <w:t>PART TWO</w:t>
      </w:r>
    </w:p>
    <w:p>
      <w:pPr>
        <w:pStyle w:val="Heading1"/>
      </w:pPr>
      <w:r>
        <w:t>STAY SAFE DURING</w:t>
      </w:r>
    </w:p>
    <w:p>
      <w:r>
        <w:t>During winter weather, preserve warmth, avoid unnecessary exposure, and keep travel decisions conservative. Cold injuries and crashes can occur before a household perceives conditions as “extreme.”</w:t>
      </w:r>
    </w:p>
    <w:p>
      <w:pPr>
        <w:pStyle w:val="Heading2"/>
      </w:pPr>
      <w:r>
        <w:t>If staying home</w:t>
      </w:r>
    </w:p>
    <w:p>
      <w:pPr>
        <w:pStyle w:val="ListBullet"/>
        <w:spacing w:after="60"/>
      </w:pPr>
      <w:r>
        <w:t>Stay in the warmest safe part of the home, dress in loose layers, and use blankets. Close doors to unused rooms when doing so does not interfere with safe heating or ventilation.</w:t>
      </w:r>
    </w:p>
    <w:p>
      <w:pPr>
        <w:pStyle w:val="ListBullet"/>
        <w:spacing w:after="60"/>
      </w:pPr>
      <w:r>
        <w:t>Keep heating vents and combustion-air openings clear of snow and ice as required by the appliance manufacturer.</w:t>
      </w:r>
    </w:p>
    <w:p>
      <w:pPr>
        <w:pStyle w:val="ListBullet"/>
        <w:spacing w:after="60"/>
      </w:pPr>
      <w:r>
        <w:t>Check on children, older adults, people with disabilities or chronic illness, and neighbors living alone.</w:t>
      </w:r>
    </w:p>
    <w:p>
      <w:pPr>
        <w:pStyle w:val="ListBullet"/>
        <w:spacing w:after="60"/>
      </w:pPr>
      <w:r>
        <w:t>Use generators only outdoors and far from openings. Keep portable heaters away from bedding, curtains, furniture, children, and pets.</w:t>
      </w:r>
    </w:p>
    <w:p>
      <w:pPr>
        <w:pStyle w:val="Heading2"/>
      </w:pPr>
      <w:r>
        <w:t>If travel is unavoidable</w:t>
      </w:r>
    </w:p>
    <w:p>
      <w:pPr>
        <w:pStyle w:val="ListBullet"/>
        <w:spacing w:after="60"/>
      </w:pPr>
      <w:r>
        <w:t>Check road conditions and forecasts before departure, tell someone the route and expected arrival, keep the fuel tank well above empty, and carry a charged phone.</w:t>
      </w:r>
    </w:p>
    <w:p>
      <w:pPr>
        <w:pStyle w:val="ListBullet"/>
        <w:spacing w:after="60"/>
      </w:pPr>
      <w:r>
        <w:t>Slow down, increase following distance, and avoid cruise control on icy roads. Do not drive through road closures.</w:t>
      </w:r>
    </w:p>
    <w:p>
      <w:pPr>
        <w:pStyle w:val="ListBullet"/>
        <w:spacing w:after="60"/>
      </w:pPr>
      <w:r>
        <w:t>If stranded, stay with the vehicle unless a clearly safer occupied shelter is very close and conditions permit safe movement. Call 911 for immediate danger and follow local guidance.</w:t>
      </w:r>
    </w:p>
    <w:p>
      <w:pPr>
        <w:pStyle w:val="ListBullet"/>
        <w:spacing w:after="60"/>
      </w:pPr>
      <w:r>
        <w:t>Run the engine only as needed for warmth and ensure the exhaust pipe is clear of snow to reduce carbon-monoxide risk.</w:t>
      </w:r>
    </w:p>
    <w:p>
      <w:pPr>
        <w:pStyle w:val="Heading2"/>
      </w:pPr>
      <w:r>
        <w:t>Recognize hypothermia and frostbite</w:t>
      </w:r>
    </w:p>
    <w:p>
      <w:pPr>
        <w:pStyle w:val="ListBullet"/>
        <w:spacing w:after="60"/>
      </w:pPr>
      <w:r>
        <w:t>Hypothermia can cause intense shivering, exhaustion, confusion, fumbling, memory loss, slurred speech, and drowsiness. Severe cases may stop shivering. Seek emergency medical care and warm the person gradually.</w:t>
      </w:r>
    </w:p>
    <w:p>
      <w:pPr>
        <w:pStyle w:val="ListBullet"/>
        <w:spacing w:after="60"/>
      </w:pPr>
      <w:r>
        <w:t>Frostbite can cause numbness and pale, waxy, or firm skin. Protect the area from refreezing and seek medical care; do not rub frostbitten tissue.</w:t>
      </w:r>
    </w:p>
    <w:tbl>
      <w:tblPr>
        <w:tblW w:type="auto" w:w="0"/>
        <w:jc w:val="center"/>
        <w:tblLook w:firstColumn="1" w:firstRow="1" w:lastColumn="0" w:lastRow="0" w:noHBand="0" w:noVBand="1" w:val="04A0"/>
      </w:tblPr>
      <w:tblGrid>
        <w:gridCol w:w="10166"/>
      </w:tblGrid>
      <w:tr>
        <w:tc>
          <w:tcPr>
            <w:tcW w:type="dxa" w:w="10166"/>
            <w:shd w:fill="F2F5F7"/>
            <w:tcMar>
              <w:top w:w="170" w:type="dxa"/>
              <w:start w:w="220" w:type="dxa"/>
              <w:bottom w:w="170" w:type="dxa"/>
              <w:end w:w="220" w:type="dxa"/>
            </w:tcMar>
          </w:tcPr>
          <w:p>
            <w:r>
              <w:rPr>
                <w:b/>
                <w:color w:val="D96C2C"/>
                <w:sz w:val="18"/>
              </w:rPr>
              <w:t>POWER-LOSS RULE</w:t>
            </w:r>
          </w:p>
          <w:p>
            <w:pPr>
              <w:spacing w:after="0"/>
            </w:pPr>
            <w:r>
              <w:t>If the household cannot maintain safe heat, especially for infants, older adults, or medically vulnerable people, relocate to a heated location before roads become impassable.</w:t>
            </w:r>
          </w:p>
        </w:tc>
      </w:tr>
    </w:tbl>
    <w:p/>
    <w:p>
      <w:pPr>
        <w:spacing w:before="60" w:after="40"/>
      </w:pPr>
      <w:r>
        <w:rPr>
          <w:b/>
          <w:color w:val="D96C2C"/>
          <w:sz w:val="17"/>
        </w:rPr>
        <w:t>PART THREE</w:t>
      </w:r>
    </w:p>
    <w:p>
      <w:pPr>
        <w:pStyle w:val="Heading1"/>
      </w:pPr>
      <w:r>
        <w:t>AFTER THE DISASTER</w:t>
      </w:r>
    </w:p>
    <w:p>
      <w:r>
        <w:t>After the storm, roads, roofs, trees, utilities, and outdoor surfaces may remain dangerous. Cold can continue even after precipitation ends.</w:t>
      </w:r>
    </w:p>
    <w:p>
      <w:pPr>
        <w:pStyle w:val="Heading2"/>
      </w:pPr>
      <w:r>
        <w:t>Restore the property carefully</w:t>
      </w:r>
    </w:p>
    <w:p>
      <w:pPr>
        <w:pStyle w:val="ListBullet"/>
        <w:spacing w:after="60"/>
      </w:pPr>
      <w:r>
        <w:t>Avoid downed lines and damaged trees. Clear snow using safe lifting and pacing, especially for people with heart or respiratory risk.</w:t>
      </w:r>
    </w:p>
    <w:p>
      <w:pPr>
        <w:pStyle w:val="ListBullet"/>
        <w:spacing w:after="60"/>
      </w:pPr>
      <w:r>
        <w:t>Use caution around roof snow/ice and falling icicles. Do not climb onto an icy roof without appropriate professional capability.</w:t>
      </w:r>
    </w:p>
    <w:p>
      <w:pPr>
        <w:pStyle w:val="ListBullet"/>
        <w:spacing w:after="60"/>
      </w:pPr>
      <w:r>
        <w:t>Inspect for frozen or burst pipes and shut off water if a leak is discovered.</w:t>
      </w:r>
    </w:p>
    <w:p>
      <w:pPr>
        <w:pStyle w:val="Heading2"/>
      </w:pPr>
      <w:r>
        <w:t>Continue carbon-monoxide awareness</w:t>
      </w:r>
    </w:p>
    <w:p>
      <w:pPr>
        <w:pStyle w:val="ListBullet"/>
        <w:spacing w:after="60"/>
      </w:pPr>
      <w:r>
        <w:t>Outages and cleanup often extend generator and heater use. Keep CO alarms active and fuel-burning equipment in safe locations until normal utilities are fully restored.</w:t>
      </w:r>
    </w:p>
    <w:p>
      <w:pPr>
        <w:pStyle w:val="ListBullet"/>
        <w:spacing w:after="60"/>
      </w:pPr>
      <w:r>
        <w:t>If anyone develops headache, dizziness, weakness, nausea, vomiting, chest pain, or confusion in a building using combustion equipment, move to fresh air and seek emergency help for possible carbon-monoxide exposure.</w:t>
      </w:r>
    </w:p>
    <w:p>
      <w:pPr>
        <w:pStyle w:val="Heading2"/>
      </w:pPr>
      <w:r>
        <w:t>Reset winter readiness</w:t>
      </w:r>
    </w:p>
    <w:p>
      <w:r>
        <w:t>Dry and replace wet clothing, restock vehicle kits, recharge batteries, refill approved fuel supplies safely, and repair heating or plumbing problems before the next freeze.</w:t>
      </w:r>
    </w:p>
    <w:tbl>
      <w:tblPr>
        <w:tblW w:type="auto" w:w="0"/>
        <w:jc w:val="center"/>
        <w:tblLook w:firstColumn="1" w:firstRow="1" w:lastColumn="0" w:lastRow="0" w:noHBand="0" w:noVBand="1" w:val="04A0"/>
      </w:tblPr>
      <w:tblGrid>
        <w:gridCol w:w="10166"/>
      </w:tblGrid>
      <w:tr>
        <w:tc>
          <w:tcPr>
            <w:tcW w:type="dxa" w:w="10166"/>
            <w:shd w:fill="F2F5F7"/>
            <w:tcMar>
              <w:top w:w="170" w:type="dxa"/>
              <w:start w:w="220" w:type="dxa"/>
              <w:bottom w:w="170" w:type="dxa"/>
              <w:end w:w="220" w:type="dxa"/>
            </w:tcMar>
          </w:tcPr>
          <w:p>
            <w:r>
              <w:rPr>
                <w:b/>
                <w:color w:val="D96C2C"/>
                <w:sz w:val="18"/>
              </w:rPr>
              <w:t>AFTER-ACTION QUESTION</w:t>
            </w:r>
          </w:p>
          <w:p>
            <w:pPr>
              <w:spacing w:after="0"/>
            </w:pPr>
            <w:r>
              <w:t>What caused delay, confusion, separation, loss of information, unnecessary exposure, or a preventable failure of supplies? Correct that weakness while the event is still fresh in the family’s memory.</w:t>
            </w:r>
          </w:p>
        </w:tc>
      </w:tr>
    </w:tbl>
    <w:p/>
    <w:p>
      <w:pPr>
        <w:spacing w:before="60" w:after="40"/>
      </w:pPr>
      <w:r>
        <w:rPr>
          <w:b/>
          <w:color w:val="D96C2C"/>
          <w:sz w:val="17"/>
        </w:rPr>
        <w:t>FAMILY WINTER WEATHER READINESS STANDARD</w:t>
      </w:r>
    </w:p>
    <w:p>
      <w:pPr>
        <w:pStyle w:val="Heading1"/>
      </w:pPr>
      <w:r>
        <w:t>The plan is ready when the family can answer these questions without guessing.</w:t>
      </w:r>
    </w:p>
    <w:tbl>
      <w:tblPr>
        <w:tblW w:type="auto" w:w="0"/>
        <w:jc w:val="center"/>
        <w:tblLayout w:type="fixed"/>
        <w:tblLook w:firstColumn="1" w:firstRow="1" w:lastColumn="0" w:lastRow="0" w:noHBand="0" w:noVBand="1" w:val="04A0"/>
      </w:tblPr>
      <w:tblGrid>
        <w:gridCol w:w="605"/>
        <w:gridCol w:w="9360"/>
      </w:tblGrid>
      <w:tr>
        <w:tc>
          <w:tcPr>
            <w:tcW w:type="dxa" w:w="5083"/>
            <w:shd w:fill="D96C2C"/>
            <w:tcMar>
              <w:top w:w="100" w:type="dxa"/>
              <w:start w:w="80" w:type="dxa"/>
              <w:bottom w:w="100" w:type="dxa"/>
              <w:end w:w="80" w:type="dxa"/>
            </w:tcMar>
          </w:tcPr>
          <w:p>
            <w:pPr>
              <w:jc w:val="center"/>
            </w:pPr>
            <w:r>
              <w:rPr>
                <w:b/>
                <w:color w:val="FFFFFF"/>
                <w:sz w:val="22"/>
              </w:rPr>
              <w:t>✓</w:t>
            </w:r>
          </w:p>
        </w:tc>
        <w:tc>
          <w:tcPr>
            <w:tcW w:type="dxa" w:w="5083"/>
            <w:tcMar>
              <w:top w:w="100" w:type="dxa"/>
              <w:start w:w="160" w:type="dxa"/>
              <w:bottom w:w="100" w:type="dxa"/>
              <w:end w:w="160" w:type="dxa"/>
            </w:tcMar>
          </w:tcPr>
          <w:p>
            <w:r>
              <w:t>How will we heat safely if normal power is lost?</w:t>
            </w:r>
          </w:p>
        </w:tc>
      </w:tr>
    </w:tbl>
    <w:tbl>
      <w:tblPr>
        <w:tblW w:type="auto" w:w="0"/>
        <w:jc w:val="center"/>
        <w:tblLayout w:type="fixed"/>
        <w:tblLook w:firstColumn="1" w:firstRow="1" w:lastColumn="0" w:lastRow="0" w:noHBand="0" w:noVBand="1" w:val="04A0"/>
      </w:tblPr>
      <w:tblGrid>
        <w:gridCol w:w="605"/>
        <w:gridCol w:w="9360"/>
      </w:tblGrid>
      <w:tr>
        <w:tc>
          <w:tcPr>
            <w:tcW w:type="dxa" w:w="5083"/>
            <w:shd w:fill="D96C2C"/>
            <w:tcMar>
              <w:top w:w="100" w:type="dxa"/>
              <w:start w:w="80" w:type="dxa"/>
              <w:bottom w:w="100" w:type="dxa"/>
              <w:end w:w="80" w:type="dxa"/>
            </w:tcMar>
          </w:tcPr>
          <w:p>
            <w:pPr>
              <w:jc w:val="center"/>
            </w:pPr>
            <w:r>
              <w:rPr>
                <w:b/>
                <w:color w:val="FFFFFF"/>
                <w:sz w:val="22"/>
              </w:rPr>
              <w:t>✓</w:t>
            </w:r>
          </w:p>
        </w:tc>
        <w:tc>
          <w:tcPr>
            <w:tcW w:type="dxa" w:w="5083"/>
            <w:tcMar>
              <w:top w:w="100" w:type="dxa"/>
              <w:start w:w="160" w:type="dxa"/>
              <w:bottom w:w="100" w:type="dxa"/>
              <w:end w:w="160" w:type="dxa"/>
            </w:tcMar>
          </w:tcPr>
          <w:p>
            <w:r>
              <w:t>Where will we relocate if the home cannot stay warm?</w:t>
            </w:r>
          </w:p>
        </w:tc>
      </w:tr>
    </w:tbl>
    <w:tbl>
      <w:tblPr>
        <w:tblW w:type="auto" w:w="0"/>
        <w:jc w:val="center"/>
        <w:tblLayout w:type="fixed"/>
        <w:tblLook w:firstColumn="1" w:firstRow="1" w:lastColumn="0" w:lastRow="0" w:noHBand="0" w:noVBand="1" w:val="04A0"/>
      </w:tblPr>
      <w:tblGrid>
        <w:gridCol w:w="605"/>
        <w:gridCol w:w="9360"/>
      </w:tblGrid>
      <w:tr>
        <w:tc>
          <w:tcPr>
            <w:tcW w:type="dxa" w:w="5083"/>
            <w:shd w:fill="D96C2C"/>
            <w:tcMar>
              <w:top w:w="100" w:type="dxa"/>
              <w:start w:w="80" w:type="dxa"/>
              <w:bottom w:w="100" w:type="dxa"/>
              <w:end w:w="80" w:type="dxa"/>
            </w:tcMar>
          </w:tcPr>
          <w:p>
            <w:pPr>
              <w:jc w:val="center"/>
            </w:pPr>
            <w:r>
              <w:rPr>
                <w:b/>
                <w:color w:val="FFFFFF"/>
                <w:sz w:val="22"/>
              </w:rPr>
              <w:t>✓</w:t>
            </w:r>
          </w:p>
        </w:tc>
        <w:tc>
          <w:tcPr>
            <w:tcW w:type="dxa" w:w="5083"/>
            <w:tcMar>
              <w:top w:w="100" w:type="dxa"/>
              <w:start w:w="160" w:type="dxa"/>
              <w:bottom w:w="100" w:type="dxa"/>
              <w:end w:w="160" w:type="dxa"/>
            </w:tcMar>
          </w:tcPr>
          <w:p>
            <w:r>
              <w:t>What winter warning causes us to cancel nonessential travel?</w:t>
            </w:r>
          </w:p>
        </w:tc>
      </w:tr>
    </w:tbl>
    <w:tbl>
      <w:tblPr>
        <w:tblW w:type="auto" w:w="0"/>
        <w:jc w:val="center"/>
        <w:tblLayout w:type="fixed"/>
        <w:tblLook w:firstColumn="1" w:firstRow="1" w:lastColumn="0" w:lastRow="0" w:noHBand="0" w:noVBand="1" w:val="04A0"/>
      </w:tblPr>
      <w:tblGrid>
        <w:gridCol w:w="605"/>
        <w:gridCol w:w="9360"/>
      </w:tblGrid>
      <w:tr>
        <w:tc>
          <w:tcPr>
            <w:tcW w:type="dxa" w:w="5083"/>
            <w:shd w:fill="D96C2C"/>
            <w:tcMar>
              <w:top w:w="100" w:type="dxa"/>
              <w:start w:w="80" w:type="dxa"/>
              <w:bottom w:w="100" w:type="dxa"/>
              <w:end w:w="80" w:type="dxa"/>
            </w:tcMar>
          </w:tcPr>
          <w:p>
            <w:pPr>
              <w:jc w:val="center"/>
            </w:pPr>
            <w:r>
              <w:rPr>
                <w:b/>
                <w:color w:val="FFFFFF"/>
                <w:sz w:val="22"/>
              </w:rPr>
              <w:t>✓</w:t>
            </w:r>
          </w:p>
        </w:tc>
        <w:tc>
          <w:tcPr>
            <w:tcW w:type="dxa" w:w="5083"/>
            <w:tcMar>
              <w:top w:w="100" w:type="dxa"/>
              <w:start w:w="160" w:type="dxa"/>
              <w:bottom w:w="100" w:type="dxa"/>
              <w:end w:w="160" w:type="dxa"/>
            </w:tcMar>
          </w:tcPr>
          <w:p>
            <w:r>
              <w:t>Does every vehicle have a winter emergency kit?</w:t>
            </w:r>
          </w:p>
        </w:tc>
      </w:tr>
    </w:tbl>
    <w:tbl>
      <w:tblPr>
        <w:tblW w:type="auto" w:w="0"/>
        <w:jc w:val="center"/>
        <w:tblLayout w:type="fixed"/>
        <w:tblLook w:firstColumn="1" w:firstRow="1" w:lastColumn="0" w:lastRow="0" w:noHBand="0" w:noVBand="1" w:val="04A0"/>
      </w:tblPr>
      <w:tblGrid>
        <w:gridCol w:w="605"/>
        <w:gridCol w:w="9360"/>
      </w:tblGrid>
      <w:tr>
        <w:tc>
          <w:tcPr>
            <w:tcW w:type="dxa" w:w="5083"/>
            <w:shd w:fill="D96C2C"/>
            <w:tcMar>
              <w:top w:w="100" w:type="dxa"/>
              <w:start w:w="80" w:type="dxa"/>
              <w:bottom w:w="100" w:type="dxa"/>
              <w:end w:w="80" w:type="dxa"/>
            </w:tcMar>
          </w:tcPr>
          <w:p>
            <w:pPr>
              <w:jc w:val="center"/>
            </w:pPr>
            <w:r>
              <w:rPr>
                <w:b/>
                <w:color w:val="FFFFFF"/>
                <w:sz w:val="22"/>
              </w:rPr>
              <w:t>✓</w:t>
            </w:r>
          </w:p>
        </w:tc>
        <w:tc>
          <w:tcPr>
            <w:tcW w:type="dxa" w:w="5083"/>
            <w:tcMar>
              <w:top w:w="100" w:type="dxa"/>
              <w:start w:w="160" w:type="dxa"/>
              <w:bottom w:w="100" w:type="dxa"/>
              <w:end w:w="160" w:type="dxa"/>
            </w:tcMar>
          </w:tcPr>
          <w:p>
            <w:r>
              <w:t>Do we know hypothermia, frostbite, and carbon-monoxide warning signs?</w:t>
            </w:r>
          </w:p>
        </w:tc>
      </w:tr>
    </w:tbl>
    <w:tbl>
      <w:tblPr>
        <w:tblW w:type="auto" w:w="0"/>
        <w:jc w:val="center"/>
        <w:tblLayout w:type="fixed"/>
        <w:tblLook w:firstColumn="1" w:firstRow="1" w:lastColumn="0" w:lastRow="0" w:noHBand="0" w:noVBand="1" w:val="04A0"/>
      </w:tblPr>
      <w:tblGrid>
        <w:gridCol w:w="605"/>
        <w:gridCol w:w="9360"/>
      </w:tblGrid>
      <w:tr>
        <w:tc>
          <w:tcPr>
            <w:tcW w:type="dxa" w:w="5083"/>
            <w:shd w:fill="D96C2C"/>
            <w:tcMar>
              <w:top w:w="100" w:type="dxa"/>
              <w:start w:w="80" w:type="dxa"/>
              <w:bottom w:w="100" w:type="dxa"/>
              <w:end w:w="80" w:type="dxa"/>
            </w:tcMar>
          </w:tcPr>
          <w:p>
            <w:pPr>
              <w:jc w:val="center"/>
            </w:pPr>
            <w:r>
              <w:rPr>
                <w:b/>
                <w:color w:val="FFFFFF"/>
                <w:sz w:val="22"/>
              </w:rPr>
              <w:t>✓</w:t>
            </w:r>
          </w:p>
        </w:tc>
        <w:tc>
          <w:tcPr>
            <w:tcW w:type="dxa" w:w="5083"/>
            <w:tcMar>
              <w:top w:w="100" w:type="dxa"/>
              <w:start w:w="160" w:type="dxa"/>
              <w:bottom w:w="100" w:type="dxa"/>
              <w:end w:w="160" w:type="dxa"/>
            </w:tcMar>
          </w:tcPr>
          <w:p>
            <w:r>
              <w:t>Where is the main water shutoff?</w:t>
            </w:r>
          </w:p>
        </w:tc>
      </w:tr>
    </w:tbl>
    <w:tbl>
      <w:tblPr>
        <w:tblW w:type="auto" w:w="0"/>
        <w:jc w:val="center"/>
        <w:tblLayout w:type="fixed"/>
        <w:tblLook w:firstColumn="1" w:firstRow="1" w:lastColumn="0" w:lastRow="0" w:noHBand="0" w:noVBand="1" w:val="04A0"/>
      </w:tblPr>
      <w:tblGrid>
        <w:gridCol w:w="605"/>
        <w:gridCol w:w="9360"/>
      </w:tblGrid>
      <w:tr>
        <w:tc>
          <w:tcPr>
            <w:tcW w:type="dxa" w:w="5083"/>
            <w:shd w:fill="D96C2C"/>
            <w:tcMar>
              <w:top w:w="100" w:type="dxa"/>
              <w:start w:w="80" w:type="dxa"/>
              <w:bottom w:w="100" w:type="dxa"/>
              <w:end w:w="80" w:type="dxa"/>
            </w:tcMar>
          </w:tcPr>
          <w:p>
            <w:pPr>
              <w:jc w:val="center"/>
            </w:pPr>
            <w:r>
              <w:rPr>
                <w:b/>
                <w:color w:val="FFFFFF"/>
                <w:sz w:val="22"/>
              </w:rPr>
              <w:t>✓</w:t>
            </w:r>
          </w:p>
        </w:tc>
        <w:tc>
          <w:tcPr>
            <w:tcW w:type="dxa" w:w="5083"/>
            <w:tcMar>
              <w:top w:w="100" w:type="dxa"/>
              <w:start w:w="160" w:type="dxa"/>
              <w:bottom w:w="100" w:type="dxa"/>
              <w:end w:w="160" w:type="dxa"/>
            </w:tcMar>
          </w:tcPr>
          <w:p>
            <w:r>
              <w:t>How will pets or livestock remain warm and have unfrozen water?</w:t>
            </w:r>
          </w:p>
        </w:tc>
      </w:tr>
    </w:tbl>
    <w:p/>
    <w:tbl>
      <w:tblPr>
        <w:tblW w:type="auto" w:w="0"/>
        <w:jc w:val="center"/>
        <w:tblLook w:firstColumn="1" w:firstRow="1" w:lastColumn="0" w:lastRow="0" w:noHBand="0" w:noVBand="1" w:val="04A0"/>
      </w:tblPr>
      <w:tblGrid>
        <w:gridCol w:w="10166"/>
      </w:tblGrid>
      <w:tr>
        <w:tc>
          <w:tcPr>
            <w:tcW w:type="dxa" w:w="10166"/>
            <w:shd w:fill="F2F5F7"/>
            <w:tcMar>
              <w:top w:w="170" w:type="dxa"/>
              <w:start w:w="220" w:type="dxa"/>
              <w:bottom w:w="170" w:type="dxa"/>
              <w:end w:w="220" w:type="dxa"/>
            </w:tcMar>
          </w:tcPr>
          <w:p>
            <w:r>
              <w:rPr>
                <w:b/>
                <w:color w:val="D96C2C"/>
                <w:sz w:val="18"/>
              </w:rPr>
              <w:t>PRACTICE STANDARD</w:t>
            </w:r>
          </w:p>
          <w:p>
            <w:pPr>
              <w:spacing w:after="0"/>
            </w:pPr>
            <w:r>
              <w:t>Before winter, test heating and CO alarms, find the water shutoff, inventory each vehicle kit, identify the heated relocation destination, and review the family no-travel rule. Conduct a short outage drill without using unsafe heating substitutes.</w:t>
            </w:r>
          </w:p>
        </w:tc>
      </w:tr>
    </w:tbl>
    <w:p/>
    <w:p>
      <w:pPr>
        <w:spacing w:before="60" w:after="40"/>
      </w:pPr>
      <w:r>
        <w:rPr>
          <w:b/>
          <w:color w:val="D96C2C"/>
          <w:sz w:val="17"/>
        </w:rPr>
        <w:t>REFERENCE BASIS</w:t>
      </w:r>
    </w:p>
    <w:p>
      <w:pPr>
        <w:pStyle w:val="Heading1"/>
      </w:pPr>
      <w:r>
        <w:t>AUTHORITATIVE SOURCES USED FOR THIS PLAN</w:t>
      </w:r>
    </w:p>
    <w:p>
      <w:r>
        <w:t>This ReadyParent plan consolidates widely accepted U.S. preparedness, response, safety, and recovery guidance specific to winter weather. Local instructions and incident-specific guidance take priority.</w:t>
      </w:r>
    </w:p>
    <w:p>
      <w:r>
        <w:rPr>
          <w:b/>
          <w:color w:val="172A3A"/>
        </w:rPr>
        <w:t xml:space="preserve">Ready.gov — Winter Weather — </w:t>
      </w:r>
      <w:hyperlink r:id="rId20">
        <w:r>
          <w:rPr>
            <w:color w:val="172A3A"/>
            <w:u w:val="single"/>
          </w:rPr>
          <w:t>https://www.ready.gov/winter-weather</w:t>
        </w:r>
      </w:hyperlink>
      <w:r>
        <w:br/>
        <w:t>Winter preparedness, home heating, travel, cold injury, and outages.</w:t>
      </w:r>
    </w:p>
    <w:p>
      <w:r>
        <w:rPr>
          <w:b/>
          <w:color w:val="172A3A"/>
        </w:rPr>
        <w:t xml:space="preserve">Ready.gov — WinterReady — </w:t>
      </w:r>
      <w:hyperlink r:id="rId21">
        <w:r>
          <w:rPr>
            <w:color w:val="172A3A"/>
            <w:u w:val="single"/>
          </w:rPr>
          <w:t>https://www.ready.gov/winter-ready</w:t>
        </w:r>
      </w:hyperlink>
      <w:r>
        <w:br/>
        <w:t>Winterproofing, travel safety, power outages, and household readiness.</w:t>
      </w:r>
    </w:p>
    <w:p>
      <w:r>
        <w:rPr>
          <w:b/>
          <w:color w:val="172A3A"/>
        </w:rPr>
        <w:t xml:space="preserve">National Weather Service — Winter Safety — </w:t>
      </w:r>
      <w:hyperlink r:id="rId22">
        <w:r>
          <w:rPr>
            <w:color w:val="172A3A"/>
            <w:u w:val="single"/>
          </w:rPr>
          <w:t>https://www.weather.gov/safety/winter</w:t>
        </w:r>
      </w:hyperlink>
      <w:r>
        <w:br/>
        <w:t>Winter warnings, wind chill, travel, frostbite, and hypothermia.</w:t>
      </w:r>
    </w:p>
    <w:p>
      <w:r>
        <w:rPr>
          <w:b/>
          <w:color w:val="172A3A"/>
        </w:rPr>
        <w:t xml:space="preserve">CDC — Winter Weather — </w:t>
      </w:r>
      <w:hyperlink r:id="rId23">
        <w:r>
          <w:rPr>
            <w:color w:val="172A3A"/>
            <w:u w:val="single"/>
          </w:rPr>
          <w:t>https://www.cdc.gov/winter-weather/about/index.html</w:t>
        </w:r>
      </w:hyperlink>
      <w:r>
        <w:br/>
        <w:t>Cold exposure, carbon monoxide, health and safety.</w:t>
      </w:r>
    </w:p>
    <w:p>
      <w:r>
        <w:rPr>
          <w:b/>
          <w:color w:val="172A3A"/>
        </w:rPr>
        <w:t xml:space="preserve">U.S. Fire Administration — Heating Fire Safety — </w:t>
      </w:r>
      <w:hyperlink r:id="rId24">
        <w:r>
          <w:rPr>
            <w:color w:val="172A3A"/>
            <w:u w:val="single"/>
          </w:rPr>
          <w:t>https://www.usfa.fema.gov/prevention/home-fires/prevent-fires/heating/</w:t>
        </w:r>
      </w:hyperlink>
      <w:r>
        <w:br/>
        <w:t>Home heating and portable-heater fire prevention.</w:t>
      </w:r>
    </w:p>
    <w:p>
      <w:r>
        <w:rPr>
          <w:b/>
          <w:color w:val="D96C2C"/>
        </w:rPr>
        <w:t>Publication note</w:t>
      </w:r>
    </w:p>
    <w:p>
      <w:r>
        <w:t>Guidance reviewed August 2026. This document is educational preparedness guidance and does not replace instructions from local emergency management, law enforcement, fire/EMS, public-health authorities, utilities, building officials, event security, or other agencies with jurisdiction. Conditions vary by location and incident; when official instructions conflict with this plan, follow the official instructions.</w:t>
      </w:r>
    </w:p>
    <w:sectPr w:rsidR="00FC693F" w:rsidRPr="0006063C" w:rsidSect="00034616">
      <w:headerReference w:type="default" r:id="rId9"/>
      <w:footerReference w:type="default" r:id="rId10"/>
      <w:pgSz w:w="12240" w:h="15840"/>
      <w:pgMar w:top="864" w:right="1037" w:bottom="864"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7A8791"/>
        <w:sz w:val="15"/>
      </w:rPr>
      <w:t>ReadyParent Preparedness Series  |  Family Emergency Planning</w:t>
    </w:r>
  </w:p>
  <w:tbl>
    <w:tblPr>
      <w:tblW w:type="auto" w:w="0"/>
      <w:jc w:val="center"/>
      <w:tblLook w:firstColumn="1" w:firstRow="1" w:lastColumn="0" w:lastRow="0" w:noHBand="0" w:noVBand="1" w:val="04A0"/>
    </w:tblPr>
    <w:tblGrid>
      <w:gridCol w:w="5040"/>
      <w:gridCol w:w="5040"/>
    </w:tblGrid>
    <w:tr>
      <w:tc>
        <w:tcPr>
          <w:tcW w:type="dxa" w:w="5040"/>
        </w:tcPr>
        <w:p>
          <w:r>
            <w:rPr>
              <w:rFonts w:ascii="Aptos" w:hAnsi="Aptos"/>
              <w:b w:val="0"/>
              <w:color w:val="6B7378"/>
              <w:sz w:val="15"/>
            </w:rPr>
            <w:t>Preparedness • Evacuation • Recovery</w:t>
          </w:r>
        </w:p>
      </w:tc>
      <w:tc>
        <w:tcPr>
          <w:tcW w:type="dxa" w:w="5040"/>
        </w:tcPr>
        <w:p>
          <w:pPr>
            <w:jc w:val="right"/>
          </w:pPr>
          <w:r>
            <w:rPr>
              <w:rFonts w:ascii="Aptos" w:hAnsi="Aptos"/>
              <w:b/>
              <w:color w:val="172A3A"/>
              <w:sz w:val="15"/>
            </w:rPr>
            <w:t>ReadyParent</w:t>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172A3A"/>
        <w:sz w:val="16"/>
      </w:rPr>
      <w:t>READYPARENT  |  FAMILY WINTER WEATHER PLAN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24323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60"/>
      <w:outlineLvl w:val="0"/>
    </w:pPr>
    <w:rPr>
      <w:rFonts w:asciiTheme="majorHAnsi" w:eastAsiaTheme="majorEastAsia" w:hAnsiTheme="majorHAnsi" w:cstheme="majorBidi" w:ascii="Aptos Display" w:hAnsi="Aptos Display"/>
      <w:b/>
      <w:bCs/>
      <w:color w:val="172A3A"/>
      <w:sz w:val="44"/>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w:hAnsi="Aptos"/>
      <w:b/>
      <w:bCs/>
      <w:color w:val="D96C2C"/>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172A3A"/>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2A3A"/>
      <w:spacing w:val="5"/>
      <w:kern w:val="28"/>
      <w:sz w:val="6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ready.gov/wildfires" TargetMode="External"/><Relationship Id="rId12" Type="http://schemas.openxmlformats.org/officeDocument/2006/relationships/hyperlink" Target="https://www.ready.gov/evacuation" TargetMode="External"/><Relationship Id="rId13" Type="http://schemas.openxmlformats.org/officeDocument/2006/relationships/hyperlink" Target="https://www.usfa.fema.gov/wui/communities/take-action.html" TargetMode="External"/><Relationship Id="rId14" Type="http://schemas.openxmlformats.org/officeDocument/2006/relationships/hyperlink" Target="https://www.nfpa.org/education-and-research/wildfire/preparing-homes-for-wildfire" TargetMode="External"/><Relationship Id="rId15" Type="http://schemas.openxmlformats.org/officeDocument/2006/relationships/hyperlink" Target="https://www.cdc.gov/wildfires/safety/how-to-safely-stay-safe-during-a-wildfire.html" TargetMode="External"/><Relationship Id="rId16" Type="http://schemas.openxmlformats.org/officeDocument/2006/relationships/hyperlink" Target="https://www.airnow.gov/wildfires/be-smoke-ready/" TargetMode="External"/><Relationship Id="rId17" Type="http://schemas.openxmlformats.org/officeDocument/2006/relationships/hyperlink" Target="https://www.airnow.gov/wildfires/when-smoke-is-in-the-air/" TargetMode="External"/><Relationship Id="rId18" Type="http://schemas.openxmlformats.org/officeDocument/2006/relationships/hyperlink" Target="https://www.redcross.org/get-help/how-to-prepare-for-emergencies/types-of-emergencies/wildfire.html" TargetMode="External"/><Relationship Id="rId19" Type="http://schemas.openxmlformats.org/officeDocument/2006/relationships/hyperlink" Target="https://www.fs.usda.gov/managing-land/fire/fac" TargetMode="External"/><Relationship Id="rId20" Type="http://schemas.openxmlformats.org/officeDocument/2006/relationships/hyperlink" Target="https://www.ready.gov/winter-weather" TargetMode="External"/><Relationship Id="rId21" Type="http://schemas.openxmlformats.org/officeDocument/2006/relationships/hyperlink" Target="https://www.ready.gov/winter-ready" TargetMode="External"/><Relationship Id="rId22" Type="http://schemas.openxmlformats.org/officeDocument/2006/relationships/hyperlink" Target="https://www.weather.gov/safety/winter" TargetMode="External"/><Relationship Id="rId23" Type="http://schemas.openxmlformats.org/officeDocument/2006/relationships/hyperlink" Target="https://www.cdc.gov/winter-weather/about/index.html" TargetMode="External"/><Relationship Id="rId24" Type="http://schemas.openxmlformats.org/officeDocument/2006/relationships/hyperlink" Target="https://www.usfa.fema.gov/prevention/home-fires/prevent-fires/hea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ReadyParent Family Wildfire Emergency Plan</dc:title>
  <dc:subject>Wildfire preparedness, evacuation, safety, and recovery for families</dc:subject>
  <dc:creator>ReadyParent</dc:creator>
  <cp:keywords>wildfire, emergency preparedness, family evacuation, smoke safety, ReadyParent</cp:keywords>
  <dc:description>generated by python-docx</dc:description>
  <cp:lastModifiedBy/>
  <cp:revision>1</cp:revision>
  <dcterms:created xsi:type="dcterms:W3CDTF">2013-12-23T23:15:00Z</dcterms:created>
  <dcterms:modified xsi:type="dcterms:W3CDTF">2013-12-23T23:15:00Z</dcterms:modified>
  <cp:category/>
</cp:coreProperties>
</file>