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0E0E1" w14:textId="77777777" w:rsidR="0012466D" w:rsidRPr="0012466D" w:rsidRDefault="0012466D" w:rsidP="0012466D">
      <w:pPr>
        <w:keepNext/>
        <w:spacing w:before="240" w:after="240" w:line="240" w:lineRule="atLeast"/>
        <w:outlineLvl w:val="0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14:ligatures w14:val="none"/>
        </w:rPr>
      </w:pPr>
      <w:r w:rsidRPr="001246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14:ligatures w14:val="none"/>
        </w:rPr>
        <w:t>NOTICE: THIS DOCUMENT</w:t>
      </w:r>
      <w:r w:rsidRPr="001246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14:ligatures w14:val="none"/>
        </w:rPr>
        <w:br/>
        <w:t>CONTAINS SENSITIVE DATA</w:t>
      </w:r>
    </w:p>
    <w:p w14:paraId="41DFBD94" w14:textId="77777777" w:rsidR="0012466D" w:rsidRPr="0012466D" w:rsidRDefault="0012466D" w:rsidP="00124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78A631" w14:textId="77777777" w:rsidR="0012466D" w:rsidRPr="0012466D" w:rsidRDefault="0012466D" w:rsidP="00124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CAUSE NO. ______________________</w:t>
      </w:r>
    </w:p>
    <w:p w14:paraId="128C6DF6" w14:textId="77777777" w:rsidR="0012466D" w:rsidRPr="0012466D" w:rsidRDefault="0012466D" w:rsidP="0012466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6326C6" w14:textId="77777777" w:rsidR="0012466D" w:rsidRPr="0012466D" w:rsidRDefault="0012466D" w:rsidP="0012466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§</w:t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IN THE DISTRICT COURT</w:t>
      </w:r>
    </w:p>
    <w:p w14:paraId="66D33A71" w14:textId="77777777" w:rsidR="0012466D" w:rsidRPr="0012466D" w:rsidRDefault="0012466D" w:rsidP="001246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Petitioner/Movant</w:t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§</w:t>
      </w:r>
    </w:p>
    <w:p w14:paraId="5075E9F3" w14:textId="77777777" w:rsidR="0012466D" w:rsidRPr="0012466D" w:rsidRDefault="0012466D" w:rsidP="001246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§</w:t>
      </w:r>
    </w:p>
    <w:p w14:paraId="569CF481" w14:textId="77777777" w:rsidR="0012466D" w:rsidRPr="0012466D" w:rsidRDefault="0012466D" w:rsidP="001246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v.</w:t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§</w:t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</w:t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JUDICIAL DISTRICT</w:t>
      </w:r>
    </w:p>
    <w:p w14:paraId="5E5CE1E9" w14:textId="77777777" w:rsidR="0012466D" w:rsidRPr="0012466D" w:rsidRDefault="0012466D" w:rsidP="001246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§</w:t>
      </w:r>
    </w:p>
    <w:p w14:paraId="2C539AD0" w14:textId="77777777" w:rsidR="0012466D" w:rsidRPr="0012466D" w:rsidRDefault="0012466D" w:rsidP="0012466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§</w:t>
      </w:r>
    </w:p>
    <w:p w14:paraId="1E66D802" w14:textId="77777777" w:rsidR="0012466D" w:rsidRPr="0012466D" w:rsidRDefault="0012466D" w:rsidP="0012466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Respondent/Movant</w:t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§         </w:t>
      </w:r>
      <w:r w:rsidRPr="001246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</w:t>
      </w:r>
      <w:r w:rsidRPr="00124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COUNTY, TEXAS</w:t>
      </w:r>
    </w:p>
    <w:p w14:paraId="6A799246" w14:textId="77777777" w:rsidR="0012466D" w:rsidRPr="0012466D" w:rsidRDefault="0012466D" w:rsidP="00124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80AD288" w14:textId="28ADBC7E" w:rsidR="0012466D" w:rsidRPr="0012466D" w:rsidRDefault="0012466D" w:rsidP="0012466D">
      <w:pPr>
        <w:jc w:val="center"/>
        <w:rPr>
          <w:rFonts w:ascii="Century Schoolbook" w:hAnsi="Century Schoolbook"/>
          <w:b/>
          <w:bCs/>
          <w:sz w:val="24"/>
          <w:szCs w:val="24"/>
          <w:u w:val="single"/>
        </w:rPr>
      </w:pPr>
      <w:r w:rsidRPr="0012466D">
        <w:rPr>
          <w:rFonts w:ascii="Century Schoolbook" w:hAnsi="Century Schoolbook"/>
          <w:b/>
          <w:bCs/>
          <w:sz w:val="24"/>
          <w:szCs w:val="24"/>
          <w:u w:val="single"/>
        </w:rPr>
        <w:t xml:space="preserve">AGREED </w:t>
      </w:r>
      <w:r w:rsidRPr="0012466D">
        <w:rPr>
          <w:rFonts w:ascii="Century Schoolbook" w:hAnsi="Century Schoolbook"/>
          <w:b/>
          <w:bCs/>
          <w:sz w:val="24"/>
          <w:szCs w:val="24"/>
          <w:u w:val="single"/>
        </w:rPr>
        <w:t>MOTION FOR REFERRAL TO SPECIAL JUDGE</w:t>
      </w:r>
    </w:p>
    <w:p w14:paraId="223B658E" w14:textId="77777777" w:rsidR="0012466D" w:rsidRPr="0012466D" w:rsidRDefault="0012466D" w:rsidP="0012466D">
      <w:pPr>
        <w:rPr>
          <w:rFonts w:ascii="Century Schoolbook" w:hAnsi="Century Schoolbook"/>
          <w:sz w:val="24"/>
          <w:szCs w:val="24"/>
        </w:rPr>
      </w:pPr>
      <w:r w:rsidRPr="0012466D">
        <w:rPr>
          <w:rFonts w:ascii="Century Schoolbook" w:hAnsi="Century Schoolbook"/>
          <w:sz w:val="24"/>
          <w:szCs w:val="24"/>
        </w:rPr>
        <w:t>TO THE HONORABLE JUDGE OF SAID COURT:</w:t>
      </w:r>
    </w:p>
    <w:p w14:paraId="5BB3AA43" w14:textId="45F0F5C5" w:rsidR="0012466D" w:rsidRPr="0012466D" w:rsidRDefault="0012466D" w:rsidP="0012466D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Petitioner and Respondent respectfully seek</w:t>
      </w:r>
      <w:r w:rsidR="000F2A15">
        <w:rPr>
          <w:rFonts w:ascii="Century Schoolbook" w:hAnsi="Century Schoolbook"/>
          <w:sz w:val="24"/>
          <w:szCs w:val="24"/>
        </w:rPr>
        <w:t xml:space="preserve"> approval of their chosen method of alternative dispute resolution under </w:t>
      </w:r>
      <w:r w:rsidRPr="0012466D">
        <w:rPr>
          <w:rFonts w:ascii="Century Schoolbook" w:hAnsi="Century Schoolbook"/>
          <w:sz w:val="24"/>
          <w:szCs w:val="24"/>
        </w:rPr>
        <w:t>Chapter 151 of the Texas Civil Practice and Remedies Code, and respectfully show the Court as follows:</w:t>
      </w:r>
    </w:p>
    <w:p w14:paraId="1697B697" w14:textId="6504A80E" w:rsidR="0012466D" w:rsidRPr="0012466D" w:rsidRDefault="0012466D" w:rsidP="0012466D">
      <w:pPr>
        <w:rPr>
          <w:rFonts w:ascii="Century Schoolbook" w:hAnsi="Century Schoolbook"/>
          <w:b/>
          <w:bCs/>
          <w:sz w:val="24"/>
          <w:szCs w:val="24"/>
        </w:rPr>
      </w:pPr>
      <w:r w:rsidRPr="0012466D">
        <w:rPr>
          <w:rFonts w:ascii="Century Schoolbook" w:hAnsi="Century Schoolbook"/>
          <w:b/>
          <w:bCs/>
          <w:sz w:val="24"/>
          <w:szCs w:val="24"/>
        </w:rPr>
        <w:t xml:space="preserve">I. </w:t>
      </w:r>
      <w:r w:rsidR="00BB354D">
        <w:rPr>
          <w:rFonts w:ascii="Century Schoolbook" w:hAnsi="Century Schoolbook"/>
          <w:b/>
          <w:bCs/>
          <w:sz w:val="24"/>
          <w:szCs w:val="24"/>
        </w:rPr>
        <w:tab/>
      </w:r>
      <w:r w:rsidR="00510540">
        <w:rPr>
          <w:rFonts w:ascii="Century Schoolbook" w:hAnsi="Century Schoolbook"/>
          <w:b/>
          <w:bCs/>
          <w:sz w:val="24"/>
          <w:szCs w:val="24"/>
        </w:rPr>
        <w:t>PUBLIC POLICY AND</w:t>
      </w:r>
      <w:r w:rsidRPr="0012466D">
        <w:rPr>
          <w:rFonts w:ascii="Century Schoolbook" w:hAnsi="Century Schoolbook"/>
          <w:b/>
          <w:bCs/>
          <w:sz w:val="24"/>
          <w:szCs w:val="24"/>
        </w:rPr>
        <w:t xml:space="preserve"> PURPOSE</w:t>
      </w:r>
    </w:p>
    <w:p w14:paraId="004F768C" w14:textId="07747F0E" w:rsidR="005D7550" w:rsidRDefault="008723B0" w:rsidP="0012466D">
      <w:pPr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It is </w:t>
      </w:r>
      <w:r w:rsidR="00A15306">
        <w:rPr>
          <w:rFonts w:ascii="Century Schoolbook" w:hAnsi="Century Schoolbook"/>
          <w:sz w:val="24"/>
          <w:szCs w:val="24"/>
        </w:rPr>
        <w:t xml:space="preserve">longstanding </w:t>
      </w:r>
      <w:r>
        <w:rPr>
          <w:rFonts w:ascii="Century Schoolbook" w:hAnsi="Century Schoolbook"/>
          <w:sz w:val="24"/>
          <w:szCs w:val="24"/>
        </w:rPr>
        <w:t>Texas</w:t>
      </w:r>
      <w:r w:rsidR="000F2A15">
        <w:rPr>
          <w:rFonts w:ascii="Century Schoolbook" w:hAnsi="Century Schoolbook"/>
          <w:sz w:val="24"/>
          <w:szCs w:val="24"/>
        </w:rPr>
        <w:t xml:space="preserve"> policy</w:t>
      </w:r>
      <w:r>
        <w:rPr>
          <w:rFonts w:ascii="Century Schoolbook" w:hAnsi="Century Schoolbook"/>
          <w:sz w:val="24"/>
          <w:szCs w:val="24"/>
        </w:rPr>
        <w:t xml:space="preserve"> to promote amica</w:t>
      </w:r>
      <w:r w:rsidR="008C2D00">
        <w:rPr>
          <w:rFonts w:ascii="Century Schoolbook" w:hAnsi="Century Schoolbook"/>
          <w:sz w:val="24"/>
          <w:szCs w:val="24"/>
        </w:rPr>
        <w:t>b</w:t>
      </w:r>
      <w:r>
        <w:rPr>
          <w:rFonts w:ascii="Century Schoolbook" w:hAnsi="Century Schoolbook"/>
          <w:sz w:val="24"/>
          <w:szCs w:val="24"/>
        </w:rPr>
        <w:t>l</w:t>
      </w:r>
      <w:r w:rsidR="008C2D00">
        <w:rPr>
          <w:rFonts w:ascii="Century Schoolbook" w:hAnsi="Century Schoolbook"/>
          <w:sz w:val="24"/>
          <w:szCs w:val="24"/>
        </w:rPr>
        <w:t>e</w:t>
      </w:r>
      <w:r>
        <w:rPr>
          <w:rFonts w:ascii="Century Schoolbook" w:hAnsi="Century Schoolbook"/>
          <w:sz w:val="24"/>
          <w:szCs w:val="24"/>
        </w:rPr>
        <w:t xml:space="preserve"> resolution of disputes</w:t>
      </w:r>
      <w:r w:rsidR="00554597" w:rsidRPr="00554597">
        <w:rPr>
          <w:rFonts w:ascii="Century Schoolbook" w:hAnsi="Century Schoolbook"/>
          <w:sz w:val="24"/>
          <w:szCs w:val="24"/>
        </w:rPr>
        <w:t xml:space="preserve">, </w:t>
      </w:r>
      <w:r w:rsidR="00364DA8">
        <w:rPr>
          <w:rFonts w:ascii="Century Schoolbook" w:hAnsi="Century Schoolbook"/>
          <w:sz w:val="24"/>
          <w:szCs w:val="24"/>
        </w:rPr>
        <w:t xml:space="preserve">particularly </w:t>
      </w:r>
      <w:r w:rsidR="000F2A15">
        <w:rPr>
          <w:rFonts w:ascii="Century Schoolbook" w:hAnsi="Century Schoolbook"/>
          <w:sz w:val="24"/>
          <w:szCs w:val="24"/>
        </w:rPr>
        <w:t>those</w:t>
      </w:r>
      <w:r w:rsidR="00554597" w:rsidRPr="00554597">
        <w:rPr>
          <w:rFonts w:ascii="Century Schoolbook" w:hAnsi="Century Schoolbook"/>
          <w:sz w:val="24"/>
          <w:szCs w:val="24"/>
        </w:rPr>
        <w:t xml:space="preserve"> involving </w:t>
      </w:r>
      <w:r w:rsidR="000F2A15">
        <w:rPr>
          <w:rFonts w:ascii="Century Schoolbook" w:hAnsi="Century Schoolbook"/>
          <w:sz w:val="24"/>
          <w:szCs w:val="24"/>
        </w:rPr>
        <w:t xml:space="preserve">family law issues and </w:t>
      </w:r>
      <w:r w:rsidR="00554597" w:rsidRPr="00554597">
        <w:rPr>
          <w:rFonts w:ascii="Century Schoolbook" w:hAnsi="Century Schoolbook"/>
          <w:sz w:val="24"/>
          <w:szCs w:val="24"/>
        </w:rPr>
        <w:t>the parent-child relationship</w:t>
      </w:r>
      <w:r w:rsidR="00364DA8">
        <w:rPr>
          <w:rFonts w:ascii="Century Schoolbook" w:hAnsi="Century Schoolbook"/>
          <w:sz w:val="24"/>
          <w:szCs w:val="24"/>
        </w:rPr>
        <w:t xml:space="preserve">. </w:t>
      </w:r>
      <w:r w:rsidR="00A447C7" w:rsidRPr="00A447C7">
        <w:rPr>
          <w:rFonts w:ascii="Century Schoolbook" w:hAnsi="Century Schoolbook"/>
          <w:sz w:val="24"/>
          <w:szCs w:val="24"/>
        </w:rPr>
        <w:t xml:space="preserve">The Legislature has recognized that, because children suffer needlessly from traditional </w:t>
      </w:r>
      <w:r w:rsidR="00A447C7">
        <w:rPr>
          <w:rFonts w:ascii="Century Schoolbook" w:hAnsi="Century Schoolbook"/>
          <w:sz w:val="24"/>
          <w:szCs w:val="24"/>
        </w:rPr>
        <w:t xml:space="preserve">and prolonged </w:t>
      </w:r>
      <w:r w:rsidR="00A447C7" w:rsidRPr="00A447C7">
        <w:rPr>
          <w:rFonts w:ascii="Century Schoolbook" w:hAnsi="Century Schoolbook"/>
          <w:sz w:val="24"/>
          <w:szCs w:val="24"/>
        </w:rPr>
        <w:t>litigation, the amicable resolution o</w:t>
      </w:r>
      <w:r w:rsidR="00A447C7">
        <w:rPr>
          <w:rFonts w:ascii="Century Schoolbook" w:hAnsi="Century Schoolbook"/>
          <w:sz w:val="24"/>
          <w:szCs w:val="24"/>
        </w:rPr>
        <w:t>f</w:t>
      </w:r>
      <w:r w:rsidR="00A447C7" w:rsidRPr="00A447C7">
        <w:rPr>
          <w:rFonts w:ascii="Century Schoolbook" w:hAnsi="Century Schoolbook"/>
          <w:sz w:val="24"/>
          <w:szCs w:val="24"/>
        </w:rPr>
        <w:t> </w:t>
      </w:r>
      <w:r w:rsidR="00A447C7">
        <w:rPr>
          <w:rFonts w:ascii="Century Schoolbook" w:hAnsi="Century Schoolbook"/>
          <w:sz w:val="24"/>
          <w:szCs w:val="24"/>
        </w:rPr>
        <w:t xml:space="preserve">family law </w:t>
      </w:r>
      <w:r w:rsidR="00A447C7" w:rsidRPr="00A447C7">
        <w:rPr>
          <w:rFonts w:ascii="Century Schoolbook" w:hAnsi="Century Schoolbook"/>
          <w:sz w:val="24"/>
          <w:szCs w:val="24"/>
        </w:rPr>
        <w:t>disputes should be promoted forcefully</w:t>
      </w:r>
      <w:r w:rsidR="00A447C7">
        <w:rPr>
          <w:rFonts w:ascii="Century Schoolbook" w:hAnsi="Century Schoolbook"/>
          <w:sz w:val="24"/>
          <w:szCs w:val="24"/>
        </w:rPr>
        <w:t xml:space="preserve"> by Texas courts</w:t>
      </w:r>
      <w:r w:rsidR="00A447C7" w:rsidRPr="00A447C7">
        <w:rPr>
          <w:rFonts w:ascii="Century Schoolbook" w:hAnsi="Century Schoolbook"/>
          <w:sz w:val="24"/>
          <w:szCs w:val="24"/>
        </w:rPr>
        <w:t>.</w:t>
      </w:r>
      <w:r w:rsidR="00A447C7">
        <w:rPr>
          <w:rFonts w:ascii="Century Schoolbook" w:hAnsi="Century Schoolbook"/>
          <w:sz w:val="24"/>
          <w:szCs w:val="24"/>
        </w:rPr>
        <w:t xml:space="preserve"> </w:t>
      </w:r>
      <w:r w:rsidR="00A447C7">
        <w:rPr>
          <w:rFonts w:ascii="Century Schoolbook" w:hAnsi="Century Schoolbook"/>
          <w:i/>
          <w:iCs/>
          <w:sz w:val="24"/>
          <w:szCs w:val="24"/>
        </w:rPr>
        <w:t xml:space="preserve">See </w:t>
      </w:r>
      <w:r w:rsidR="00A447C7" w:rsidRPr="00A447C7">
        <w:rPr>
          <w:rFonts w:ascii="Century Schoolbook" w:hAnsi="Century Schoolbook"/>
          <w:i/>
          <w:iCs/>
          <w:sz w:val="24"/>
          <w:szCs w:val="24"/>
        </w:rPr>
        <w:t>In re Lee</w:t>
      </w:r>
      <w:r w:rsidR="00A447C7" w:rsidRPr="00A447C7">
        <w:rPr>
          <w:rFonts w:ascii="Century Schoolbook" w:hAnsi="Century Schoolbook"/>
          <w:sz w:val="24"/>
          <w:szCs w:val="24"/>
        </w:rPr>
        <w:t>, 411 S.W.3d 445, 449-450</w:t>
      </w:r>
      <w:r w:rsidR="00ED6389">
        <w:rPr>
          <w:rFonts w:ascii="Century Schoolbook" w:hAnsi="Century Schoolbook"/>
          <w:sz w:val="24"/>
          <w:szCs w:val="24"/>
        </w:rPr>
        <w:t xml:space="preserve"> (Tex. </w:t>
      </w:r>
      <w:r w:rsidR="00B61E69">
        <w:rPr>
          <w:rFonts w:ascii="Century Schoolbook" w:hAnsi="Century Schoolbook"/>
          <w:sz w:val="24"/>
          <w:szCs w:val="24"/>
        </w:rPr>
        <w:t>2013)</w:t>
      </w:r>
      <w:r w:rsidR="00A447C7">
        <w:rPr>
          <w:rFonts w:ascii="Century Schoolbook" w:hAnsi="Century Schoolbook"/>
          <w:sz w:val="24"/>
          <w:szCs w:val="24"/>
        </w:rPr>
        <w:t xml:space="preserve">; </w:t>
      </w:r>
      <w:r w:rsidR="00A447C7" w:rsidRPr="00A447C7">
        <w:rPr>
          <w:rFonts w:ascii="Century Schoolbook" w:hAnsi="Century Schoolbook"/>
          <w:i/>
          <w:iCs/>
          <w:sz w:val="24"/>
          <w:szCs w:val="24"/>
        </w:rPr>
        <w:t>s</w:t>
      </w:r>
      <w:r w:rsidR="00364DA8">
        <w:rPr>
          <w:rFonts w:ascii="Century Schoolbook" w:hAnsi="Century Schoolbook"/>
          <w:i/>
          <w:iCs/>
          <w:sz w:val="24"/>
          <w:szCs w:val="24"/>
        </w:rPr>
        <w:t>ee</w:t>
      </w:r>
      <w:r w:rsidR="00A447C7">
        <w:rPr>
          <w:rFonts w:ascii="Century Schoolbook" w:hAnsi="Century Schoolbook"/>
          <w:i/>
          <w:iCs/>
          <w:sz w:val="24"/>
          <w:szCs w:val="24"/>
        </w:rPr>
        <w:t xml:space="preserve"> also</w:t>
      </w:r>
      <w:r w:rsidR="00364DA8">
        <w:rPr>
          <w:rFonts w:ascii="Century Schoolbook" w:hAnsi="Century Schoolbook"/>
          <w:i/>
          <w:iCs/>
          <w:sz w:val="24"/>
          <w:szCs w:val="24"/>
        </w:rPr>
        <w:t xml:space="preserve"> </w:t>
      </w:r>
      <w:r w:rsidR="00364DA8" w:rsidRPr="00A664B5">
        <w:rPr>
          <w:rFonts w:ascii="Century Schoolbook" w:hAnsi="Century Schoolbook"/>
          <w:sz w:val="24"/>
          <w:szCs w:val="24"/>
        </w:rPr>
        <w:t>CPRC 154.002</w:t>
      </w:r>
      <w:r w:rsidR="00364DA8">
        <w:rPr>
          <w:rFonts w:ascii="Century Schoolbook" w:hAnsi="Century Schoolbook"/>
          <w:i/>
          <w:iCs/>
          <w:sz w:val="24"/>
          <w:szCs w:val="24"/>
        </w:rPr>
        <w:t>.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364DA8">
        <w:rPr>
          <w:rFonts w:ascii="Century Schoolbook" w:hAnsi="Century Schoolbook"/>
          <w:sz w:val="24"/>
          <w:szCs w:val="24"/>
        </w:rPr>
        <w:t>“I</w:t>
      </w:r>
      <w:r w:rsidR="00364DA8" w:rsidRPr="00364DA8">
        <w:rPr>
          <w:rFonts w:ascii="Century Schoolbook" w:hAnsi="Century Schoolbook"/>
          <w:sz w:val="24"/>
          <w:szCs w:val="24"/>
        </w:rPr>
        <w:t xml:space="preserve">t is the responsibility of all trial and appellate courts and their court administrators to carry out </w:t>
      </w:r>
      <w:r w:rsidR="00364DA8">
        <w:rPr>
          <w:rFonts w:ascii="Century Schoolbook" w:hAnsi="Century Schoolbook"/>
          <w:sz w:val="24"/>
          <w:szCs w:val="24"/>
        </w:rPr>
        <w:t>[</w:t>
      </w:r>
      <w:r w:rsidR="00364DA8" w:rsidRPr="00364DA8">
        <w:rPr>
          <w:rFonts w:ascii="Century Schoolbook" w:hAnsi="Century Schoolbook"/>
          <w:sz w:val="24"/>
          <w:szCs w:val="24"/>
        </w:rPr>
        <w:t>th</w:t>
      </w:r>
      <w:r w:rsidR="00364DA8">
        <w:rPr>
          <w:rFonts w:ascii="Century Schoolbook" w:hAnsi="Century Schoolbook"/>
          <w:sz w:val="24"/>
          <w:szCs w:val="24"/>
        </w:rPr>
        <w:t>is</w:t>
      </w:r>
      <w:r w:rsidR="00364DA8" w:rsidRPr="00364DA8">
        <w:rPr>
          <w:rFonts w:ascii="Century Schoolbook" w:hAnsi="Century Schoolbook"/>
          <w:sz w:val="24"/>
          <w:szCs w:val="24"/>
        </w:rPr>
        <w:t xml:space="preserve"> policy</w:t>
      </w:r>
      <w:r w:rsidR="00364DA8">
        <w:rPr>
          <w:rFonts w:ascii="Century Schoolbook" w:hAnsi="Century Schoolbook"/>
          <w:sz w:val="24"/>
          <w:szCs w:val="24"/>
        </w:rPr>
        <w:t xml:space="preserve">].” CPRC 154.003. </w:t>
      </w:r>
    </w:p>
    <w:p w14:paraId="5544880F" w14:textId="156DDE6A" w:rsidR="0012466D" w:rsidRPr="0012466D" w:rsidRDefault="0012466D" w:rsidP="005B370C">
      <w:pPr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</w:t>
      </w:r>
      <w:r w:rsidR="008723B0">
        <w:rPr>
          <w:rFonts w:ascii="Century Schoolbook" w:hAnsi="Century Schoolbook"/>
          <w:sz w:val="24"/>
          <w:szCs w:val="24"/>
        </w:rPr>
        <w:t>o that end, T</w:t>
      </w:r>
      <w:r>
        <w:rPr>
          <w:rFonts w:ascii="Century Schoolbook" w:hAnsi="Century Schoolbook"/>
          <w:sz w:val="24"/>
          <w:szCs w:val="24"/>
        </w:rPr>
        <w:t xml:space="preserve">exas law provides </w:t>
      </w:r>
      <w:r w:rsidR="008723B0">
        <w:rPr>
          <w:rFonts w:ascii="Century Schoolbook" w:hAnsi="Century Schoolbook"/>
          <w:sz w:val="24"/>
          <w:szCs w:val="24"/>
        </w:rPr>
        <w:t>several</w:t>
      </w:r>
      <w:r w:rsidR="008C2D00">
        <w:rPr>
          <w:rFonts w:ascii="Century Schoolbook" w:hAnsi="Century Schoolbook"/>
          <w:sz w:val="24"/>
          <w:szCs w:val="24"/>
        </w:rPr>
        <w:t xml:space="preserve"> </w:t>
      </w:r>
      <w:r w:rsidR="008723B0">
        <w:rPr>
          <w:rFonts w:ascii="Century Schoolbook" w:hAnsi="Century Schoolbook"/>
          <w:sz w:val="24"/>
          <w:szCs w:val="24"/>
        </w:rPr>
        <w:t>“alternative methods of dispute resolution”</w:t>
      </w:r>
      <w:r w:rsidR="008C2D00">
        <w:rPr>
          <w:rFonts w:ascii="Century Schoolbook" w:hAnsi="Century Schoolbook"/>
          <w:sz w:val="24"/>
          <w:szCs w:val="24"/>
        </w:rPr>
        <w:t xml:space="preserve"> that lead to disposition with the assistance of independent neutral third-parties</w:t>
      </w:r>
      <w:r w:rsidR="00A15306">
        <w:rPr>
          <w:rFonts w:ascii="Century Schoolbook" w:hAnsi="Century Schoolbook"/>
          <w:sz w:val="24"/>
          <w:szCs w:val="24"/>
        </w:rPr>
        <w:t xml:space="preserve"> outside of the traditional courtroom</w:t>
      </w:r>
      <w:r w:rsidR="008C2D00">
        <w:rPr>
          <w:rFonts w:ascii="Century Schoolbook" w:hAnsi="Century Schoolbook"/>
          <w:sz w:val="24"/>
          <w:szCs w:val="24"/>
        </w:rPr>
        <w:t>,</w:t>
      </w:r>
      <w:r w:rsidR="00554597">
        <w:rPr>
          <w:rFonts w:ascii="Century Schoolbook" w:hAnsi="Century Schoolbook"/>
          <w:sz w:val="24"/>
          <w:szCs w:val="24"/>
        </w:rPr>
        <w:t xml:space="preserve"> including mediation, arbitration, mini-trial, and trial by special judge.</w:t>
      </w:r>
      <w:r w:rsidRPr="0012466D">
        <w:rPr>
          <w:rFonts w:ascii="Century Schoolbook" w:hAnsi="Century Schoolbook"/>
          <w:sz w:val="24"/>
          <w:szCs w:val="24"/>
        </w:rPr>
        <w:t xml:space="preserve"> </w:t>
      </w:r>
      <w:r w:rsidR="00554597" w:rsidRPr="00554597">
        <w:rPr>
          <w:rFonts w:ascii="Century Schoolbook" w:hAnsi="Century Schoolbook"/>
          <w:i/>
          <w:iCs/>
          <w:sz w:val="24"/>
          <w:szCs w:val="24"/>
        </w:rPr>
        <w:t>See</w:t>
      </w:r>
      <w:r w:rsidR="00554597">
        <w:rPr>
          <w:rFonts w:ascii="Century Schoolbook" w:hAnsi="Century Schoolbook"/>
          <w:sz w:val="24"/>
          <w:szCs w:val="24"/>
        </w:rPr>
        <w:t xml:space="preserve"> </w:t>
      </w:r>
      <w:r w:rsidR="008723B0">
        <w:rPr>
          <w:rFonts w:ascii="Century Schoolbook" w:hAnsi="Century Schoolbook"/>
          <w:sz w:val="24"/>
          <w:szCs w:val="24"/>
        </w:rPr>
        <w:t>Title VII</w:t>
      </w:r>
      <w:r w:rsidR="00554597">
        <w:rPr>
          <w:rFonts w:ascii="Century Schoolbook" w:hAnsi="Century Schoolbook"/>
          <w:sz w:val="24"/>
          <w:szCs w:val="24"/>
        </w:rPr>
        <w:t>,</w:t>
      </w:r>
      <w:r w:rsidR="008723B0">
        <w:rPr>
          <w:rFonts w:ascii="Century Schoolbook" w:hAnsi="Century Schoolbook"/>
          <w:sz w:val="24"/>
          <w:szCs w:val="24"/>
        </w:rPr>
        <w:t xml:space="preserve"> </w:t>
      </w:r>
      <w:r w:rsidRPr="0012466D">
        <w:rPr>
          <w:rFonts w:ascii="Century Schoolbook" w:hAnsi="Century Schoolbook"/>
          <w:sz w:val="24"/>
          <w:szCs w:val="24"/>
        </w:rPr>
        <w:t>Texas Civil Practice and Remedies Code</w:t>
      </w:r>
      <w:r w:rsidR="00554597">
        <w:rPr>
          <w:rFonts w:ascii="Century Schoolbook" w:hAnsi="Century Schoolbook"/>
          <w:sz w:val="24"/>
          <w:szCs w:val="24"/>
        </w:rPr>
        <w:t>.</w:t>
      </w:r>
      <w:r w:rsidR="005D7550">
        <w:rPr>
          <w:rFonts w:ascii="Century Schoolbook" w:hAnsi="Century Schoolbook"/>
          <w:sz w:val="24"/>
          <w:szCs w:val="24"/>
        </w:rPr>
        <w:t xml:space="preserve"> Chapter 151 of the CPRC </w:t>
      </w:r>
      <w:r w:rsidRPr="0012466D">
        <w:rPr>
          <w:rFonts w:ascii="Century Schoolbook" w:hAnsi="Century Schoolbook"/>
          <w:sz w:val="24"/>
          <w:szCs w:val="24"/>
        </w:rPr>
        <w:t xml:space="preserve">provides a statutory mechanism for </w:t>
      </w:r>
      <w:r w:rsidR="008C2D00">
        <w:rPr>
          <w:rFonts w:ascii="Century Schoolbook" w:hAnsi="Century Schoolbook"/>
          <w:sz w:val="24"/>
          <w:szCs w:val="24"/>
        </w:rPr>
        <w:t>agreed referral</w:t>
      </w:r>
      <w:r w:rsidRPr="0012466D">
        <w:rPr>
          <w:rFonts w:ascii="Century Schoolbook" w:hAnsi="Century Schoolbook"/>
          <w:sz w:val="24"/>
          <w:szCs w:val="24"/>
        </w:rPr>
        <w:t xml:space="preserve"> to a qualified special judge </w:t>
      </w:r>
      <w:r w:rsidR="005D7550">
        <w:rPr>
          <w:rFonts w:ascii="Century Schoolbook" w:hAnsi="Century Schoolbook"/>
          <w:sz w:val="24"/>
          <w:szCs w:val="24"/>
        </w:rPr>
        <w:t>for resolution of individual issues or entire cases in a nonpublic setting</w:t>
      </w:r>
      <w:r w:rsidRPr="0012466D">
        <w:rPr>
          <w:rFonts w:ascii="Century Schoolbook" w:hAnsi="Century Schoolbook"/>
          <w:sz w:val="24"/>
          <w:szCs w:val="24"/>
        </w:rPr>
        <w:t xml:space="preserve">. This process is designed to facilitate </w:t>
      </w:r>
      <w:r w:rsidR="00A664B5">
        <w:rPr>
          <w:rFonts w:ascii="Century Schoolbook" w:hAnsi="Century Schoolbook"/>
          <w:sz w:val="24"/>
          <w:szCs w:val="24"/>
        </w:rPr>
        <w:t>quick</w:t>
      </w:r>
      <w:r w:rsidRPr="0012466D">
        <w:rPr>
          <w:rFonts w:ascii="Century Schoolbook" w:hAnsi="Century Schoolbook"/>
          <w:sz w:val="24"/>
          <w:szCs w:val="24"/>
        </w:rPr>
        <w:t xml:space="preserve"> resolution of matters in a manner that is efficient, fair, and consistent with the parties' agreements</w:t>
      </w:r>
      <w:r w:rsidR="005D7550">
        <w:rPr>
          <w:rFonts w:ascii="Century Schoolbook" w:hAnsi="Century Schoolbook"/>
          <w:sz w:val="24"/>
          <w:szCs w:val="24"/>
        </w:rPr>
        <w:t xml:space="preserve">, </w:t>
      </w:r>
      <w:r w:rsidR="00972D59">
        <w:rPr>
          <w:rFonts w:ascii="Century Schoolbook" w:hAnsi="Century Schoolbook"/>
          <w:sz w:val="24"/>
          <w:szCs w:val="24"/>
        </w:rPr>
        <w:t xml:space="preserve">while </w:t>
      </w:r>
      <w:r w:rsidR="005D7550">
        <w:rPr>
          <w:rFonts w:ascii="Century Schoolbook" w:hAnsi="Century Schoolbook"/>
          <w:sz w:val="24"/>
          <w:szCs w:val="24"/>
        </w:rPr>
        <w:t xml:space="preserve">protecting the privacy of the </w:t>
      </w:r>
      <w:r w:rsidR="00997972">
        <w:rPr>
          <w:rFonts w:ascii="Century Schoolbook" w:hAnsi="Century Schoolbook"/>
          <w:sz w:val="24"/>
          <w:szCs w:val="24"/>
        </w:rPr>
        <w:t>litigants</w:t>
      </w:r>
      <w:r w:rsidR="00972D59">
        <w:rPr>
          <w:rFonts w:ascii="Century Schoolbook" w:hAnsi="Century Schoolbook"/>
          <w:sz w:val="24"/>
          <w:szCs w:val="24"/>
        </w:rPr>
        <w:t xml:space="preserve"> and</w:t>
      </w:r>
      <w:r w:rsidRPr="0012466D">
        <w:rPr>
          <w:rFonts w:ascii="Century Schoolbook" w:hAnsi="Century Schoolbook"/>
          <w:sz w:val="24"/>
          <w:szCs w:val="24"/>
        </w:rPr>
        <w:t xml:space="preserve"> preserving the jurisdiction and authority of the referring court.</w:t>
      </w:r>
    </w:p>
    <w:p w14:paraId="4124930C" w14:textId="2DF47F38" w:rsidR="0012466D" w:rsidRPr="0012466D" w:rsidRDefault="0012466D" w:rsidP="0012466D">
      <w:pPr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12466D">
        <w:rPr>
          <w:rFonts w:ascii="Century Schoolbook" w:hAnsi="Century Schoolbook"/>
          <w:sz w:val="24"/>
          <w:szCs w:val="24"/>
        </w:rPr>
        <w:t xml:space="preserve">This </w:t>
      </w:r>
      <w:r w:rsidR="00997972">
        <w:rPr>
          <w:rFonts w:ascii="Century Schoolbook" w:hAnsi="Century Schoolbook"/>
          <w:sz w:val="24"/>
          <w:szCs w:val="24"/>
        </w:rPr>
        <w:t>M</w:t>
      </w:r>
      <w:r w:rsidRPr="0012466D">
        <w:rPr>
          <w:rFonts w:ascii="Century Schoolbook" w:hAnsi="Century Schoolbook"/>
          <w:sz w:val="24"/>
          <w:szCs w:val="24"/>
        </w:rPr>
        <w:t xml:space="preserve">otion arises from the </w:t>
      </w:r>
      <w:r w:rsidR="00510540">
        <w:rPr>
          <w:rFonts w:ascii="Century Schoolbook" w:hAnsi="Century Schoolbook"/>
          <w:sz w:val="24"/>
          <w:szCs w:val="24"/>
        </w:rPr>
        <w:t>p</w:t>
      </w:r>
      <w:r w:rsidRPr="0012466D">
        <w:rPr>
          <w:rFonts w:ascii="Century Schoolbook" w:hAnsi="Century Schoolbook"/>
          <w:sz w:val="24"/>
          <w:szCs w:val="24"/>
        </w:rPr>
        <w:t xml:space="preserve">arties’ shared desire to expedite </w:t>
      </w:r>
      <w:r w:rsidR="00997972">
        <w:rPr>
          <w:rFonts w:ascii="Century Schoolbook" w:hAnsi="Century Schoolbook"/>
          <w:sz w:val="24"/>
          <w:szCs w:val="24"/>
        </w:rPr>
        <w:t xml:space="preserve">private </w:t>
      </w:r>
      <w:r w:rsidRPr="0012466D">
        <w:rPr>
          <w:rFonts w:ascii="Century Schoolbook" w:hAnsi="Century Schoolbook"/>
          <w:sz w:val="24"/>
          <w:szCs w:val="24"/>
        </w:rPr>
        <w:t xml:space="preserve">resolution of the </w:t>
      </w:r>
      <w:r w:rsidR="00510540">
        <w:rPr>
          <w:rFonts w:ascii="Century Schoolbook" w:hAnsi="Century Schoolbook"/>
          <w:sz w:val="24"/>
          <w:szCs w:val="24"/>
        </w:rPr>
        <w:t>case</w:t>
      </w:r>
      <w:r w:rsidR="00997972">
        <w:rPr>
          <w:rFonts w:ascii="Century Schoolbook" w:hAnsi="Century Schoolbook"/>
          <w:sz w:val="24"/>
          <w:szCs w:val="24"/>
        </w:rPr>
        <w:t xml:space="preserve"> outside of the public eye,</w:t>
      </w:r>
      <w:r w:rsidRPr="0012466D">
        <w:rPr>
          <w:rFonts w:ascii="Century Schoolbook" w:hAnsi="Century Schoolbook"/>
          <w:sz w:val="24"/>
          <w:szCs w:val="24"/>
        </w:rPr>
        <w:t xml:space="preserve"> and</w:t>
      </w:r>
      <w:r w:rsidR="00972D59">
        <w:rPr>
          <w:rFonts w:ascii="Century Schoolbook" w:hAnsi="Century Schoolbook"/>
          <w:sz w:val="24"/>
          <w:szCs w:val="24"/>
        </w:rPr>
        <w:t xml:space="preserve"> </w:t>
      </w:r>
      <w:r w:rsidRPr="0012466D">
        <w:rPr>
          <w:rFonts w:ascii="Century Schoolbook" w:hAnsi="Century Schoolbook"/>
          <w:sz w:val="24"/>
          <w:szCs w:val="24"/>
        </w:rPr>
        <w:t xml:space="preserve">accommodate scheduling </w:t>
      </w:r>
      <w:r w:rsidRPr="0012466D">
        <w:rPr>
          <w:rFonts w:ascii="Century Schoolbook" w:hAnsi="Century Schoolbook"/>
          <w:sz w:val="24"/>
          <w:szCs w:val="24"/>
        </w:rPr>
        <w:lastRenderedPageBreak/>
        <w:t xml:space="preserve">and logistical challenges </w:t>
      </w:r>
      <w:r w:rsidR="00972D59">
        <w:rPr>
          <w:rFonts w:ascii="Century Schoolbook" w:hAnsi="Century Schoolbook"/>
          <w:sz w:val="24"/>
          <w:szCs w:val="24"/>
        </w:rPr>
        <w:t>in the</w:t>
      </w:r>
      <w:r w:rsidRPr="0012466D">
        <w:rPr>
          <w:rFonts w:ascii="Century Schoolbook" w:hAnsi="Century Schoolbook"/>
          <w:sz w:val="24"/>
          <w:szCs w:val="24"/>
        </w:rPr>
        <w:t xml:space="preserve"> case</w:t>
      </w:r>
      <w:r w:rsidR="005D7550">
        <w:rPr>
          <w:rFonts w:ascii="Century Schoolbook" w:hAnsi="Century Schoolbook"/>
          <w:sz w:val="24"/>
          <w:szCs w:val="24"/>
        </w:rPr>
        <w:t xml:space="preserve">, without </w:t>
      </w:r>
      <w:r w:rsidR="00510540">
        <w:rPr>
          <w:rFonts w:ascii="Century Schoolbook" w:hAnsi="Century Schoolbook"/>
          <w:sz w:val="24"/>
          <w:szCs w:val="24"/>
        </w:rPr>
        <w:t>over</w:t>
      </w:r>
      <w:r w:rsidR="005D7550">
        <w:rPr>
          <w:rFonts w:ascii="Century Schoolbook" w:hAnsi="Century Schoolbook"/>
          <w:sz w:val="24"/>
          <w:szCs w:val="24"/>
        </w:rPr>
        <w:t>burdening the Court’s busy docket and trial schedule</w:t>
      </w:r>
      <w:r w:rsidRPr="0012466D">
        <w:rPr>
          <w:rFonts w:ascii="Century Schoolbook" w:hAnsi="Century Schoolbook"/>
          <w:sz w:val="24"/>
          <w:szCs w:val="24"/>
        </w:rPr>
        <w:t>.</w:t>
      </w:r>
    </w:p>
    <w:p w14:paraId="3FE6F469" w14:textId="1275D318" w:rsidR="00C806B4" w:rsidRDefault="0012466D" w:rsidP="0012466D">
      <w:pPr>
        <w:rPr>
          <w:rFonts w:ascii="Century Schoolbook" w:hAnsi="Century Schoolbook"/>
          <w:b/>
          <w:bCs/>
          <w:sz w:val="24"/>
          <w:szCs w:val="24"/>
        </w:rPr>
      </w:pPr>
      <w:r w:rsidRPr="0012466D">
        <w:rPr>
          <w:rFonts w:ascii="Century Schoolbook" w:hAnsi="Century Schoolbook"/>
          <w:b/>
          <w:bCs/>
          <w:sz w:val="24"/>
          <w:szCs w:val="24"/>
        </w:rPr>
        <w:t xml:space="preserve">II. </w:t>
      </w:r>
      <w:r w:rsidR="00BB354D">
        <w:rPr>
          <w:rFonts w:ascii="Century Schoolbook" w:hAnsi="Century Schoolbook"/>
          <w:b/>
          <w:bCs/>
          <w:sz w:val="24"/>
          <w:szCs w:val="24"/>
        </w:rPr>
        <w:tab/>
      </w:r>
      <w:r w:rsidR="00997972">
        <w:rPr>
          <w:rFonts w:ascii="Century Schoolbook" w:hAnsi="Century Schoolbook"/>
          <w:b/>
          <w:bCs/>
          <w:sz w:val="24"/>
          <w:szCs w:val="24"/>
        </w:rPr>
        <w:t xml:space="preserve">STATUTORY </w:t>
      </w:r>
      <w:r w:rsidR="00C806B4">
        <w:rPr>
          <w:rFonts w:ascii="Century Schoolbook" w:hAnsi="Century Schoolbook"/>
          <w:b/>
          <w:bCs/>
          <w:sz w:val="24"/>
          <w:szCs w:val="24"/>
        </w:rPr>
        <w:t>QUALIFICATIONS OF SPECIAL JUDGE</w:t>
      </w:r>
    </w:p>
    <w:p w14:paraId="30C93FD6" w14:textId="79C89DAB" w:rsidR="00C806B4" w:rsidRPr="00C806B4" w:rsidRDefault="00997972" w:rsidP="00C806B4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 S</w:t>
      </w:r>
      <w:r w:rsidR="00C806B4" w:rsidRPr="00C806B4">
        <w:rPr>
          <w:rFonts w:ascii="Century Schoolbook" w:hAnsi="Century Schoolbook"/>
          <w:sz w:val="24"/>
          <w:szCs w:val="24"/>
        </w:rPr>
        <w:t xml:space="preserve">pecial </w:t>
      </w:r>
      <w:r>
        <w:rPr>
          <w:rFonts w:ascii="Century Schoolbook" w:hAnsi="Century Schoolbook"/>
          <w:sz w:val="24"/>
          <w:szCs w:val="24"/>
        </w:rPr>
        <w:t>J</w:t>
      </w:r>
      <w:r w:rsidR="00C806B4" w:rsidRPr="00C806B4">
        <w:rPr>
          <w:rFonts w:ascii="Century Schoolbook" w:hAnsi="Century Schoolbook"/>
          <w:sz w:val="24"/>
          <w:szCs w:val="24"/>
        </w:rPr>
        <w:t>udge must be a retired or former district court, statutory county court, statutory probate court, or appellate court judge who</w:t>
      </w:r>
      <w:r w:rsidR="00C806B4">
        <w:rPr>
          <w:rFonts w:ascii="Century Schoolbook" w:hAnsi="Century Schoolbook"/>
          <w:sz w:val="24"/>
          <w:szCs w:val="24"/>
        </w:rPr>
        <w:t xml:space="preserve"> HAS</w:t>
      </w:r>
      <w:r w:rsidR="00C806B4" w:rsidRPr="00C806B4">
        <w:rPr>
          <w:rFonts w:ascii="Century Schoolbook" w:hAnsi="Century Schoolbook"/>
          <w:sz w:val="24"/>
          <w:szCs w:val="24"/>
        </w:rPr>
        <w:t>:</w:t>
      </w:r>
    </w:p>
    <w:p w14:paraId="33A2D22E" w14:textId="4C0075DC" w:rsidR="00C806B4" w:rsidRPr="00C806B4" w:rsidRDefault="00C806B4" w:rsidP="00C806B4">
      <w:pPr>
        <w:pStyle w:val="ListParagraph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C806B4">
        <w:rPr>
          <w:rFonts w:ascii="Century Schoolbook" w:hAnsi="Century Schoolbook"/>
          <w:sz w:val="24"/>
          <w:szCs w:val="24"/>
        </w:rPr>
        <w:t>served as a judge for at least four years in a district court, statutory county court, statutory probate court, or appellate court;</w:t>
      </w:r>
    </w:p>
    <w:p w14:paraId="0865F599" w14:textId="77486FCD" w:rsidR="00C806B4" w:rsidRPr="00C806B4" w:rsidRDefault="00C806B4" w:rsidP="00C806B4">
      <w:pPr>
        <w:pStyle w:val="ListParagraph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C806B4">
        <w:rPr>
          <w:rFonts w:ascii="Century Schoolbook" w:hAnsi="Century Schoolbook"/>
          <w:sz w:val="24"/>
          <w:szCs w:val="24"/>
        </w:rPr>
        <w:t>developed substantial experience in the judge's area of specialty;</w:t>
      </w:r>
    </w:p>
    <w:p w14:paraId="4A8B9B9D" w14:textId="5ED4EDDF" w:rsidR="00C806B4" w:rsidRPr="00C806B4" w:rsidRDefault="00C806B4" w:rsidP="00C806B4">
      <w:pPr>
        <w:pStyle w:val="ListParagraph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C806B4">
        <w:rPr>
          <w:rFonts w:ascii="Century Schoolbook" w:hAnsi="Century Schoolbook"/>
          <w:sz w:val="24"/>
          <w:szCs w:val="24"/>
        </w:rPr>
        <w:t>not been removed from office or resigned while under investigation for discipline or removal; and</w:t>
      </w:r>
    </w:p>
    <w:p w14:paraId="6C631345" w14:textId="7531523E" w:rsidR="00C806B4" w:rsidRPr="00C806B4" w:rsidRDefault="00C806B4" w:rsidP="00C806B4">
      <w:pPr>
        <w:pStyle w:val="ListParagraph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completed </w:t>
      </w:r>
      <w:r w:rsidRPr="00C806B4">
        <w:rPr>
          <w:rFonts w:ascii="Century Schoolbook" w:hAnsi="Century Schoolbook"/>
          <w:sz w:val="24"/>
          <w:szCs w:val="24"/>
        </w:rPr>
        <w:t>at least five days of continuing legal education in courses approved by the state bar or the supreme court</w:t>
      </w:r>
      <w:r>
        <w:rPr>
          <w:rFonts w:ascii="Century Schoolbook" w:hAnsi="Century Schoolbook"/>
          <w:sz w:val="24"/>
          <w:szCs w:val="24"/>
        </w:rPr>
        <w:t xml:space="preserve"> over the past year</w:t>
      </w:r>
      <w:r w:rsidRPr="00C806B4">
        <w:rPr>
          <w:rFonts w:ascii="Century Schoolbook" w:hAnsi="Century Schoolbook"/>
          <w:sz w:val="24"/>
          <w:szCs w:val="24"/>
        </w:rPr>
        <w:t>.</w:t>
      </w:r>
    </w:p>
    <w:p w14:paraId="332A06E8" w14:textId="2CE628F7" w:rsidR="0012466D" w:rsidRPr="0012466D" w:rsidRDefault="00BB354D" w:rsidP="0012466D">
      <w:pPr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III.</w:t>
      </w:r>
      <w:r>
        <w:rPr>
          <w:rFonts w:ascii="Century Schoolbook" w:hAnsi="Century Schoolbook"/>
          <w:b/>
          <w:bCs/>
          <w:sz w:val="24"/>
          <w:szCs w:val="24"/>
        </w:rPr>
        <w:tab/>
      </w:r>
      <w:r w:rsidR="0012466D" w:rsidRPr="0012466D">
        <w:rPr>
          <w:rFonts w:ascii="Century Schoolbook" w:hAnsi="Century Schoolbook"/>
          <w:b/>
          <w:bCs/>
          <w:sz w:val="24"/>
          <w:szCs w:val="24"/>
        </w:rPr>
        <w:t>BASIS FOR REFERRAL</w:t>
      </w:r>
    </w:p>
    <w:p w14:paraId="6E57BA0F" w14:textId="6D875A07" w:rsidR="0012466D" w:rsidRPr="0012466D" w:rsidRDefault="0012466D" w:rsidP="005B370C">
      <w:pPr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12466D">
        <w:rPr>
          <w:rFonts w:ascii="Century Schoolbook" w:hAnsi="Century Schoolbook"/>
          <w:sz w:val="24"/>
          <w:szCs w:val="24"/>
        </w:rPr>
        <w:t>Under Section 151.001 of the Texas Civil Practice and Remedies Code, a district court may</w:t>
      </w:r>
      <w:r w:rsidR="005B370C">
        <w:rPr>
          <w:rFonts w:ascii="Century Schoolbook" w:hAnsi="Century Schoolbook"/>
          <w:sz w:val="24"/>
          <w:szCs w:val="24"/>
        </w:rPr>
        <w:t xml:space="preserve"> upon request</w:t>
      </w:r>
      <w:r w:rsidRPr="0012466D">
        <w:rPr>
          <w:rFonts w:ascii="Century Schoolbook" w:hAnsi="Century Schoolbook"/>
          <w:sz w:val="24"/>
          <w:szCs w:val="24"/>
        </w:rPr>
        <w:t xml:space="preserve"> order referral of any or all issues in a case to a special judge, provided that the parties agree to the referral and comply with the requirements of the statute.</w:t>
      </w:r>
      <w:r w:rsidR="00972D59">
        <w:rPr>
          <w:rFonts w:ascii="Century Schoolbook" w:hAnsi="Century Schoolbook"/>
          <w:sz w:val="24"/>
          <w:szCs w:val="24"/>
        </w:rPr>
        <w:t xml:space="preserve"> </w:t>
      </w:r>
    </w:p>
    <w:p w14:paraId="3689D21A" w14:textId="373336A5" w:rsidR="0012466D" w:rsidRPr="0012466D" w:rsidRDefault="0012466D" w:rsidP="0012466D">
      <w:pPr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12466D">
        <w:rPr>
          <w:rFonts w:ascii="Century Schoolbook" w:hAnsi="Century Schoolbook"/>
          <w:sz w:val="24"/>
          <w:szCs w:val="24"/>
        </w:rPr>
        <w:t xml:space="preserve">The </w:t>
      </w:r>
      <w:r w:rsidR="00510540">
        <w:rPr>
          <w:rFonts w:ascii="Century Schoolbook" w:hAnsi="Century Schoolbook"/>
          <w:sz w:val="24"/>
          <w:szCs w:val="24"/>
        </w:rPr>
        <w:t>p</w:t>
      </w:r>
      <w:r w:rsidRPr="0012466D">
        <w:rPr>
          <w:rFonts w:ascii="Century Schoolbook" w:hAnsi="Century Schoolbook"/>
          <w:sz w:val="24"/>
          <w:szCs w:val="24"/>
        </w:rPr>
        <w:t xml:space="preserve">arties </w:t>
      </w:r>
      <w:r w:rsidR="005B370C">
        <w:rPr>
          <w:rFonts w:ascii="Century Schoolbook" w:hAnsi="Century Schoolbook"/>
          <w:sz w:val="24"/>
          <w:szCs w:val="24"/>
        </w:rPr>
        <w:t>in this case agree</w:t>
      </w:r>
      <w:r w:rsidRPr="0012466D">
        <w:rPr>
          <w:rFonts w:ascii="Century Schoolbook" w:hAnsi="Century Schoolbook"/>
          <w:sz w:val="24"/>
          <w:szCs w:val="24"/>
        </w:rPr>
        <w:t xml:space="preserve"> to refer </w:t>
      </w:r>
      <w:r w:rsidR="009B328A">
        <w:rPr>
          <w:rFonts w:ascii="Century Schoolbook" w:hAnsi="Century Schoolbook"/>
          <w:sz w:val="24"/>
          <w:szCs w:val="24"/>
        </w:rPr>
        <w:t xml:space="preserve">[the </w:t>
      </w:r>
      <w:r w:rsidRPr="0012466D">
        <w:rPr>
          <w:rFonts w:ascii="Century Schoolbook" w:hAnsi="Century Schoolbook"/>
          <w:sz w:val="24"/>
          <w:szCs w:val="24"/>
        </w:rPr>
        <w:t xml:space="preserve">specific issues or all issues in this case] to </w:t>
      </w:r>
      <w:r w:rsidR="009B328A">
        <w:rPr>
          <w:rFonts w:ascii="Century Schoolbook" w:hAnsi="Century Schoolbook"/>
          <w:sz w:val="24"/>
          <w:szCs w:val="24"/>
        </w:rPr>
        <w:t>Judge Roy B. Ferguson</w:t>
      </w:r>
      <w:r w:rsidRPr="0012466D">
        <w:rPr>
          <w:rFonts w:ascii="Century Schoolbook" w:hAnsi="Century Schoolbook"/>
          <w:sz w:val="24"/>
          <w:szCs w:val="24"/>
        </w:rPr>
        <w:t xml:space="preserve">, a </w:t>
      </w:r>
      <w:r w:rsidR="009B328A">
        <w:rPr>
          <w:rFonts w:ascii="Century Schoolbook" w:hAnsi="Century Schoolbook"/>
          <w:sz w:val="24"/>
          <w:szCs w:val="24"/>
        </w:rPr>
        <w:t xml:space="preserve">former district </w:t>
      </w:r>
      <w:r w:rsidRPr="0012466D">
        <w:rPr>
          <w:rFonts w:ascii="Century Schoolbook" w:hAnsi="Century Schoolbook"/>
          <w:sz w:val="24"/>
          <w:szCs w:val="24"/>
        </w:rPr>
        <w:t xml:space="preserve">judge who </w:t>
      </w:r>
      <w:r w:rsidR="00510540">
        <w:rPr>
          <w:rFonts w:ascii="Century Schoolbook" w:hAnsi="Century Schoolbook"/>
          <w:sz w:val="24"/>
          <w:szCs w:val="24"/>
        </w:rPr>
        <w:t>exceeds</w:t>
      </w:r>
      <w:r w:rsidRPr="0012466D">
        <w:rPr>
          <w:rFonts w:ascii="Century Schoolbook" w:hAnsi="Century Schoolbook"/>
          <w:sz w:val="24"/>
          <w:szCs w:val="24"/>
        </w:rPr>
        <w:t xml:space="preserve"> the </w:t>
      </w:r>
      <w:r w:rsidR="00510540">
        <w:rPr>
          <w:rFonts w:ascii="Century Schoolbook" w:hAnsi="Century Schoolbook"/>
          <w:sz w:val="24"/>
          <w:szCs w:val="24"/>
        </w:rPr>
        <w:t xml:space="preserve">minimum </w:t>
      </w:r>
      <w:r w:rsidRPr="0012466D">
        <w:rPr>
          <w:rFonts w:ascii="Century Schoolbook" w:hAnsi="Century Schoolbook"/>
          <w:sz w:val="24"/>
          <w:szCs w:val="24"/>
        </w:rPr>
        <w:t xml:space="preserve">qualifications set forth in Section 151.003 of the Texas Civil Practice and Remedies Code. </w:t>
      </w:r>
      <w:r w:rsidR="005B370C">
        <w:rPr>
          <w:rFonts w:ascii="Century Schoolbook" w:hAnsi="Century Schoolbook"/>
          <w:sz w:val="24"/>
          <w:szCs w:val="24"/>
        </w:rPr>
        <w:t>Judge Ferguson</w:t>
      </w:r>
      <w:r w:rsidRPr="0012466D">
        <w:rPr>
          <w:rFonts w:ascii="Century Schoolbook" w:hAnsi="Century Schoolbook"/>
          <w:sz w:val="24"/>
          <w:szCs w:val="24"/>
        </w:rPr>
        <w:t xml:space="preserve"> has substantial experience in </w:t>
      </w:r>
      <w:r w:rsidR="009B328A">
        <w:rPr>
          <w:rFonts w:ascii="Century Schoolbook" w:hAnsi="Century Schoolbook"/>
          <w:sz w:val="24"/>
          <w:szCs w:val="24"/>
        </w:rPr>
        <w:t xml:space="preserve">family law </w:t>
      </w:r>
      <w:r w:rsidRPr="0012466D">
        <w:rPr>
          <w:rFonts w:ascii="Century Schoolbook" w:hAnsi="Century Schoolbook"/>
          <w:sz w:val="24"/>
          <w:szCs w:val="24"/>
        </w:rPr>
        <w:t>and has agreed to serve in this matter.</w:t>
      </w:r>
    </w:p>
    <w:p w14:paraId="604E04A3" w14:textId="5A06988C" w:rsidR="0012466D" w:rsidRPr="005D70E8" w:rsidRDefault="009B328A" w:rsidP="005D70E8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5D70E8">
        <w:rPr>
          <w:rFonts w:ascii="Century Schoolbook" w:hAnsi="Century Schoolbook"/>
          <w:sz w:val="24"/>
          <w:szCs w:val="24"/>
        </w:rPr>
        <w:t xml:space="preserve">[INSERT IF FINAL TRIAL IS ALSO REFERRED] </w:t>
      </w:r>
      <w:r w:rsidR="0012466D" w:rsidRPr="005D70E8">
        <w:rPr>
          <w:rFonts w:ascii="Century Schoolbook" w:hAnsi="Century Schoolbook"/>
          <w:sz w:val="24"/>
          <w:szCs w:val="24"/>
        </w:rPr>
        <w:t xml:space="preserve">The </w:t>
      </w:r>
      <w:r w:rsidR="00510540">
        <w:rPr>
          <w:rFonts w:ascii="Century Schoolbook" w:hAnsi="Century Schoolbook"/>
          <w:sz w:val="24"/>
          <w:szCs w:val="24"/>
        </w:rPr>
        <w:t>p</w:t>
      </w:r>
      <w:r w:rsidR="0012466D" w:rsidRPr="005D70E8">
        <w:rPr>
          <w:rFonts w:ascii="Century Schoolbook" w:hAnsi="Century Schoolbook"/>
          <w:sz w:val="24"/>
          <w:szCs w:val="24"/>
        </w:rPr>
        <w:t xml:space="preserve">arties further agree to waive their right to trial by jury, as required by Section 151.002, and to pay all fees and costs associated with the referral in equal shares, </w:t>
      </w:r>
      <w:r w:rsidR="005D70E8" w:rsidRPr="005D70E8">
        <w:rPr>
          <w:rFonts w:ascii="Century Schoolbook" w:hAnsi="Century Schoolbook"/>
          <w:sz w:val="24"/>
          <w:szCs w:val="24"/>
        </w:rPr>
        <w:t xml:space="preserve">which have been disclosed to and agreed by the parties. These fees and expenses shall be paid directly to the </w:t>
      </w:r>
      <w:r w:rsidR="005D70E8">
        <w:rPr>
          <w:rFonts w:ascii="Century Schoolbook" w:hAnsi="Century Schoolbook"/>
          <w:sz w:val="24"/>
          <w:szCs w:val="24"/>
        </w:rPr>
        <w:t>Sp</w:t>
      </w:r>
      <w:r w:rsidR="005D70E8" w:rsidRPr="005D70E8">
        <w:rPr>
          <w:rFonts w:ascii="Century Schoolbook" w:hAnsi="Century Schoolbook"/>
          <w:sz w:val="24"/>
          <w:szCs w:val="24"/>
        </w:rPr>
        <w:t xml:space="preserve">ecial </w:t>
      </w:r>
      <w:r w:rsidR="005D70E8">
        <w:rPr>
          <w:rFonts w:ascii="Century Schoolbook" w:hAnsi="Century Schoolbook"/>
          <w:sz w:val="24"/>
          <w:szCs w:val="24"/>
        </w:rPr>
        <w:t>J</w:t>
      </w:r>
      <w:r w:rsidR="005D70E8" w:rsidRPr="005D70E8">
        <w:rPr>
          <w:rFonts w:ascii="Century Schoolbook" w:hAnsi="Century Schoolbook"/>
          <w:sz w:val="24"/>
          <w:szCs w:val="24"/>
        </w:rPr>
        <w:t>udge in equal amounts by the parties, shall where practicable and as directed by the special judge be paid in advance, and shall be taxed as costs in this case.</w:t>
      </w:r>
    </w:p>
    <w:p w14:paraId="0426B0F9" w14:textId="0FB03657" w:rsidR="00BB354D" w:rsidRPr="0012466D" w:rsidRDefault="00BB354D" w:rsidP="00BB354D">
      <w:pPr>
        <w:rPr>
          <w:rFonts w:ascii="Century Schoolbook" w:hAnsi="Century Schoolbook"/>
          <w:b/>
          <w:bCs/>
          <w:sz w:val="24"/>
          <w:szCs w:val="24"/>
        </w:rPr>
      </w:pPr>
      <w:r w:rsidRPr="0012466D">
        <w:rPr>
          <w:rFonts w:ascii="Century Schoolbook" w:hAnsi="Century Schoolbook"/>
          <w:b/>
          <w:bCs/>
          <w:sz w:val="24"/>
          <w:szCs w:val="24"/>
        </w:rPr>
        <w:t>I</w:t>
      </w:r>
      <w:r>
        <w:rPr>
          <w:rFonts w:ascii="Century Schoolbook" w:hAnsi="Century Schoolbook"/>
          <w:b/>
          <w:bCs/>
          <w:sz w:val="24"/>
          <w:szCs w:val="24"/>
        </w:rPr>
        <w:t>V</w:t>
      </w:r>
      <w:r w:rsidRPr="0012466D">
        <w:rPr>
          <w:rFonts w:ascii="Century Schoolbook" w:hAnsi="Century Schoolbook"/>
          <w:b/>
          <w:bCs/>
          <w:sz w:val="24"/>
          <w:szCs w:val="24"/>
        </w:rPr>
        <w:t xml:space="preserve">. </w:t>
      </w:r>
      <w:r>
        <w:rPr>
          <w:rFonts w:ascii="Century Schoolbook" w:hAnsi="Century Schoolbook"/>
          <w:b/>
          <w:bCs/>
          <w:sz w:val="24"/>
          <w:szCs w:val="24"/>
        </w:rPr>
        <w:tab/>
      </w:r>
      <w:r w:rsidRPr="0012466D">
        <w:rPr>
          <w:rFonts w:ascii="Century Schoolbook" w:hAnsi="Century Schoolbook"/>
          <w:b/>
          <w:bCs/>
          <w:sz w:val="24"/>
          <w:szCs w:val="24"/>
        </w:rPr>
        <w:t>BENEFITS OF REFERRAL</w:t>
      </w:r>
    </w:p>
    <w:p w14:paraId="5B5FEC5D" w14:textId="7019F13B" w:rsidR="00BB354D" w:rsidRPr="005B370C" w:rsidRDefault="00BB354D" w:rsidP="005B370C">
      <w:pPr>
        <w:pStyle w:val="ListParagraph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 w:rsidRPr="005B370C">
        <w:rPr>
          <w:rFonts w:ascii="Century Schoolbook" w:hAnsi="Century Schoolbook"/>
          <w:sz w:val="24"/>
          <w:szCs w:val="24"/>
        </w:rPr>
        <w:t xml:space="preserve">The agreed referral will: </w:t>
      </w:r>
    </w:p>
    <w:p w14:paraId="09FB9690" w14:textId="43EDCDFF" w:rsidR="00BB354D" w:rsidRPr="005B370C" w:rsidRDefault="00BB354D" w:rsidP="005B370C">
      <w:pPr>
        <w:pStyle w:val="ListParagraph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 w:rsidRPr="005B370C">
        <w:rPr>
          <w:rFonts w:ascii="Century Schoolbook" w:hAnsi="Century Schoolbook"/>
          <w:sz w:val="24"/>
          <w:szCs w:val="24"/>
        </w:rPr>
        <w:t xml:space="preserve">Enable the </w:t>
      </w:r>
      <w:r w:rsidR="00347D55" w:rsidRPr="005B370C">
        <w:rPr>
          <w:rFonts w:ascii="Century Schoolbook" w:hAnsi="Century Schoolbook"/>
          <w:sz w:val="24"/>
          <w:szCs w:val="24"/>
        </w:rPr>
        <w:t>p</w:t>
      </w:r>
      <w:r w:rsidRPr="005B370C">
        <w:rPr>
          <w:rFonts w:ascii="Century Schoolbook" w:hAnsi="Century Schoolbook"/>
          <w:sz w:val="24"/>
          <w:szCs w:val="24"/>
        </w:rPr>
        <w:t>arties to resolve the case efficiently without impacting this Court’s docket;</w:t>
      </w:r>
    </w:p>
    <w:p w14:paraId="13CBBF92" w14:textId="77777777" w:rsidR="00BB354D" w:rsidRPr="005B370C" w:rsidRDefault="00BB354D" w:rsidP="005B370C">
      <w:pPr>
        <w:pStyle w:val="ListParagraph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 w:rsidRPr="005B370C">
        <w:rPr>
          <w:rFonts w:ascii="Century Schoolbook" w:hAnsi="Century Schoolbook"/>
          <w:sz w:val="24"/>
          <w:szCs w:val="24"/>
        </w:rPr>
        <w:t>Facilitate a more flexible scheduling process for disposition of the case;</w:t>
      </w:r>
    </w:p>
    <w:p w14:paraId="0A8112CB" w14:textId="77777777" w:rsidR="00BB354D" w:rsidRPr="005B370C" w:rsidRDefault="00BB354D" w:rsidP="005B370C">
      <w:pPr>
        <w:pStyle w:val="ListParagraph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 w:rsidRPr="005B370C">
        <w:rPr>
          <w:rFonts w:ascii="Century Schoolbook" w:hAnsi="Century Schoolbook"/>
          <w:sz w:val="24"/>
          <w:szCs w:val="24"/>
        </w:rPr>
        <w:t>Protect the privacy of the parties and the family; and</w:t>
      </w:r>
    </w:p>
    <w:p w14:paraId="14BAA58E" w14:textId="77777777" w:rsidR="00BB354D" w:rsidRPr="005B370C" w:rsidRDefault="00BB354D" w:rsidP="005B370C">
      <w:pPr>
        <w:pStyle w:val="ListParagraph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 w:rsidRPr="005B370C">
        <w:rPr>
          <w:rFonts w:ascii="Century Schoolbook" w:hAnsi="Century Schoolbook"/>
          <w:sz w:val="24"/>
          <w:szCs w:val="24"/>
        </w:rPr>
        <w:t>Preserve the Parties’ full right to appeal any order entered by this Court, as stated in Section 151.013.</w:t>
      </w:r>
    </w:p>
    <w:p w14:paraId="2C14CF36" w14:textId="4D018C01" w:rsidR="0012466D" w:rsidRPr="0012466D" w:rsidRDefault="00BB354D" w:rsidP="0012466D">
      <w:pPr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V</w:t>
      </w:r>
      <w:r w:rsidR="0012466D" w:rsidRPr="0012466D">
        <w:rPr>
          <w:rFonts w:ascii="Century Schoolbook" w:hAnsi="Century Schoolbook"/>
          <w:b/>
          <w:bCs/>
          <w:sz w:val="24"/>
          <w:szCs w:val="24"/>
        </w:rPr>
        <w:t xml:space="preserve">. </w:t>
      </w:r>
      <w:r>
        <w:rPr>
          <w:rFonts w:ascii="Century Schoolbook" w:hAnsi="Century Schoolbook"/>
          <w:b/>
          <w:bCs/>
          <w:sz w:val="24"/>
          <w:szCs w:val="24"/>
        </w:rPr>
        <w:tab/>
      </w:r>
      <w:r w:rsidR="005D70E8">
        <w:rPr>
          <w:rFonts w:ascii="Century Schoolbook" w:hAnsi="Century Schoolbook"/>
          <w:b/>
          <w:bCs/>
          <w:sz w:val="24"/>
          <w:szCs w:val="24"/>
        </w:rPr>
        <w:t>LOGISTICS</w:t>
      </w:r>
    </w:p>
    <w:p w14:paraId="12EA5D6F" w14:textId="77777777" w:rsidR="00BB354D" w:rsidRDefault="0012466D" w:rsidP="005B370C">
      <w:pPr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 w:rsidRPr="0012466D">
        <w:rPr>
          <w:rFonts w:ascii="Century Schoolbook" w:hAnsi="Century Schoolbook"/>
          <w:sz w:val="24"/>
          <w:szCs w:val="24"/>
        </w:rPr>
        <w:t xml:space="preserve">The trial before the Special Judge </w:t>
      </w:r>
      <w:r w:rsidR="00C806B4">
        <w:rPr>
          <w:rFonts w:ascii="Century Schoolbook" w:hAnsi="Century Schoolbook"/>
          <w:sz w:val="24"/>
          <w:szCs w:val="24"/>
        </w:rPr>
        <w:t>must be</w:t>
      </w:r>
      <w:r w:rsidRPr="0012466D">
        <w:rPr>
          <w:rFonts w:ascii="Century Schoolbook" w:hAnsi="Century Schoolbook"/>
          <w:sz w:val="24"/>
          <w:szCs w:val="24"/>
        </w:rPr>
        <w:t xml:space="preserve"> conducted at </w:t>
      </w:r>
      <w:r w:rsidR="009B328A">
        <w:rPr>
          <w:rFonts w:ascii="Century Schoolbook" w:hAnsi="Century Schoolbook"/>
          <w:sz w:val="24"/>
          <w:szCs w:val="24"/>
        </w:rPr>
        <w:t>a private location other than the courthouse</w:t>
      </w:r>
      <w:r w:rsidR="00C806B4">
        <w:rPr>
          <w:rFonts w:ascii="Century Schoolbook" w:hAnsi="Century Schoolbook"/>
          <w:sz w:val="24"/>
          <w:szCs w:val="24"/>
        </w:rPr>
        <w:t xml:space="preserve">. </w:t>
      </w:r>
    </w:p>
    <w:p w14:paraId="75A40574" w14:textId="2347C201" w:rsidR="0012466D" w:rsidRPr="0012466D" w:rsidRDefault="00C806B4" w:rsidP="0012466D">
      <w:pPr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</w:t>
      </w:r>
      <w:r w:rsidR="0012466D" w:rsidRPr="0012466D">
        <w:rPr>
          <w:rFonts w:ascii="Century Schoolbook" w:hAnsi="Century Schoolbook"/>
          <w:sz w:val="24"/>
          <w:szCs w:val="24"/>
        </w:rPr>
        <w:t xml:space="preserve"> proceedings </w:t>
      </w:r>
      <w:r>
        <w:rPr>
          <w:rFonts w:ascii="Century Schoolbook" w:hAnsi="Century Schoolbook"/>
          <w:sz w:val="24"/>
          <w:szCs w:val="24"/>
        </w:rPr>
        <w:t>must be</w:t>
      </w:r>
      <w:r w:rsidR="0012466D" w:rsidRPr="0012466D">
        <w:rPr>
          <w:rFonts w:ascii="Century Schoolbook" w:hAnsi="Century Schoolbook"/>
          <w:sz w:val="24"/>
          <w:szCs w:val="24"/>
        </w:rPr>
        <w:t xml:space="preserve"> recorded by a qualified court reporter as required by Section 151.008 of the Texas Civil Practice and Remedies Code.</w:t>
      </w:r>
    </w:p>
    <w:p w14:paraId="3072196B" w14:textId="1FA8A17B" w:rsidR="0012466D" w:rsidRPr="0012466D" w:rsidRDefault="00BB354D" w:rsidP="0012466D">
      <w:pPr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</w:t>
      </w:r>
      <w:r w:rsidR="0012466D" w:rsidRPr="0012466D">
        <w:rPr>
          <w:rFonts w:ascii="Century Schoolbook" w:hAnsi="Century Schoolbook"/>
          <w:sz w:val="24"/>
          <w:szCs w:val="24"/>
        </w:rPr>
        <w:t xml:space="preserve"> Special Judge </w:t>
      </w:r>
      <w:r>
        <w:rPr>
          <w:rFonts w:ascii="Century Schoolbook" w:hAnsi="Century Schoolbook"/>
          <w:sz w:val="24"/>
          <w:szCs w:val="24"/>
        </w:rPr>
        <w:t>must</w:t>
      </w:r>
      <w:r w:rsidR="0012466D" w:rsidRPr="0012466D">
        <w:rPr>
          <w:rFonts w:ascii="Century Schoolbook" w:hAnsi="Century Schoolbook"/>
          <w:sz w:val="24"/>
          <w:szCs w:val="24"/>
        </w:rPr>
        <w:t xml:space="preserve"> file a </w:t>
      </w:r>
      <w:r>
        <w:rPr>
          <w:rFonts w:ascii="Century Schoolbook" w:hAnsi="Century Schoolbook"/>
          <w:sz w:val="24"/>
          <w:szCs w:val="24"/>
        </w:rPr>
        <w:t xml:space="preserve">written </w:t>
      </w:r>
      <w:r w:rsidR="0012466D" w:rsidRPr="0012466D">
        <w:rPr>
          <w:rFonts w:ascii="Century Schoolbook" w:hAnsi="Century Schoolbook"/>
          <w:sz w:val="24"/>
          <w:szCs w:val="24"/>
        </w:rPr>
        <w:t>verdict with this Court withi</w:t>
      </w:r>
      <w:r w:rsidR="005D70E8">
        <w:rPr>
          <w:rFonts w:ascii="Century Schoolbook" w:hAnsi="Century Schoolbook"/>
          <w:sz w:val="24"/>
          <w:szCs w:val="24"/>
        </w:rPr>
        <w:t>n sixty days</w:t>
      </w:r>
      <w:r w:rsidR="0012466D" w:rsidRPr="0012466D">
        <w:rPr>
          <w:rFonts w:ascii="Century Schoolbook" w:hAnsi="Century Schoolbook"/>
          <w:sz w:val="24"/>
          <w:szCs w:val="24"/>
        </w:rPr>
        <w:t xml:space="preserve"> of the conclusion of the trial, as provided by Section 151.011.</w:t>
      </w:r>
    </w:p>
    <w:p w14:paraId="0521DC13" w14:textId="6ED914FD" w:rsidR="0012466D" w:rsidRPr="0012466D" w:rsidRDefault="0012466D" w:rsidP="0012466D">
      <w:pPr>
        <w:rPr>
          <w:rFonts w:ascii="Century Schoolbook" w:hAnsi="Century Schoolbook"/>
          <w:sz w:val="24"/>
          <w:szCs w:val="24"/>
        </w:rPr>
      </w:pPr>
      <w:r w:rsidRPr="0012466D">
        <w:rPr>
          <w:rFonts w:ascii="Century Schoolbook" w:hAnsi="Century Schoolbook"/>
          <w:sz w:val="24"/>
          <w:szCs w:val="24"/>
        </w:rPr>
        <w:t xml:space="preserve">WHEREFORE, PREMISES CONSIDERED, the </w:t>
      </w:r>
      <w:r w:rsidR="00840590">
        <w:rPr>
          <w:rFonts w:ascii="Century Schoolbook" w:hAnsi="Century Schoolbook"/>
          <w:sz w:val="24"/>
          <w:szCs w:val="24"/>
        </w:rPr>
        <w:t>p</w:t>
      </w:r>
      <w:r w:rsidRPr="0012466D">
        <w:rPr>
          <w:rFonts w:ascii="Century Schoolbook" w:hAnsi="Century Schoolbook"/>
          <w:sz w:val="24"/>
          <w:szCs w:val="24"/>
        </w:rPr>
        <w:t>arties respectfully request that this Honorable Court:</w:t>
      </w:r>
    </w:p>
    <w:p w14:paraId="7F04875C" w14:textId="2B52B616" w:rsidR="0012466D" w:rsidRPr="0012466D" w:rsidRDefault="0012466D" w:rsidP="0012466D">
      <w:pPr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12466D">
        <w:rPr>
          <w:rFonts w:ascii="Century Schoolbook" w:hAnsi="Century Schoolbook"/>
          <w:sz w:val="24"/>
          <w:szCs w:val="24"/>
        </w:rPr>
        <w:t xml:space="preserve">Grant this </w:t>
      </w:r>
      <w:r w:rsidR="00840590">
        <w:rPr>
          <w:rFonts w:ascii="Century Schoolbook" w:hAnsi="Century Schoolbook"/>
          <w:sz w:val="24"/>
          <w:szCs w:val="24"/>
        </w:rPr>
        <w:t xml:space="preserve">Agreed </w:t>
      </w:r>
      <w:r w:rsidRPr="0012466D">
        <w:rPr>
          <w:rFonts w:ascii="Century Schoolbook" w:hAnsi="Century Schoolbook"/>
          <w:sz w:val="24"/>
          <w:szCs w:val="24"/>
        </w:rPr>
        <w:t>Motion for Referral to Special Judge;</w:t>
      </w:r>
    </w:p>
    <w:p w14:paraId="6BC9D90B" w14:textId="1E3DFEEB" w:rsidR="0012466D" w:rsidRPr="0012466D" w:rsidRDefault="0012466D" w:rsidP="0012466D">
      <w:pPr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12466D">
        <w:rPr>
          <w:rFonts w:ascii="Century Schoolbook" w:hAnsi="Century Schoolbook"/>
          <w:sz w:val="24"/>
          <w:szCs w:val="24"/>
        </w:rPr>
        <w:t xml:space="preserve">Enter </w:t>
      </w:r>
      <w:r w:rsidR="000F2A15">
        <w:rPr>
          <w:rFonts w:ascii="Century Schoolbook" w:hAnsi="Century Schoolbook"/>
          <w:sz w:val="24"/>
          <w:szCs w:val="24"/>
        </w:rPr>
        <w:t>the proposed</w:t>
      </w:r>
      <w:r w:rsidRPr="0012466D">
        <w:rPr>
          <w:rFonts w:ascii="Century Schoolbook" w:hAnsi="Century Schoolbook"/>
          <w:sz w:val="24"/>
          <w:szCs w:val="24"/>
        </w:rPr>
        <w:t xml:space="preserve"> </w:t>
      </w:r>
      <w:r w:rsidR="00840590">
        <w:rPr>
          <w:rFonts w:ascii="Century Schoolbook" w:hAnsi="Century Schoolbook"/>
          <w:sz w:val="24"/>
          <w:szCs w:val="24"/>
        </w:rPr>
        <w:t xml:space="preserve">Agreed </w:t>
      </w:r>
      <w:r w:rsidRPr="0012466D">
        <w:rPr>
          <w:rFonts w:ascii="Century Schoolbook" w:hAnsi="Century Schoolbook"/>
          <w:sz w:val="24"/>
          <w:szCs w:val="24"/>
        </w:rPr>
        <w:t xml:space="preserve">Order of Referral </w:t>
      </w:r>
      <w:r w:rsidR="00840590">
        <w:rPr>
          <w:rFonts w:ascii="Century Schoolbook" w:hAnsi="Century Schoolbook"/>
          <w:sz w:val="24"/>
          <w:szCs w:val="24"/>
        </w:rPr>
        <w:t>referring the case to Judge Roy Ferguson</w:t>
      </w:r>
      <w:r w:rsidRPr="0012466D">
        <w:rPr>
          <w:rFonts w:ascii="Century Schoolbook" w:hAnsi="Century Schoolbook"/>
          <w:sz w:val="24"/>
          <w:szCs w:val="24"/>
        </w:rPr>
        <w:t>; and</w:t>
      </w:r>
    </w:p>
    <w:p w14:paraId="39986851" w14:textId="631EA837" w:rsidR="0012466D" w:rsidRPr="0012466D" w:rsidRDefault="0012466D" w:rsidP="0012466D">
      <w:pPr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 w:rsidRPr="0012466D">
        <w:rPr>
          <w:rFonts w:ascii="Century Schoolbook" w:hAnsi="Century Schoolbook"/>
          <w:sz w:val="24"/>
          <w:szCs w:val="24"/>
        </w:rPr>
        <w:t>Stay proceedings in this Court</w:t>
      </w:r>
      <w:r w:rsidR="00BB354D">
        <w:rPr>
          <w:rFonts w:ascii="Century Schoolbook" w:hAnsi="Century Schoolbook"/>
          <w:sz w:val="24"/>
          <w:szCs w:val="24"/>
        </w:rPr>
        <w:t xml:space="preserve"> [IF</w:t>
      </w:r>
      <w:r w:rsidR="00840590">
        <w:rPr>
          <w:rFonts w:ascii="Century Schoolbook" w:hAnsi="Century Schoolbook"/>
          <w:sz w:val="24"/>
          <w:szCs w:val="24"/>
        </w:rPr>
        <w:t xml:space="preserve"> REFERRING</w:t>
      </w:r>
      <w:r w:rsidR="00BB354D">
        <w:rPr>
          <w:rFonts w:ascii="Century Schoolbook" w:hAnsi="Century Schoolbook"/>
          <w:sz w:val="24"/>
          <w:szCs w:val="24"/>
        </w:rPr>
        <w:t xml:space="preserve"> SPECIFIC ISSUES</w:t>
      </w:r>
      <w:r w:rsidR="00840590">
        <w:rPr>
          <w:rFonts w:ascii="Century Schoolbook" w:hAnsi="Century Schoolbook"/>
          <w:sz w:val="24"/>
          <w:szCs w:val="24"/>
        </w:rPr>
        <w:t xml:space="preserve"> ONLY</w:t>
      </w:r>
      <w:r w:rsidR="00BB354D">
        <w:rPr>
          <w:rFonts w:ascii="Century Schoolbook" w:hAnsi="Century Schoolbook"/>
          <w:sz w:val="24"/>
          <w:szCs w:val="24"/>
        </w:rPr>
        <w:t xml:space="preserve">: “related to the </w:t>
      </w:r>
      <w:r w:rsidR="000F2A15">
        <w:rPr>
          <w:rFonts w:ascii="Century Schoolbook" w:hAnsi="Century Schoolbook"/>
          <w:sz w:val="24"/>
          <w:szCs w:val="24"/>
        </w:rPr>
        <w:t xml:space="preserve">specific </w:t>
      </w:r>
      <w:r w:rsidR="00BB354D">
        <w:rPr>
          <w:rFonts w:ascii="Century Schoolbook" w:hAnsi="Century Schoolbook"/>
          <w:sz w:val="24"/>
          <w:szCs w:val="24"/>
        </w:rPr>
        <w:t>issues referred”]</w:t>
      </w:r>
      <w:r w:rsidRPr="0012466D">
        <w:rPr>
          <w:rFonts w:ascii="Century Schoolbook" w:hAnsi="Century Schoolbook"/>
          <w:sz w:val="24"/>
          <w:szCs w:val="24"/>
        </w:rPr>
        <w:t xml:space="preserve"> pending the outcome of the trial</w:t>
      </w:r>
      <w:r w:rsidR="00BB354D">
        <w:rPr>
          <w:rFonts w:ascii="Century Schoolbook" w:hAnsi="Century Schoolbook"/>
          <w:sz w:val="24"/>
          <w:szCs w:val="24"/>
        </w:rPr>
        <w:t>/hearing</w:t>
      </w:r>
      <w:r w:rsidRPr="0012466D">
        <w:rPr>
          <w:rFonts w:ascii="Century Schoolbook" w:hAnsi="Century Schoolbook"/>
          <w:sz w:val="24"/>
          <w:szCs w:val="24"/>
        </w:rPr>
        <w:t xml:space="preserve"> before the Special Judge.</w:t>
      </w:r>
    </w:p>
    <w:p w14:paraId="51E75E95" w14:textId="77777777" w:rsidR="00675825" w:rsidRPr="0012466D" w:rsidRDefault="00675825">
      <w:pPr>
        <w:rPr>
          <w:rFonts w:ascii="Century Schoolbook" w:hAnsi="Century Schoolbook"/>
          <w:sz w:val="24"/>
          <w:szCs w:val="24"/>
        </w:rPr>
      </w:pPr>
    </w:p>
    <w:sectPr w:rsidR="00675825" w:rsidRPr="0012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C6D1D" w14:textId="77777777" w:rsidR="00020A3B" w:rsidRDefault="00020A3B" w:rsidP="00020A3B">
      <w:pPr>
        <w:spacing w:after="0" w:line="240" w:lineRule="auto"/>
      </w:pPr>
      <w:r>
        <w:separator/>
      </w:r>
    </w:p>
  </w:endnote>
  <w:endnote w:type="continuationSeparator" w:id="0">
    <w:p w14:paraId="221DDF10" w14:textId="77777777" w:rsidR="00020A3B" w:rsidRDefault="00020A3B" w:rsidP="0002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CA56" w14:textId="77777777" w:rsidR="00020A3B" w:rsidRDefault="00020A3B" w:rsidP="00020A3B">
      <w:pPr>
        <w:spacing w:after="0" w:line="240" w:lineRule="auto"/>
      </w:pPr>
      <w:r>
        <w:separator/>
      </w:r>
    </w:p>
  </w:footnote>
  <w:footnote w:type="continuationSeparator" w:id="0">
    <w:p w14:paraId="3FE9D806" w14:textId="77777777" w:rsidR="00020A3B" w:rsidRDefault="00020A3B" w:rsidP="0002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4AF"/>
    <w:multiLevelType w:val="multilevel"/>
    <w:tmpl w:val="14E4A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62BCE"/>
    <w:multiLevelType w:val="multilevel"/>
    <w:tmpl w:val="7E2039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4A71FB"/>
    <w:multiLevelType w:val="multilevel"/>
    <w:tmpl w:val="1520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457C8"/>
    <w:multiLevelType w:val="hybridMultilevel"/>
    <w:tmpl w:val="8332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816370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E2AC6"/>
    <w:multiLevelType w:val="hybridMultilevel"/>
    <w:tmpl w:val="495A6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562B08"/>
    <w:multiLevelType w:val="multilevel"/>
    <w:tmpl w:val="35A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5870AB"/>
    <w:multiLevelType w:val="multilevel"/>
    <w:tmpl w:val="0F06B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7B9130B3"/>
    <w:multiLevelType w:val="hybridMultilevel"/>
    <w:tmpl w:val="F208C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3426142">
    <w:abstractNumId w:val="2"/>
  </w:num>
  <w:num w:numId="2" w16cid:durableId="1871718092">
    <w:abstractNumId w:val="6"/>
  </w:num>
  <w:num w:numId="3" w16cid:durableId="634062224">
    <w:abstractNumId w:val="1"/>
  </w:num>
  <w:num w:numId="4" w16cid:durableId="915237977">
    <w:abstractNumId w:val="0"/>
  </w:num>
  <w:num w:numId="5" w16cid:durableId="1951467149">
    <w:abstractNumId w:val="5"/>
  </w:num>
  <w:num w:numId="6" w16cid:durableId="47731918">
    <w:abstractNumId w:val="3"/>
  </w:num>
  <w:num w:numId="7" w16cid:durableId="1993098904">
    <w:abstractNumId w:val="7"/>
  </w:num>
  <w:num w:numId="8" w16cid:durableId="142719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6D"/>
    <w:rsid w:val="00020A3B"/>
    <w:rsid w:val="00025F0F"/>
    <w:rsid w:val="000F2A15"/>
    <w:rsid w:val="0012466D"/>
    <w:rsid w:val="00347D55"/>
    <w:rsid w:val="00364DA8"/>
    <w:rsid w:val="00510540"/>
    <w:rsid w:val="00554597"/>
    <w:rsid w:val="005B370C"/>
    <w:rsid w:val="005D70E8"/>
    <w:rsid w:val="005D7550"/>
    <w:rsid w:val="00675825"/>
    <w:rsid w:val="00840590"/>
    <w:rsid w:val="008723B0"/>
    <w:rsid w:val="008C2D00"/>
    <w:rsid w:val="00972D59"/>
    <w:rsid w:val="00997972"/>
    <w:rsid w:val="009B328A"/>
    <w:rsid w:val="00A15306"/>
    <w:rsid w:val="00A447C7"/>
    <w:rsid w:val="00A664B5"/>
    <w:rsid w:val="00B61E69"/>
    <w:rsid w:val="00B955C5"/>
    <w:rsid w:val="00BB354D"/>
    <w:rsid w:val="00C3199A"/>
    <w:rsid w:val="00C806B4"/>
    <w:rsid w:val="00CD22A5"/>
    <w:rsid w:val="00E86CF5"/>
    <w:rsid w:val="00ED6389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95F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6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0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3B"/>
  </w:style>
  <w:style w:type="paragraph" w:styleId="Footer">
    <w:name w:val="footer"/>
    <w:basedOn w:val="Normal"/>
    <w:link w:val="FooterChar"/>
    <w:uiPriority w:val="99"/>
    <w:unhideWhenUsed/>
    <w:rsid w:val="00020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6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2025-01-14T02:01:00Z</dcterms:created>
  <dcterms:modified xsi:type="dcterms:W3CDTF">2025-01-14T02:05:00Z</dcterms:modified>
</cp:coreProperties>
</file>