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47E2D" w14:textId="77777777" w:rsidR="0021168B" w:rsidRDefault="00D10625">
      <w:pPr>
        <w:pStyle w:val="Standard"/>
      </w:pPr>
      <w:r>
        <w:rPr>
          <w:lang w:val="en-US"/>
        </w:rPr>
        <w:t>Committee: ECOSOC</w:t>
      </w:r>
    </w:p>
    <w:p w14:paraId="25E969A7" w14:textId="77777777" w:rsidR="0021168B" w:rsidRDefault="00D10625">
      <w:pPr>
        <w:pStyle w:val="Standard"/>
      </w:pPr>
      <w:r>
        <w:rPr>
          <w:lang w:val="en-US"/>
        </w:rPr>
        <w:t>Question: The Question of Global Drug Trafficking</w:t>
      </w:r>
    </w:p>
    <w:p w14:paraId="0686F554" w14:textId="77777777" w:rsidR="0021168B" w:rsidRDefault="00D10625">
      <w:pPr>
        <w:pStyle w:val="Standard"/>
        <w:rPr>
          <w:lang w:val="en-US"/>
        </w:rPr>
      </w:pPr>
      <w:r>
        <w:rPr>
          <w:lang w:val="en-US"/>
        </w:rPr>
        <w:t>Submitted by: Turkey</w:t>
      </w:r>
    </w:p>
    <w:p w14:paraId="027E39D6" w14:textId="77777777" w:rsidR="0057605C" w:rsidRDefault="0057605C">
      <w:pPr>
        <w:pStyle w:val="Standard"/>
      </w:pPr>
      <w:r>
        <w:rPr>
          <w:lang w:val="en-US"/>
        </w:rPr>
        <w:t xml:space="preserve">Co- Submitted by: </w:t>
      </w:r>
    </w:p>
    <w:p w14:paraId="3F7D8190" w14:textId="77777777" w:rsidR="0021168B" w:rsidRDefault="0021168B">
      <w:pPr>
        <w:pStyle w:val="Standard"/>
        <w:rPr>
          <w:lang w:val="en-US"/>
        </w:rPr>
      </w:pPr>
    </w:p>
    <w:p w14:paraId="4CE03B58" w14:textId="77777777" w:rsidR="0021168B" w:rsidRDefault="00D10625">
      <w:pPr>
        <w:pStyle w:val="Standard"/>
      </w:pPr>
      <w:r>
        <w:rPr>
          <w:i/>
          <w:lang w:val="en-US"/>
        </w:rPr>
        <w:t xml:space="preserve">Defining </w:t>
      </w:r>
      <w:r>
        <w:rPr>
          <w:lang w:val="en-US"/>
        </w:rPr>
        <w:t>drug trafficking as “a global illicit trade involving the cultivation, manufacture, distribution and sale of substances which are subject to drug prohibition laws”,</w:t>
      </w:r>
    </w:p>
    <w:p w14:paraId="51517B21" w14:textId="77777777" w:rsidR="0021168B" w:rsidRDefault="00D10625">
      <w:pPr>
        <w:pStyle w:val="Standard"/>
      </w:pPr>
      <w:r>
        <w:rPr>
          <w:i/>
          <w:lang w:val="en-US"/>
        </w:rPr>
        <w:t>Reaffirming</w:t>
      </w:r>
      <w:r>
        <w:rPr>
          <w:lang w:val="en-US"/>
        </w:rPr>
        <w:t xml:space="preserve"> the work of United Nations Office on Drugs and Crime which is to inform of the dangers of drug abuse and to strengthen global activities against drug production, distribution and drug-related crimes,</w:t>
      </w:r>
    </w:p>
    <w:p w14:paraId="3DED8ADD" w14:textId="77777777" w:rsidR="0021168B" w:rsidRDefault="00D10625">
      <w:pPr>
        <w:pStyle w:val="Standard"/>
      </w:pPr>
      <w:r>
        <w:rPr>
          <w:i/>
          <w:lang w:val="en-US"/>
        </w:rPr>
        <w:t>Noting with approval</w:t>
      </w:r>
      <w:r>
        <w:rPr>
          <w:lang w:val="en-US"/>
        </w:rPr>
        <w:t xml:space="preserve"> the Afghan Opiate Trade project which “has produced a number of research </w:t>
      </w:r>
      <w:r>
        <w:rPr>
          <w:rFonts w:ascii="Verdana" w:hAnsi="Verdana"/>
          <w:color w:val="000000"/>
          <w:sz w:val="19"/>
          <w:szCs w:val="19"/>
        </w:rPr>
        <w:t>reports relating to aspects of the illicit trade in Afghan opiates”,</w:t>
      </w:r>
    </w:p>
    <w:p w14:paraId="5CF50D03" w14:textId="77777777" w:rsidR="0021168B" w:rsidRDefault="00D10625">
      <w:pPr>
        <w:pStyle w:val="Standard"/>
      </w:pPr>
      <w:r>
        <w:rPr>
          <w:rFonts w:ascii="Verdana" w:hAnsi="Verdana"/>
          <w:i/>
          <w:color w:val="000000"/>
          <w:sz w:val="19"/>
          <w:szCs w:val="19"/>
        </w:rPr>
        <w:t>Fully aware</w:t>
      </w:r>
      <w:r>
        <w:rPr>
          <w:rFonts w:ascii="Verdana" w:hAnsi="Verdana"/>
          <w:color w:val="000000"/>
          <w:sz w:val="19"/>
          <w:szCs w:val="19"/>
        </w:rPr>
        <w:t xml:space="preserve"> of the annual flow of some 380 tons of heroin from Afghanistan from which 95 tons travers through turkey into the major markets of the Russian Federation and Western Europe,</w:t>
      </w:r>
    </w:p>
    <w:p w14:paraId="400105EE" w14:textId="77777777" w:rsidR="0021168B" w:rsidRDefault="00D10625">
      <w:pPr>
        <w:pStyle w:val="Standard"/>
      </w:pPr>
      <w:r>
        <w:rPr>
          <w:rFonts w:ascii="Verdana" w:hAnsi="Verdana"/>
          <w:i/>
          <w:color w:val="000000"/>
          <w:sz w:val="19"/>
          <w:szCs w:val="19"/>
        </w:rPr>
        <w:t>Alarmed by</w:t>
      </w:r>
      <w:r>
        <w:rPr>
          <w:rFonts w:ascii="Verdana" w:hAnsi="Verdana"/>
          <w:color w:val="000000"/>
          <w:sz w:val="19"/>
          <w:szCs w:val="19"/>
        </w:rPr>
        <w:t xml:space="preserve"> the second largest ever opium poppy cultivation in Afghanistan in 2019 and the estimated 390.000 deaths caused by opioids,</w:t>
      </w:r>
    </w:p>
    <w:p w14:paraId="024D4D23" w14:textId="77777777" w:rsidR="0021168B" w:rsidRDefault="00D10625">
      <w:pPr>
        <w:pStyle w:val="Standard"/>
      </w:pPr>
      <w:r>
        <w:rPr>
          <w:rFonts w:ascii="Verdana" w:hAnsi="Verdana"/>
          <w:i/>
          <w:color w:val="000000"/>
          <w:sz w:val="19"/>
          <w:szCs w:val="19"/>
        </w:rPr>
        <w:t>Taking note</w:t>
      </w:r>
      <w:r>
        <w:rPr>
          <w:rFonts w:ascii="Verdana" w:hAnsi="Verdana"/>
          <w:color w:val="000000"/>
          <w:sz w:val="19"/>
          <w:szCs w:val="19"/>
        </w:rPr>
        <w:t xml:space="preserve"> of the increase in the purchase of drugs via the darknet from 4,7 % in January 2014 to 10,7 % in January 2019,</w:t>
      </w:r>
    </w:p>
    <w:p w14:paraId="6A94EABD" w14:textId="77777777" w:rsidR="0021168B" w:rsidRDefault="00D10625">
      <w:pPr>
        <w:pStyle w:val="Standard"/>
      </w:pPr>
      <w:r>
        <w:rPr>
          <w:rFonts w:ascii="Verdana" w:hAnsi="Verdana"/>
          <w:i/>
          <w:color w:val="000000"/>
          <w:sz w:val="19"/>
          <w:szCs w:val="19"/>
        </w:rPr>
        <w:t>Emphasizing</w:t>
      </w:r>
      <w:r>
        <w:rPr>
          <w:rFonts w:ascii="Verdana" w:hAnsi="Verdana"/>
          <w:color w:val="000000"/>
          <w:sz w:val="19"/>
          <w:szCs w:val="19"/>
        </w:rPr>
        <w:t xml:space="preserve"> the connection between drug trafficking and the financing of terror organisations such as the PKK,</w:t>
      </w:r>
    </w:p>
    <w:p w14:paraId="6DFE4940" w14:textId="77777777" w:rsidR="0021168B" w:rsidRDefault="00D10625">
      <w:pPr>
        <w:pStyle w:val="ListParagraph"/>
        <w:numPr>
          <w:ilvl w:val="0"/>
          <w:numId w:val="9"/>
        </w:numPr>
      </w:pPr>
      <w:r>
        <w:rPr>
          <w:rFonts w:ascii="Verdana" w:hAnsi="Verdana"/>
          <w:color w:val="000000"/>
          <w:sz w:val="19"/>
          <w:szCs w:val="19"/>
        </w:rPr>
        <w:t xml:space="preserve">     </w:t>
      </w:r>
      <w:r>
        <w:rPr>
          <w:rFonts w:ascii="Verdana" w:hAnsi="Verdana"/>
          <w:color w:val="000000"/>
          <w:sz w:val="19"/>
          <w:szCs w:val="19"/>
          <w:u w:val="single"/>
        </w:rPr>
        <w:t>Suggests</w:t>
      </w:r>
      <w:r>
        <w:rPr>
          <w:rFonts w:ascii="Verdana" w:hAnsi="Verdana"/>
          <w:color w:val="000000"/>
          <w:sz w:val="19"/>
          <w:szCs w:val="19"/>
        </w:rPr>
        <w:t xml:space="preserve"> stricter laws that would allow:</w:t>
      </w:r>
    </w:p>
    <w:p w14:paraId="4F4CFF01" w14:textId="77777777" w:rsidR="00E87F6D" w:rsidRPr="00E87F6D" w:rsidRDefault="00D10625" w:rsidP="00E87F6D">
      <w:pPr>
        <w:pStyle w:val="ListParagraph"/>
        <w:numPr>
          <w:ilvl w:val="0"/>
          <w:numId w:val="10"/>
        </w:numPr>
      </w:pPr>
      <w:r>
        <w:rPr>
          <w:rFonts w:ascii="Verdana" w:hAnsi="Verdana"/>
          <w:color w:val="000000"/>
          <w:sz w:val="19"/>
          <w:szCs w:val="19"/>
        </w:rPr>
        <w:t>closer monitoring of delivery services they are often use to deliver drugs anonymously,</w:t>
      </w:r>
    </w:p>
    <w:p w14:paraId="57DFB2C9" w14:textId="77777777" w:rsidR="0021168B" w:rsidRDefault="00D10625" w:rsidP="003931C8">
      <w:pPr>
        <w:pStyle w:val="ListParagraph"/>
        <w:numPr>
          <w:ilvl w:val="0"/>
          <w:numId w:val="10"/>
        </w:numPr>
      </w:pPr>
      <w:r>
        <w:rPr>
          <w:rFonts w:ascii="Verdana" w:hAnsi="Verdana"/>
          <w:color w:val="000000"/>
          <w:sz w:val="19"/>
          <w:szCs w:val="19"/>
        </w:rPr>
        <w:t>confiscating of postal deliveries if there is a sufficient suspicion they contain drugs or drug-related products and money;</w:t>
      </w:r>
    </w:p>
    <w:p w14:paraId="3BDAB8AA" w14:textId="77777777" w:rsidR="0021168B" w:rsidRDefault="00D10625">
      <w:pPr>
        <w:pStyle w:val="ListParagraph"/>
        <w:numPr>
          <w:ilvl w:val="0"/>
          <w:numId w:val="3"/>
        </w:numPr>
      </w:pPr>
      <w:r>
        <w:rPr>
          <w:rFonts w:ascii="Verdana" w:hAnsi="Verdana"/>
          <w:color w:val="000000"/>
          <w:sz w:val="19"/>
          <w:szCs w:val="19"/>
        </w:rPr>
        <w:t xml:space="preserve">     </w:t>
      </w:r>
      <w:r>
        <w:rPr>
          <w:rFonts w:ascii="Verdana" w:hAnsi="Verdana"/>
          <w:color w:val="000000"/>
          <w:sz w:val="19"/>
          <w:szCs w:val="19"/>
          <w:u w:val="single"/>
        </w:rPr>
        <w:t>Recommends</w:t>
      </w:r>
      <w:r>
        <w:rPr>
          <w:rFonts w:ascii="Verdana" w:hAnsi="Verdana"/>
          <w:color w:val="000000"/>
          <w:sz w:val="19"/>
          <w:szCs w:val="19"/>
        </w:rPr>
        <w:t xml:space="preserve"> a stricter surveillance and control of the Internet to decrease the online drug traffic by:</w:t>
      </w:r>
    </w:p>
    <w:p w14:paraId="50EB1DF6" w14:textId="77777777" w:rsidR="00180A60" w:rsidRPr="00180A60" w:rsidRDefault="00D10625" w:rsidP="00180A60">
      <w:pPr>
        <w:pStyle w:val="ListParagraph"/>
        <w:numPr>
          <w:ilvl w:val="0"/>
          <w:numId w:val="11"/>
        </w:numPr>
      </w:pPr>
      <w:r>
        <w:rPr>
          <w:rFonts w:ascii="Verdana" w:hAnsi="Verdana"/>
          <w:color w:val="000000"/>
          <w:sz w:val="19"/>
          <w:szCs w:val="19"/>
        </w:rPr>
        <w:t>the formation of a committee inside each government dedicated to this task,</w:t>
      </w:r>
    </w:p>
    <w:p w14:paraId="66E935CA" w14:textId="77777777" w:rsidR="0021168B" w:rsidRDefault="00D10625" w:rsidP="00180A60">
      <w:pPr>
        <w:pStyle w:val="ListParagraph"/>
        <w:numPr>
          <w:ilvl w:val="0"/>
          <w:numId w:val="11"/>
        </w:numPr>
      </w:pPr>
      <w:r>
        <w:rPr>
          <w:rFonts w:ascii="Verdana" w:hAnsi="Verdana"/>
          <w:color w:val="000000"/>
          <w:sz w:val="19"/>
          <w:szCs w:val="19"/>
        </w:rPr>
        <w:t xml:space="preserve">  calling onto major search engines such as but not limited to Google, Bing and Yahoo to supervise dubious user behaviour;</w:t>
      </w:r>
    </w:p>
    <w:p w14:paraId="1BC174E8" w14:textId="77777777" w:rsidR="0021168B" w:rsidRDefault="00D10625">
      <w:pPr>
        <w:pStyle w:val="ListParagraph"/>
        <w:numPr>
          <w:ilvl w:val="0"/>
          <w:numId w:val="3"/>
        </w:numPr>
      </w:pPr>
      <w:r>
        <w:rPr>
          <w:rFonts w:ascii="Verdana" w:hAnsi="Verdana"/>
          <w:color w:val="000000"/>
          <w:sz w:val="19"/>
          <w:szCs w:val="19"/>
        </w:rPr>
        <w:t xml:space="preserve">     </w:t>
      </w:r>
      <w:r>
        <w:rPr>
          <w:rFonts w:ascii="Verdana" w:hAnsi="Verdana"/>
          <w:color w:val="000000"/>
          <w:sz w:val="19"/>
          <w:szCs w:val="19"/>
          <w:u w:val="single"/>
        </w:rPr>
        <w:t>Supports</w:t>
      </w:r>
      <w:r>
        <w:rPr>
          <w:rFonts w:ascii="Verdana" w:hAnsi="Verdana"/>
          <w:color w:val="000000"/>
          <w:sz w:val="19"/>
          <w:szCs w:val="19"/>
        </w:rPr>
        <w:t xml:space="preserve"> a multinational task force, consisting of members of the police and army of states along the Balkan and northern routes, which aims to:</w:t>
      </w:r>
    </w:p>
    <w:p w14:paraId="67AE98AF" w14:textId="77777777" w:rsidR="00AD1631" w:rsidRPr="00AD1631" w:rsidRDefault="00D10625" w:rsidP="00AD1631">
      <w:pPr>
        <w:pStyle w:val="ListParagraph"/>
        <w:numPr>
          <w:ilvl w:val="0"/>
          <w:numId w:val="12"/>
        </w:numPr>
      </w:pPr>
      <w:r>
        <w:rPr>
          <w:rFonts w:ascii="Verdana" w:hAnsi="Verdana"/>
          <w:color w:val="000000"/>
          <w:sz w:val="19"/>
          <w:szCs w:val="19"/>
        </w:rPr>
        <w:t>regulate heroin traffic</w:t>
      </w:r>
      <w:r w:rsidR="00180A60">
        <w:rPr>
          <w:rFonts w:ascii="Verdana" w:hAnsi="Verdana"/>
          <w:color w:val="000000"/>
          <w:sz w:val="19"/>
          <w:szCs w:val="19"/>
        </w:rPr>
        <w:t>,</w:t>
      </w:r>
    </w:p>
    <w:p w14:paraId="30245874" w14:textId="77777777" w:rsidR="00AD1631" w:rsidRPr="00AD1631" w:rsidRDefault="00D10625" w:rsidP="00AD1631">
      <w:pPr>
        <w:pStyle w:val="ListParagraph"/>
        <w:numPr>
          <w:ilvl w:val="0"/>
          <w:numId w:val="12"/>
        </w:numPr>
      </w:pPr>
      <w:r>
        <w:rPr>
          <w:rFonts w:ascii="Verdana" w:hAnsi="Verdana"/>
          <w:color w:val="000000"/>
          <w:sz w:val="19"/>
          <w:szCs w:val="19"/>
        </w:rPr>
        <w:t>seize large amounts of drugs that are being transported to the Russian and European markets</w:t>
      </w:r>
      <w:r w:rsidR="0057605C">
        <w:rPr>
          <w:rFonts w:ascii="Verdana" w:hAnsi="Verdana"/>
          <w:color w:val="000000"/>
          <w:sz w:val="19"/>
          <w:szCs w:val="19"/>
        </w:rPr>
        <w:t>,</w:t>
      </w:r>
    </w:p>
    <w:p w14:paraId="7D621CAC" w14:textId="77777777" w:rsidR="0021168B" w:rsidRDefault="00D10625" w:rsidP="00AD1631">
      <w:pPr>
        <w:pStyle w:val="ListParagraph"/>
        <w:numPr>
          <w:ilvl w:val="0"/>
          <w:numId w:val="12"/>
        </w:numPr>
      </w:pPr>
      <w:r>
        <w:rPr>
          <w:rFonts w:ascii="Verdana" w:hAnsi="Verdana"/>
          <w:color w:val="000000"/>
          <w:sz w:val="19"/>
          <w:szCs w:val="19"/>
        </w:rPr>
        <w:t>reinforce actions against drug-financed terror organisations;</w:t>
      </w:r>
    </w:p>
    <w:p w14:paraId="37F2FE14" w14:textId="77777777" w:rsidR="0021168B" w:rsidRDefault="00D10625">
      <w:pPr>
        <w:pStyle w:val="ListParagraph"/>
        <w:numPr>
          <w:ilvl w:val="0"/>
          <w:numId w:val="3"/>
        </w:numPr>
      </w:pPr>
      <w:r>
        <w:rPr>
          <w:rFonts w:ascii="Verdana" w:hAnsi="Verdana"/>
          <w:color w:val="000000"/>
          <w:sz w:val="19"/>
          <w:szCs w:val="19"/>
        </w:rPr>
        <w:t xml:space="preserve">     </w:t>
      </w:r>
      <w:r>
        <w:rPr>
          <w:rFonts w:ascii="Verdana" w:hAnsi="Verdana"/>
          <w:color w:val="000000"/>
          <w:sz w:val="19"/>
          <w:szCs w:val="19"/>
          <w:u w:val="single"/>
        </w:rPr>
        <w:t>Expresses its Hope</w:t>
      </w:r>
      <w:r>
        <w:rPr>
          <w:rFonts w:ascii="Verdana" w:hAnsi="Verdana"/>
          <w:color w:val="000000"/>
          <w:sz w:val="19"/>
          <w:szCs w:val="19"/>
        </w:rPr>
        <w:t xml:space="preserve"> for a stronger emphasis on the psychological benefits religion brings to communities which makes people less susceptible for drugs.</w:t>
      </w:r>
    </w:p>
    <w:p w14:paraId="000A0808" w14:textId="77777777" w:rsidR="0021168B" w:rsidRDefault="0021168B">
      <w:pPr>
        <w:pStyle w:val="Standard"/>
        <w:rPr>
          <w:rFonts w:ascii="Verdana" w:hAnsi="Verdana"/>
          <w:color w:val="000000"/>
          <w:sz w:val="19"/>
          <w:szCs w:val="19"/>
        </w:rPr>
      </w:pPr>
    </w:p>
    <w:p w14:paraId="1BE2C851" w14:textId="77777777" w:rsidR="0021168B" w:rsidRDefault="00D10625">
      <w:pPr>
        <w:pStyle w:val="Standard"/>
      </w:pPr>
      <w:r>
        <w:rPr>
          <w:rFonts w:ascii="Verdana" w:hAnsi="Verdana"/>
          <w:color w:val="000000"/>
          <w:sz w:val="19"/>
          <w:szCs w:val="19"/>
        </w:rPr>
        <w:t xml:space="preserve">      </w:t>
      </w:r>
    </w:p>
    <w:p w14:paraId="662B81C0" w14:textId="77777777" w:rsidR="0021168B" w:rsidRDefault="0021168B">
      <w:pPr>
        <w:pStyle w:val="ListParagraph"/>
        <w:rPr>
          <w:rFonts w:ascii="Verdana" w:hAnsi="Verdana"/>
          <w:color w:val="000000"/>
          <w:sz w:val="19"/>
          <w:szCs w:val="19"/>
        </w:rPr>
      </w:pPr>
    </w:p>
    <w:p w14:paraId="2E1D7E50" w14:textId="77777777" w:rsidR="0021168B" w:rsidRDefault="0021168B">
      <w:pPr>
        <w:pStyle w:val="ListParagraph"/>
        <w:rPr>
          <w:rFonts w:ascii="Verdana" w:hAnsi="Verdana"/>
          <w:color w:val="000000"/>
          <w:sz w:val="19"/>
          <w:szCs w:val="19"/>
          <w:u w:val="single"/>
        </w:rPr>
      </w:pPr>
    </w:p>
    <w:p w14:paraId="3C839B8E" w14:textId="77777777" w:rsidR="0021168B" w:rsidRDefault="0021168B">
      <w:pPr>
        <w:pStyle w:val="ListParagraph"/>
        <w:rPr>
          <w:rFonts w:ascii="Verdana" w:hAnsi="Verdana"/>
          <w:color w:val="000000"/>
          <w:sz w:val="19"/>
          <w:szCs w:val="19"/>
          <w:u w:val="single"/>
        </w:rPr>
      </w:pPr>
    </w:p>
    <w:p w14:paraId="1FF35DEC" w14:textId="77777777" w:rsidR="0021168B" w:rsidRDefault="0021168B">
      <w:pPr>
        <w:pStyle w:val="ListParagraph"/>
        <w:rPr>
          <w:rFonts w:ascii="Verdana" w:hAnsi="Verdana"/>
          <w:color w:val="000000"/>
          <w:sz w:val="19"/>
          <w:szCs w:val="19"/>
          <w:u w:val="single"/>
        </w:rPr>
      </w:pPr>
    </w:p>
    <w:p w14:paraId="5666D736" w14:textId="77777777" w:rsidR="0021168B" w:rsidRDefault="0021168B">
      <w:pPr>
        <w:pStyle w:val="ListParagraph"/>
        <w:rPr>
          <w:rFonts w:ascii="Verdana" w:hAnsi="Verdana"/>
          <w:color w:val="000000"/>
          <w:sz w:val="19"/>
          <w:szCs w:val="19"/>
          <w:u w:val="single"/>
        </w:rPr>
      </w:pPr>
    </w:p>
    <w:p w14:paraId="425B2076" w14:textId="77777777" w:rsidR="0021168B" w:rsidRDefault="0021168B">
      <w:pPr>
        <w:pStyle w:val="ListParagraph"/>
        <w:rPr>
          <w:rFonts w:ascii="Verdana" w:hAnsi="Verdana"/>
          <w:color w:val="000000"/>
          <w:sz w:val="19"/>
          <w:szCs w:val="19"/>
        </w:rPr>
      </w:pPr>
    </w:p>
    <w:p w14:paraId="3CF933A5" w14:textId="77777777" w:rsidR="0021168B" w:rsidRDefault="0021168B">
      <w:pPr>
        <w:pStyle w:val="Standard"/>
        <w:rPr>
          <w:rFonts w:ascii="Verdana" w:hAnsi="Verdana"/>
          <w:color w:val="000000"/>
          <w:sz w:val="19"/>
          <w:szCs w:val="19"/>
        </w:rPr>
      </w:pPr>
    </w:p>
    <w:p w14:paraId="3F3F268B" w14:textId="77777777" w:rsidR="0021168B" w:rsidRDefault="0021168B">
      <w:pPr>
        <w:pStyle w:val="Standard"/>
        <w:rPr>
          <w:rFonts w:ascii="Verdana" w:hAnsi="Verdana"/>
          <w:color w:val="000000"/>
          <w:sz w:val="19"/>
          <w:szCs w:val="19"/>
        </w:rPr>
      </w:pPr>
    </w:p>
    <w:p w14:paraId="74B68805" w14:textId="77777777" w:rsidR="0021168B" w:rsidRDefault="0021168B">
      <w:pPr>
        <w:pStyle w:val="Standard"/>
        <w:rPr>
          <w:rFonts w:ascii="Verdana" w:hAnsi="Verdana"/>
          <w:color w:val="000000"/>
          <w:sz w:val="19"/>
          <w:szCs w:val="19"/>
        </w:rPr>
      </w:pPr>
    </w:p>
    <w:p w14:paraId="198D2CBE" w14:textId="77777777" w:rsidR="0021168B" w:rsidRDefault="0021168B">
      <w:pPr>
        <w:pStyle w:val="Standard"/>
        <w:rPr>
          <w:rFonts w:ascii="Verdana" w:hAnsi="Verdana"/>
          <w:color w:val="000000"/>
          <w:sz w:val="19"/>
          <w:szCs w:val="19"/>
        </w:rPr>
      </w:pPr>
    </w:p>
    <w:p w14:paraId="57FA317D" w14:textId="77777777" w:rsidR="0021168B" w:rsidRDefault="0021168B">
      <w:pPr>
        <w:pStyle w:val="Standard"/>
        <w:rPr>
          <w:rFonts w:ascii="Verdana" w:hAnsi="Verdana"/>
          <w:color w:val="000000"/>
          <w:sz w:val="19"/>
          <w:szCs w:val="19"/>
        </w:rPr>
      </w:pPr>
    </w:p>
    <w:p w14:paraId="344978A7" w14:textId="77777777" w:rsidR="0021168B" w:rsidRDefault="0021168B">
      <w:pPr>
        <w:pStyle w:val="Standard"/>
        <w:rPr>
          <w:rFonts w:ascii="Verdana" w:hAnsi="Verdana"/>
          <w:color w:val="000000"/>
          <w:sz w:val="19"/>
          <w:szCs w:val="19"/>
        </w:rPr>
      </w:pPr>
    </w:p>
    <w:p w14:paraId="01A67C42" w14:textId="77777777" w:rsidR="0021168B" w:rsidRDefault="0021168B">
      <w:pPr>
        <w:pStyle w:val="Standard"/>
        <w:rPr>
          <w:lang w:val="en-US"/>
        </w:rPr>
      </w:pPr>
    </w:p>
    <w:p w14:paraId="6AF99E6E" w14:textId="77777777" w:rsidR="0021168B" w:rsidRDefault="0021168B">
      <w:pPr>
        <w:pStyle w:val="Standard"/>
        <w:rPr>
          <w:lang w:val="en-US"/>
        </w:rPr>
      </w:pPr>
    </w:p>
    <w:p w14:paraId="053FD37B" w14:textId="77777777" w:rsidR="0021168B" w:rsidRDefault="0021168B">
      <w:pPr>
        <w:pStyle w:val="Standard"/>
      </w:pPr>
    </w:p>
    <w:sectPr w:rsidR="0021168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7782" w14:textId="77777777" w:rsidR="00DF4560" w:rsidRDefault="00D10625">
      <w:pPr>
        <w:spacing w:after="0" w:line="240" w:lineRule="auto"/>
      </w:pPr>
      <w:r>
        <w:separator/>
      </w:r>
    </w:p>
  </w:endnote>
  <w:endnote w:type="continuationSeparator" w:id="0">
    <w:p w14:paraId="29CF2923" w14:textId="77777777" w:rsidR="00DF4560" w:rsidRDefault="00D10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E2380" w14:textId="77777777" w:rsidR="00DF4560" w:rsidRDefault="00D10625">
      <w:pPr>
        <w:spacing w:after="0" w:line="240" w:lineRule="auto"/>
      </w:pPr>
      <w:r>
        <w:rPr>
          <w:color w:val="000000"/>
        </w:rPr>
        <w:separator/>
      </w:r>
    </w:p>
  </w:footnote>
  <w:footnote w:type="continuationSeparator" w:id="0">
    <w:p w14:paraId="12F54CB5" w14:textId="77777777" w:rsidR="00DF4560" w:rsidRDefault="00D10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039"/>
    <w:multiLevelType w:val="multilevel"/>
    <w:tmpl w:val="273CA9FA"/>
    <w:styleLink w:val="WWNum7"/>
    <w:lvl w:ilvl="0">
      <w:start w:val="1"/>
      <w:numFmt w:val="lowerLetter"/>
      <w:lvlText w:val="%1)"/>
      <w:lvlJc w:val="left"/>
      <w:pPr>
        <w:ind w:left="1145" w:hanging="360"/>
      </w:pPr>
      <w:rPr>
        <w:u w:val="single"/>
      </w:rPr>
    </w:lvl>
    <w:lvl w:ilvl="1">
      <w:start w:val="1"/>
      <w:numFmt w:val="lowerLetter"/>
      <w:lvlText w:val="%2."/>
      <w:lvlJc w:val="left"/>
      <w:pPr>
        <w:ind w:left="1865" w:hanging="360"/>
      </w:pPr>
    </w:lvl>
    <w:lvl w:ilvl="2">
      <w:start w:val="1"/>
      <w:numFmt w:val="lowerRoman"/>
      <w:lvlText w:val="%1.%2.%3."/>
      <w:lvlJc w:val="right"/>
      <w:pPr>
        <w:ind w:left="2585" w:hanging="180"/>
      </w:pPr>
    </w:lvl>
    <w:lvl w:ilvl="3">
      <w:start w:val="1"/>
      <w:numFmt w:val="decimal"/>
      <w:lvlText w:val="%1.%2.%3.%4."/>
      <w:lvlJc w:val="left"/>
      <w:pPr>
        <w:ind w:left="3305" w:hanging="360"/>
      </w:pPr>
    </w:lvl>
    <w:lvl w:ilvl="4">
      <w:start w:val="1"/>
      <w:numFmt w:val="lowerLetter"/>
      <w:lvlText w:val="%1.%2.%3.%4.%5."/>
      <w:lvlJc w:val="left"/>
      <w:pPr>
        <w:ind w:left="4025" w:hanging="360"/>
      </w:pPr>
    </w:lvl>
    <w:lvl w:ilvl="5">
      <w:start w:val="1"/>
      <w:numFmt w:val="lowerRoman"/>
      <w:lvlText w:val="%1.%2.%3.%4.%5.%6."/>
      <w:lvlJc w:val="right"/>
      <w:pPr>
        <w:ind w:left="4745" w:hanging="180"/>
      </w:pPr>
    </w:lvl>
    <w:lvl w:ilvl="6">
      <w:start w:val="1"/>
      <w:numFmt w:val="decimal"/>
      <w:lvlText w:val="%1.%2.%3.%4.%5.%6.%7."/>
      <w:lvlJc w:val="left"/>
      <w:pPr>
        <w:ind w:left="5465" w:hanging="360"/>
      </w:pPr>
    </w:lvl>
    <w:lvl w:ilvl="7">
      <w:start w:val="1"/>
      <w:numFmt w:val="lowerLetter"/>
      <w:lvlText w:val="%1.%2.%3.%4.%5.%6.%7.%8."/>
      <w:lvlJc w:val="left"/>
      <w:pPr>
        <w:ind w:left="6185" w:hanging="360"/>
      </w:pPr>
    </w:lvl>
    <w:lvl w:ilvl="8">
      <w:start w:val="1"/>
      <w:numFmt w:val="lowerRoman"/>
      <w:lvlText w:val="%1.%2.%3.%4.%5.%6.%7.%8.%9."/>
      <w:lvlJc w:val="right"/>
      <w:pPr>
        <w:ind w:left="6905" w:hanging="180"/>
      </w:pPr>
    </w:lvl>
  </w:abstractNum>
  <w:abstractNum w:abstractNumId="1" w15:restartNumberingAfterBreak="0">
    <w:nsid w:val="04FA1A85"/>
    <w:multiLevelType w:val="hybridMultilevel"/>
    <w:tmpl w:val="423C61EC"/>
    <w:lvl w:ilvl="0" w:tplc="08090017">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 w15:restartNumberingAfterBreak="0">
    <w:nsid w:val="0AA462B4"/>
    <w:multiLevelType w:val="hybridMultilevel"/>
    <w:tmpl w:val="C88C600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2374EF6"/>
    <w:multiLevelType w:val="multilevel"/>
    <w:tmpl w:val="E44A785A"/>
    <w:styleLink w:val="WWNum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 w15:restartNumberingAfterBreak="0">
    <w:nsid w:val="3216348A"/>
    <w:multiLevelType w:val="multilevel"/>
    <w:tmpl w:val="82C42282"/>
    <w:styleLink w:val="WWNum3"/>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33AF1065"/>
    <w:multiLevelType w:val="multilevel"/>
    <w:tmpl w:val="2736CF46"/>
    <w:styleLink w:val="WWNum8"/>
    <w:lvl w:ilvl="0">
      <w:start w:val="1"/>
      <w:numFmt w:val="lowerLetter"/>
      <w:lvlText w:val="%1)"/>
      <w:lvlJc w:val="left"/>
      <w:pPr>
        <w:ind w:left="1145" w:hanging="360"/>
      </w:pPr>
      <w:rPr>
        <w:u w:val="single"/>
      </w:rPr>
    </w:lvl>
    <w:lvl w:ilvl="1">
      <w:start w:val="1"/>
      <w:numFmt w:val="lowerLetter"/>
      <w:lvlText w:val="%2."/>
      <w:lvlJc w:val="left"/>
      <w:pPr>
        <w:ind w:left="1865" w:hanging="360"/>
      </w:pPr>
    </w:lvl>
    <w:lvl w:ilvl="2">
      <w:start w:val="1"/>
      <w:numFmt w:val="lowerRoman"/>
      <w:lvlText w:val="%1.%2.%3."/>
      <w:lvlJc w:val="right"/>
      <w:pPr>
        <w:ind w:left="2585" w:hanging="180"/>
      </w:pPr>
    </w:lvl>
    <w:lvl w:ilvl="3">
      <w:start w:val="1"/>
      <w:numFmt w:val="decimal"/>
      <w:lvlText w:val="%1.%2.%3.%4."/>
      <w:lvlJc w:val="left"/>
      <w:pPr>
        <w:ind w:left="3305" w:hanging="360"/>
      </w:pPr>
    </w:lvl>
    <w:lvl w:ilvl="4">
      <w:start w:val="1"/>
      <w:numFmt w:val="lowerLetter"/>
      <w:lvlText w:val="%1.%2.%3.%4.%5."/>
      <w:lvlJc w:val="left"/>
      <w:pPr>
        <w:ind w:left="4025" w:hanging="360"/>
      </w:pPr>
    </w:lvl>
    <w:lvl w:ilvl="5">
      <w:start w:val="1"/>
      <w:numFmt w:val="lowerRoman"/>
      <w:lvlText w:val="%1.%2.%3.%4.%5.%6."/>
      <w:lvlJc w:val="right"/>
      <w:pPr>
        <w:ind w:left="4745" w:hanging="180"/>
      </w:pPr>
    </w:lvl>
    <w:lvl w:ilvl="6">
      <w:start w:val="1"/>
      <w:numFmt w:val="decimal"/>
      <w:lvlText w:val="%1.%2.%3.%4.%5.%6.%7."/>
      <w:lvlJc w:val="left"/>
      <w:pPr>
        <w:ind w:left="5465" w:hanging="360"/>
      </w:pPr>
    </w:lvl>
    <w:lvl w:ilvl="7">
      <w:start w:val="1"/>
      <w:numFmt w:val="lowerLetter"/>
      <w:lvlText w:val="%1.%2.%3.%4.%5.%6.%7.%8."/>
      <w:lvlJc w:val="left"/>
      <w:pPr>
        <w:ind w:left="6185" w:hanging="360"/>
      </w:pPr>
    </w:lvl>
    <w:lvl w:ilvl="8">
      <w:start w:val="1"/>
      <w:numFmt w:val="lowerRoman"/>
      <w:lvlText w:val="%1.%2.%3.%4.%5.%6.%7.%8.%9."/>
      <w:lvlJc w:val="right"/>
      <w:pPr>
        <w:ind w:left="6905" w:hanging="180"/>
      </w:pPr>
    </w:lvl>
  </w:abstractNum>
  <w:abstractNum w:abstractNumId="6" w15:restartNumberingAfterBreak="0">
    <w:nsid w:val="3B376CA0"/>
    <w:multiLevelType w:val="hybridMultilevel"/>
    <w:tmpl w:val="2B86423A"/>
    <w:lvl w:ilvl="0" w:tplc="08090017">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7" w15:restartNumberingAfterBreak="0">
    <w:nsid w:val="4B263D87"/>
    <w:multiLevelType w:val="multilevel"/>
    <w:tmpl w:val="6A1ADB34"/>
    <w:styleLink w:val="WWNum6"/>
    <w:lvl w:ilvl="0">
      <w:start w:val="1"/>
      <w:numFmt w:val="lowerLetter"/>
      <w:lvlText w:val="%1)"/>
      <w:lvlJc w:val="left"/>
      <w:pPr>
        <w:ind w:left="1145" w:hanging="360"/>
      </w:pPr>
      <w:rPr>
        <w:u w:val="single"/>
      </w:rPr>
    </w:lvl>
    <w:lvl w:ilvl="1">
      <w:start w:val="1"/>
      <w:numFmt w:val="lowerLetter"/>
      <w:lvlText w:val="%2."/>
      <w:lvlJc w:val="left"/>
      <w:pPr>
        <w:ind w:left="1865" w:hanging="360"/>
      </w:pPr>
    </w:lvl>
    <w:lvl w:ilvl="2">
      <w:start w:val="1"/>
      <w:numFmt w:val="lowerRoman"/>
      <w:lvlText w:val="%1.%2.%3."/>
      <w:lvlJc w:val="right"/>
      <w:pPr>
        <w:ind w:left="2585" w:hanging="180"/>
      </w:pPr>
    </w:lvl>
    <w:lvl w:ilvl="3">
      <w:start w:val="1"/>
      <w:numFmt w:val="decimal"/>
      <w:lvlText w:val="%1.%2.%3.%4."/>
      <w:lvlJc w:val="left"/>
      <w:pPr>
        <w:ind w:left="3305" w:hanging="360"/>
      </w:pPr>
    </w:lvl>
    <w:lvl w:ilvl="4">
      <w:start w:val="1"/>
      <w:numFmt w:val="lowerLetter"/>
      <w:lvlText w:val="%1.%2.%3.%4.%5."/>
      <w:lvlJc w:val="left"/>
      <w:pPr>
        <w:ind w:left="4025" w:hanging="360"/>
      </w:pPr>
    </w:lvl>
    <w:lvl w:ilvl="5">
      <w:start w:val="1"/>
      <w:numFmt w:val="lowerRoman"/>
      <w:lvlText w:val="%1.%2.%3.%4.%5.%6."/>
      <w:lvlJc w:val="right"/>
      <w:pPr>
        <w:ind w:left="4745" w:hanging="180"/>
      </w:pPr>
    </w:lvl>
    <w:lvl w:ilvl="6">
      <w:start w:val="1"/>
      <w:numFmt w:val="decimal"/>
      <w:lvlText w:val="%1.%2.%3.%4.%5.%6.%7."/>
      <w:lvlJc w:val="left"/>
      <w:pPr>
        <w:ind w:left="5465" w:hanging="360"/>
      </w:pPr>
    </w:lvl>
    <w:lvl w:ilvl="7">
      <w:start w:val="1"/>
      <w:numFmt w:val="lowerLetter"/>
      <w:lvlText w:val="%1.%2.%3.%4.%5.%6.%7.%8."/>
      <w:lvlJc w:val="left"/>
      <w:pPr>
        <w:ind w:left="6185" w:hanging="360"/>
      </w:pPr>
    </w:lvl>
    <w:lvl w:ilvl="8">
      <w:start w:val="1"/>
      <w:numFmt w:val="lowerRoman"/>
      <w:lvlText w:val="%1.%2.%3.%4.%5.%6.%7.%8.%9."/>
      <w:lvlJc w:val="right"/>
      <w:pPr>
        <w:ind w:left="6905" w:hanging="180"/>
      </w:pPr>
    </w:lvl>
  </w:abstractNum>
  <w:abstractNum w:abstractNumId="8" w15:restartNumberingAfterBreak="0">
    <w:nsid w:val="4EB65C7F"/>
    <w:multiLevelType w:val="multilevel"/>
    <w:tmpl w:val="8FEEFF72"/>
    <w:styleLink w:val="WWNum2"/>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5800442E"/>
    <w:multiLevelType w:val="multilevel"/>
    <w:tmpl w:val="BC9A1AD4"/>
    <w:styleLink w:val="WWNum5"/>
    <w:lvl w:ilvl="0">
      <w:start w:val="1"/>
      <w:numFmt w:val="lowerLetter"/>
      <w:lvlText w:val="%1)"/>
      <w:lvlJc w:val="left"/>
      <w:pPr>
        <w:ind w:left="1080" w:hanging="360"/>
      </w:pPr>
      <w:rPr>
        <w:u w:val="single"/>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 w15:restartNumberingAfterBreak="0">
    <w:nsid w:val="67FE5574"/>
    <w:multiLevelType w:val="multilevel"/>
    <w:tmpl w:val="FC24736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0"/>
  </w:num>
  <w:num w:numId="2">
    <w:abstractNumId w:val="8"/>
  </w:num>
  <w:num w:numId="3">
    <w:abstractNumId w:val="4"/>
  </w:num>
  <w:num w:numId="4">
    <w:abstractNumId w:val="3"/>
  </w:num>
  <w:num w:numId="5">
    <w:abstractNumId w:val="9"/>
  </w:num>
  <w:num w:numId="6">
    <w:abstractNumId w:val="7"/>
  </w:num>
  <w:num w:numId="7">
    <w:abstractNumId w:val="0"/>
  </w:num>
  <w:num w:numId="8">
    <w:abstractNumId w:val="5"/>
  </w:num>
  <w:num w:numId="9">
    <w:abstractNumId w:val="4"/>
    <w:lvlOverride w:ilvl="0">
      <w:startOverride w:val="1"/>
    </w:lvlOverride>
  </w:num>
  <w:num w:numId="10">
    <w:abstractNumId w:val="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68B"/>
    <w:rsid w:val="00180A60"/>
    <w:rsid w:val="0021168B"/>
    <w:rsid w:val="003931C8"/>
    <w:rsid w:val="0057605C"/>
    <w:rsid w:val="008D30B8"/>
    <w:rsid w:val="0099634D"/>
    <w:rsid w:val="00AD1631"/>
    <w:rsid w:val="00D10625"/>
    <w:rsid w:val="00DF4560"/>
    <w:rsid w:val="00E87F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99CAB7C"/>
  <w15:docId w15:val="{65D87CF5-FD46-4FA7-AB46-5E3A4831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en-IE"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ListParagraph">
    <w:name w:val="List Paragraph"/>
    <w:basedOn w:val="Standard"/>
    <w:pPr>
      <w:ind w:left="720"/>
    </w:pPr>
  </w:style>
  <w:style w:type="character" w:customStyle="1" w:styleId="ListLabel1">
    <w:name w:val="ListLabel 1"/>
    <w:rPr>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Nunan</cp:lastModifiedBy>
  <cp:revision>2</cp:revision>
  <dcterms:created xsi:type="dcterms:W3CDTF">2021-10-25T21:28:00Z</dcterms:created>
  <dcterms:modified xsi:type="dcterms:W3CDTF">2021-10-25T21:28:00Z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