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8D" w:rsidRDefault="00A0748D" w:rsidP="004A2BE6">
      <w:pPr>
        <w:spacing w:after="240" w:line="240" w:lineRule="auto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952500"/>
            <wp:effectExtent l="0" t="0" r="9525" b="0"/>
            <wp:docPr id="1" name="Picture 1" descr="C:\Users\Steve\AppData\Local\Microsoft\Windows\INetCacheContent.Word\T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Content.Word\TS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06" w:rsidRDefault="000C105F" w:rsidP="004A2BE6">
      <w:pPr>
        <w:spacing w:after="240" w:line="240" w:lineRule="auto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2A2A2A"/>
          <w:kern w:val="36"/>
          <w:sz w:val="32"/>
          <w:szCs w:val="32"/>
        </w:rPr>
        <w:t xml:space="preserve">Contingency Planning; What’s a Business </w:t>
      </w:r>
      <w:proofErr w:type="gramStart"/>
      <w:r>
        <w:rPr>
          <w:rFonts w:ascii="Times New Roman" w:eastAsia="Times New Roman" w:hAnsi="Times New Roman" w:cs="Times New Roman"/>
          <w:bCs/>
          <w:color w:val="2A2A2A"/>
          <w:kern w:val="36"/>
          <w:sz w:val="32"/>
          <w:szCs w:val="32"/>
        </w:rPr>
        <w:t>To</w:t>
      </w:r>
      <w:proofErr w:type="gramEnd"/>
      <w:r>
        <w:rPr>
          <w:rFonts w:ascii="Times New Roman" w:eastAsia="Times New Roman" w:hAnsi="Times New Roman" w:cs="Times New Roman"/>
          <w:bCs/>
          <w:color w:val="2A2A2A"/>
          <w:kern w:val="36"/>
          <w:sz w:val="32"/>
          <w:szCs w:val="32"/>
        </w:rPr>
        <w:t xml:space="preserve"> Do?</w:t>
      </w:r>
    </w:p>
    <w:p w:rsidR="00D0048E" w:rsidRPr="00E95BAB" w:rsidRDefault="00D0048E" w:rsidP="00D004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“</w:t>
      </w:r>
      <w:r w:rsidRPr="00E95BA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One thing that makes it possible to be an optimist is if you have a contingency plan for when all hell breaks loose.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” – Randy </w:t>
      </w:r>
      <w:proofErr w:type="spellStart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Pausch</w:t>
      </w:r>
      <w:proofErr w:type="spellEnd"/>
    </w:p>
    <w:p w:rsidR="00D54155" w:rsidRDefault="00D10DFF" w:rsidP="000C105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="000C105F">
        <w:rPr>
          <w:rFonts w:ascii="Times New Roman" w:hAnsi="Times New Roman" w:cs="Times New Roman"/>
        </w:rPr>
        <w:t xml:space="preserve">As we </w:t>
      </w:r>
      <w:r w:rsidR="00E95BAB">
        <w:rPr>
          <w:rFonts w:ascii="Times New Roman" w:hAnsi="Times New Roman" w:cs="Times New Roman"/>
        </w:rPr>
        <w:t xml:space="preserve">continue to </w:t>
      </w:r>
      <w:r w:rsidR="000C105F">
        <w:rPr>
          <w:rFonts w:ascii="Times New Roman" w:hAnsi="Times New Roman" w:cs="Times New Roman"/>
        </w:rPr>
        <w:t xml:space="preserve">wait for the final, final decision on the 2020 </w:t>
      </w:r>
      <w:r w:rsidR="00E95BAB">
        <w:rPr>
          <w:rFonts w:ascii="Times New Roman" w:hAnsi="Times New Roman" w:cs="Times New Roman"/>
        </w:rPr>
        <w:t xml:space="preserve">Presidential </w:t>
      </w:r>
      <w:r w:rsidR="000C105F">
        <w:rPr>
          <w:rFonts w:ascii="Times New Roman" w:hAnsi="Times New Roman" w:cs="Times New Roman"/>
        </w:rPr>
        <w:t>election, business owners find themselves in a quandary vis-à-vis a preparedness plan for the future of their small business.  The cloud of COVID-19 still looms and the decisi</w:t>
      </w:r>
      <w:r w:rsidR="00E95BAB">
        <w:rPr>
          <w:rFonts w:ascii="Times New Roman" w:hAnsi="Times New Roman" w:cs="Times New Roman"/>
        </w:rPr>
        <w:t>on on how to address the pandemic</w:t>
      </w:r>
      <w:r w:rsidR="000C105F">
        <w:rPr>
          <w:rFonts w:ascii="Times New Roman" w:hAnsi="Times New Roman" w:cs="Times New Roman"/>
        </w:rPr>
        <w:t xml:space="preserve"> falls in the lap of an administration that is still yet to be determined. One potential administration has stated they will continue to re-open and give the responsibility to state and local officials, as well as trust the business owners to handle the safety of their customers.  The other, feels a future lockdown is the way to approach the pandemic and eliminate the</w:t>
      </w:r>
      <w:r w:rsidR="00E95BAB">
        <w:rPr>
          <w:rFonts w:ascii="Times New Roman" w:hAnsi="Times New Roman" w:cs="Times New Roman"/>
        </w:rPr>
        <w:t xml:space="preserve"> spread of the virus.  Either way, with no guarantee for success, business owners must prepare for both approaches.</w:t>
      </w:r>
    </w:p>
    <w:p w:rsidR="00E95BAB" w:rsidRDefault="00E95BAB" w:rsidP="000C1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It is safe to say, having a Contingency Plan for a pandemic has not been a priority for small businesses in the United States.  Now, having multiple Contingency Plans for competing responses to a pandemic is critical.  Understanding Crisis Management, Emergency Preparedness, and Contingency Planning has never been more critical for small businesses.   </w:t>
      </w:r>
    </w:p>
    <w:p w:rsidR="00A0748D" w:rsidRPr="00D0048E" w:rsidRDefault="00A0748D" w:rsidP="006D1670">
      <w:pPr>
        <w:rPr>
          <w:rFonts w:ascii="Times New Roman" w:hAnsi="Times New Roman" w:cs="Times New Roman"/>
          <w:b/>
        </w:rPr>
      </w:pPr>
      <w:r w:rsidRPr="00D0048E">
        <w:rPr>
          <w:rFonts w:ascii="Times New Roman" w:hAnsi="Times New Roman" w:cs="Times New Roman"/>
          <w:b/>
        </w:rPr>
        <w:t>Steve Hooper</w:t>
      </w:r>
      <w:r w:rsidR="00D0048E" w:rsidRPr="00D0048E">
        <w:rPr>
          <w:rFonts w:ascii="Times New Roman" w:hAnsi="Times New Roman" w:cs="Times New Roman"/>
          <w:b/>
        </w:rPr>
        <w:t xml:space="preserve"> is a Professor at</w:t>
      </w:r>
      <w:r w:rsidR="00D54155" w:rsidRPr="00D0048E">
        <w:rPr>
          <w:rFonts w:ascii="Times New Roman" w:hAnsi="Times New Roman" w:cs="Times New Roman"/>
          <w:b/>
        </w:rPr>
        <w:t xml:space="preserve"> Embry-Riddle Aeronautical University, Colle</w:t>
      </w:r>
      <w:r w:rsidR="00D0048E" w:rsidRPr="00D0048E">
        <w:rPr>
          <w:rFonts w:ascii="Times New Roman" w:hAnsi="Times New Roman" w:cs="Times New Roman"/>
          <w:b/>
        </w:rPr>
        <w:t xml:space="preserve">ge of Security and Intelligence and </w:t>
      </w:r>
      <w:r w:rsidR="00EE3751" w:rsidRPr="00D0048E">
        <w:rPr>
          <w:rFonts w:ascii="Times New Roman" w:hAnsi="Times New Roman" w:cs="Times New Roman"/>
          <w:b/>
        </w:rPr>
        <w:t>Founder of Tripwire Security Solutions, LLC consulting and training.</w:t>
      </w:r>
    </w:p>
    <w:sectPr w:rsidR="00A0748D" w:rsidRPr="00D00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909"/>
    <w:multiLevelType w:val="hybridMultilevel"/>
    <w:tmpl w:val="24E6DB84"/>
    <w:lvl w:ilvl="0" w:tplc="CD12C01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color w:val="2A2A2A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1sDQxMTSyNDO1MLVU0lEKTi0uzszPAykwrQUAujGHpiwAAAA="/>
  </w:docVars>
  <w:rsids>
    <w:rsidRoot w:val="004A2BE6"/>
    <w:rsid w:val="00050060"/>
    <w:rsid w:val="000C105F"/>
    <w:rsid w:val="00206396"/>
    <w:rsid w:val="003656EF"/>
    <w:rsid w:val="00456406"/>
    <w:rsid w:val="004A2BE6"/>
    <w:rsid w:val="00514CF0"/>
    <w:rsid w:val="00590EA9"/>
    <w:rsid w:val="005A76E8"/>
    <w:rsid w:val="00601182"/>
    <w:rsid w:val="006D1670"/>
    <w:rsid w:val="007C4936"/>
    <w:rsid w:val="007D7A44"/>
    <w:rsid w:val="007F2209"/>
    <w:rsid w:val="00A0748D"/>
    <w:rsid w:val="00AF2BCD"/>
    <w:rsid w:val="00B13303"/>
    <w:rsid w:val="00D0048E"/>
    <w:rsid w:val="00D10DFF"/>
    <w:rsid w:val="00D54155"/>
    <w:rsid w:val="00DC018E"/>
    <w:rsid w:val="00E95BAB"/>
    <w:rsid w:val="00EA6687"/>
    <w:rsid w:val="00E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AC6A"/>
  <w15:chartTrackingRefBased/>
  <w15:docId w15:val="{35C64A60-6019-477E-8656-DC68D85C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Hooper</dc:creator>
  <cp:keywords/>
  <dc:description/>
  <cp:lastModifiedBy>Steve</cp:lastModifiedBy>
  <cp:revision>2</cp:revision>
  <dcterms:created xsi:type="dcterms:W3CDTF">2020-11-11T15:31:00Z</dcterms:created>
  <dcterms:modified xsi:type="dcterms:W3CDTF">2020-11-11T15:31:00Z</dcterms:modified>
</cp:coreProperties>
</file>