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E965" w14:textId="77777777" w:rsidR="00DC1AE5" w:rsidRDefault="00000000">
      <w:pPr>
        <w:spacing w:after="217"/>
        <w:ind w:left="1440"/>
      </w:pPr>
      <w:r>
        <w:t xml:space="preserve">  </w:t>
      </w:r>
    </w:p>
    <w:p w14:paraId="11088CD1" w14:textId="283DC2F6" w:rsidR="00DC1AE5" w:rsidRDefault="00000000">
      <w:pPr>
        <w:spacing w:after="0"/>
        <w:ind w:left="632"/>
        <w:jc w:val="center"/>
      </w:pPr>
      <w:r>
        <w:rPr>
          <w:b/>
          <w:sz w:val="29"/>
        </w:rPr>
        <w:t xml:space="preserve"> SLIDING FEE SCHEDULE  </w:t>
      </w:r>
    </w:p>
    <w:p w14:paraId="100EE3D7" w14:textId="77777777" w:rsidR="00DC1AE5" w:rsidRDefault="00000000">
      <w:pPr>
        <w:spacing w:after="233"/>
        <w:ind w:left="1440"/>
      </w:pPr>
      <w:r>
        <w:t xml:space="preserve"> </w:t>
      </w:r>
    </w:p>
    <w:p w14:paraId="264769E3" w14:textId="77777777" w:rsidR="00DC1AE5" w:rsidRDefault="00000000">
      <w:pPr>
        <w:spacing w:after="0"/>
        <w:ind w:left="5248" w:right="238" w:hanging="3536"/>
      </w:pPr>
      <w:r>
        <w:rPr>
          <w:sz w:val="24"/>
        </w:rPr>
        <w:t xml:space="preserve">Maximum Annual Income Amounts for each Sliding Fee Percentage Category (except for 0 percent discount) </w:t>
      </w:r>
    </w:p>
    <w:tbl>
      <w:tblPr>
        <w:tblStyle w:val="TableGrid"/>
        <w:tblW w:w="10948" w:type="dxa"/>
        <w:tblInd w:w="626" w:type="dxa"/>
        <w:tblCellMar>
          <w:top w:w="32" w:type="dxa"/>
          <w:left w:w="40" w:type="dxa"/>
          <w:bottom w:w="0" w:type="dxa"/>
          <w:right w:w="18" w:type="dxa"/>
        </w:tblCellMar>
        <w:tblLook w:val="04A0" w:firstRow="1" w:lastRow="0" w:firstColumn="1" w:lastColumn="0" w:noHBand="0" w:noVBand="1"/>
      </w:tblPr>
      <w:tblGrid>
        <w:gridCol w:w="1216"/>
        <w:gridCol w:w="806"/>
        <w:gridCol w:w="816"/>
        <w:gridCol w:w="810"/>
        <w:gridCol w:w="806"/>
        <w:gridCol w:w="816"/>
        <w:gridCol w:w="816"/>
        <w:gridCol w:w="800"/>
        <w:gridCol w:w="816"/>
        <w:gridCol w:w="816"/>
        <w:gridCol w:w="810"/>
        <w:gridCol w:w="806"/>
        <w:gridCol w:w="814"/>
      </w:tblGrid>
      <w:tr w:rsidR="00DC1AE5" w14:paraId="0E2F5A21" w14:textId="77777777">
        <w:trPr>
          <w:trHeight w:val="762"/>
        </w:trPr>
        <w:tc>
          <w:tcPr>
            <w:tcW w:w="121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1CB60332" w14:textId="77777777" w:rsidR="00DC1AE5" w:rsidRDefault="00000000">
            <w:pPr>
              <w:spacing w:after="0"/>
              <w:ind w:left="29"/>
              <w:jc w:val="center"/>
            </w:pPr>
            <w:r>
              <w:rPr>
                <w:b/>
                <w:sz w:val="21"/>
              </w:rPr>
              <w:t xml:space="preserve">Poverty Level </w:t>
            </w:r>
          </w:p>
        </w:tc>
        <w:tc>
          <w:tcPr>
            <w:tcW w:w="80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0DA54935" w14:textId="77777777" w:rsidR="00DC1AE5" w:rsidRDefault="00000000">
            <w:pPr>
              <w:spacing w:after="0"/>
              <w:ind w:right="92"/>
              <w:jc w:val="center"/>
            </w:pPr>
            <w:r>
              <w:rPr>
                <w:b/>
                <w:sz w:val="16"/>
              </w:rPr>
              <w:t xml:space="preserve">100% </w:t>
            </w:r>
          </w:p>
        </w:tc>
        <w:tc>
          <w:tcPr>
            <w:tcW w:w="81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18F61C48" w14:textId="77777777" w:rsidR="00DC1AE5" w:rsidRDefault="00000000">
            <w:pPr>
              <w:spacing w:after="0"/>
              <w:ind w:right="82"/>
              <w:jc w:val="center"/>
            </w:pPr>
            <w:r>
              <w:rPr>
                <w:b/>
                <w:sz w:val="16"/>
              </w:rPr>
              <w:t xml:space="preserve">110% </w:t>
            </w:r>
          </w:p>
        </w:tc>
        <w:tc>
          <w:tcPr>
            <w:tcW w:w="810"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34A7C3D2" w14:textId="77777777" w:rsidR="00DC1AE5" w:rsidRDefault="00000000">
            <w:pPr>
              <w:spacing w:after="0"/>
              <w:ind w:right="108"/>
              <w:jc w:val="center"/>
            </w:pPr>
            <w:r>
              <w:rPr>
                <w:b/>
                <w:sz w:val="16"/>
              </w:rPr>
              <w:t xml:space="preserve">120% </w:t>
            </w:r>
          </w:p>
        </w:tc>
        <w:tc>
          <w:tcPr>
            <w:tcW w:w="80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23102053" w14:textId="77777777" w:rsidR="00DC1AE5" w:rsidRDefault="00000000">
            <w:pPr>
              <w:spacing w:after="0"/>
              <w:ind w:right="92"/>
              <w:jc w:val="center"/>
            </w:pPr>
            <w:r>
              <w:rPr>
                <w:b/>
                <w:sz w:val="16"/>
              </w:rPr>
              <w:t xml:space="preserve">130% </w:t>
            </w:r>
          </w:p>
        </w:tc>
        <w:tc>
          <w:tcPr>
            <w:tcW w:w="81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3CB4E7DB" w14:textId="77777777" w:rsidR="00DC1AE5" w:rsidRDefault="00000000">
            <w:pPr>
              <w:spacing w:after="0"/>
              <w:ind w:right="82"/>
              <w:jc w:val="center"/>
            </w:pPr>
            <w:r>
              <w:rPr>
                <w:b/>
                <w:sz w:val="16"/>
              </w:rPr>
              <w:t xml:space="preserve">140% </w:t>
            </w:r>
          </w:p>
        </w:tc>
        <w:tc>
          <w:tcPr>
            <w:tcW w:w="81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032F9AA3" w14:textId="77777777" w:rsidR="00DC1AE5" w:rsidRDefault="00000000">
            <w:pPr>
              <w:spacing w:after="0"/>
              <w:ind w:left="144"/>
            </w:pPr>
            <w:r>
              <w:rPr>
                <w:b/>
                <w:sz w:val="16"/>
              </w:rPr>
              <w:t xml:space="preserve">150% </w:t>
            </w:r>
          </w:p>
        </w:tc>
        <w:tc>
          <w:tcPr>
            <w:tcW w:w="800"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544C0175" w14:textId="77777777" w:rsidR="00DC1AE5" w:rsidRDefault="00000000">
            <w:pPr>
              <w:spacing w:after="0"/>
              <w:ind w:left="128"/>
            </w:pPr>
            <w:r>
              <w:rPr>
                <w:b/>
                <w:sz w:val="16"/>
              </w:rPr>
              <w:t xml:space="preserve">160% </w:t>
            </w:r>
          </w:p>
        </w:tc>
        <w:tc>
          <w:tcPr>
            <w:tcW w:w="81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02E0BFB9" w14:textId="77777777" w:rsidR="00DC1AE5" w:rsidRDefault="00000000">
            <w:pPr>
              <w:spacing w:after="0"/>
              <w:ind w:left="144"/>
            </w:pPr>
            <w:r>
              <w:rPr>
                <w:b/>
                <w:sz w:val="16"/>
              </w:rPr>
              <w:t xml:space="preserve">170% </w:t>
            </w:r>
          </w:p>
        </w:tc>
        <w:tc>
          <w:tcPr>
            <w:tcW w:w="81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0327DB00" w14:textId="77777777" w:rsidR="00DC1AE5" w:rsidRDefault="00000000">
            <w:pPr>
              <w:spacing w:after="0"/>
              <w:ind w:left="144"/>
            </w:pPr>
            <w:r>
              <w:rPr>
                <w:b/>
                <w:sz w:val="16"/>
              </w:rPr>
              <w:t xml:space="preserve">180% </w:t>
            </w:r>
          </w:p>
        </w:tc>
        <w:tc>
          <w:tcPr>
            <w:tcW w:w="810"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2B094AB9" w14:textId="77777777" w:rsidR="00DC1AE5" w:rsidRDefault="00000000">
            <w:pPr>
              <w:spacing w:after="0"/>
              <w:ind w:left="128"/>
            </w:pPr>
            <w:r>
              <w:rPr>
                <w:b/>
                <w:sz w:val="16"/>
              </w:rPr>
              <w:t xml:space="preserve">190% </w:t>
            </w:r>
          </w:p>
        </w:tc>
        <w:tc>
          <w:tcPr>
            <w:tcW w:w="806"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1E845CC4" w14:textId="77777777" w:rsidR="00DC1AE5" w:rsidRDefault="00000000">
            <w:pPr>
              <w:spacing w:after="0"/>
              <w:ind w:left="134"/>
            </w:pPr>
            <w:r>
              <w:rPr>
                <w:b/>
                <w:sz w:val="16"/>
              </w:rPr>
              <w:t xml:space="preserve">200% </w:t>
            </w:r>
          </w:p>
        </w:tc>
        <w:tc>
          <w:tcPr>
            <w:tcW w:w="814" w:type="dxa"/>
            <w:tcBorders>
              <w:top w:val="single" w:sz="6" w:space="0" w:color="000000"/>
              <w:left w:val="single" w:sz="6" w:space="0" w:color="000000"/>
              <w:bottom w:val="single" w:sz="6" w:space="0" w:color="000000"/>
              <w:right w:val="single" w:sz="6" w:space="0" w:color="000000"/>
            </w:tcBorders>
            <w:shd w:val="clear" w:color="auto" w:fill="DBE4F0"/>
            <w:vAlign w:val="center"/>
          </w:tcPr>
          <w:p w14:paraId="56E79AED" w14:textId="77777777" w:rsidR="00DC1AE5" w:rsidRDefault="00000000">
            <w:pPr>
              <w:spacing w:after="0"/>
              <w:ind w:left="96"/>
              <w:jc w:val="center"/>
            </w:pPr>
            <w:r>
              <w:rPr>
                <w:b/>
                <w:sz w:val="16"/>
              </w:rPr>
              <w:t xml:space="preserve">&gt;200% </w:t>
            </w:r>
          </w:p>
        </w:tc>
      </w:tr>
      <w:tr w:rsidR="00DC1AE5" w14:paraId="7254E6E7" w14:textId="77777777">
        <w:trPr>
          <w:trHeight w:val="512"/>
        </w:trPr>
        <w:tc>
          <w:tcPr>
            <w:tcW w:w="1216" w:type="dxa"/>
            <w:tcBorders>
              <w:top w:val="single" w:sz="6" w:space="0" w:color="000000"/>
              <w:left w:val="single" w:sz="6" w:space="0" w:color="000000"/>
              <w:bottom w:val="single" w:sz="6" w:space="0" w:color="000000"/>
              <w:right w:val="single" w:sz="6" w:space="0" w:color="000000"/>
            </w:tcBorders>
          </w:tcPr>
          <w:p w14:paraId="49A16A45" w14:textId="77777777" w:rsidR="00DC1AE5" w:rsidRDefault="00000000">
            <w:pPr>
              <w:spacing w:after="0"/>
              <w:ind w:left="86"/>
            </w:pPr>
            <w:r>
              <w:rPr>
                <w:b/>
                <w:sz w:val="21"/>
              </w:rPr>
              <w:t xml:space="preserve">Family Size </w:t>
            </w:r>
          </w:p>
        </w:tc>
        <w:tc>
          <w:tcPr>
            <w:tcW w:w="806" w:type="dxa"/>
            <w:tcBorders>
              <w:top w:val="single" w:sz="6" w:space="0" w:color="000000"/>
              <w:left w:val="single" w:sz="6" w:space="0" w:color="000000"/>
              <w:bottom w:val="single" w:sz="6" w:space="0" w:color="000000"/>
              <w:right w:val="single" w:sz="6" w:space="0" w:color="000000"/>
            </w:tcBorders>
            <w:shd w:val="clear" w:color="auto" w:fill="8DB3E1"/>
          </w:tcPr>
          <w:p w14:paraId="5076C171" w14:textId="77777777" w:rsidR="00DC1AE5" w:rsidRDefault="00000000">
            <w:pPr>
              <w:spacing w:after="0"/>
              <w:ind w:left="134" w:hanging="96"/>
            </w:pPr>
            <w:proofErr w:type="gramStart"/>
            <w:r>
              <w:rPr>
                <w:b/>
                <w:sz w:val="16"/>
              </w:rPr>
              <w:t>Discount  100</w:t>
            </w:r>
            <w:proofErr w:type="gramEnd"/>
            <w:r>
              <w:rPr>
                <w:b/>
                <w:sz w:val="16"/>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8DB3E1"/>
          </w:tcPr>
          <w:p w14:paraId="76E7E6DC" w14:textId="77777777" w:rsidR="00DC1AE5" w:rsidRDefault="00000000">
            <w:pPr>
              <w:spacing w:after="0"/>
              <w:ind w:left="192" w:hanging="144"/>
            </w:pPr>
            <w:proofErr w:type="gramStart"/>
            <w:r>
              <w:rPr>
                <w:b/>
                <w:sz w:val="16"/>
              </w:rPr>
              <w:t>Discount  90</w:t>
            </w:r>
            <w:proofErr w:type="gramEnd"/>
            <w:r>
              <w:rPr>
                <w:b/>
                <w:sz w:val="16"/>
              </w:rPr>
              <w:t xml:space="preserve">% </w:t>
            </w:r>
          </w:p>
        </w:tc>
        <w:tc>
          <w:tcPr>
            <w:tcW w:w="810" w:type="dxa"/>
            <w:tcBorders>
              <w:top w:val="single" w:sz="6" w:space="0" w:color="000000"/>
              <w:left w:val="single" w:sz="6" w:space="0" w:color="000000"/>
              <w:bottom w:val="single" w:sz="6" w:space="0" w:color="000000"/>
              <w:right w:val="single" w:sz="6" w:space="0" w:color="000000"/>
            </w:tcBorders>
            <w:shd w:val="clear" w:color="auto" w:fill="8DB3E1"/>
          </w:tcPr>
          <w:p w14:paraId="39908BD2" w14:textId="77777777" w:rsidR="00DC1AE5" w:rsidRDefault="00000000">
            <w:pPr>
              <w:spacing w:after="0"/>
              <w:ind w:left="192" w:hanging="144"/>
            </w:pPr>
            <w:proofErr w:type="gramStart"/>
            <w:r>
              <w:rPr>
                <w:b/>
                <w:sz w:val="16"/>
              </w:rPr>
              <w:t>Discount  80</w:t>
            </w:r>
            <w:proofErr w:type="gramEnd"/>
            <w:r>
              <w:rPr>
                <w:b/>
                <w:sz w:val="16"/>
              </w:rPr>
              <w:t xml:space="preserve">% </w:t>
            </w:r>
          </w:p>
        </w:tc>
        <w:tc>
          <w:tcPr>
            <w:tcW w:w="806" w:type="dxa"/>
            <w:tcBorders>
              <w:top w:val="single" w:sz="6" w:space="0" w:color="000000"/>
              <w:left w:val="single" w:sz="6" w:space="0" w:color="000000"/>
              <w:bottom w:val="single" w:sz="6" w:space="0" w:color="000000"/>
              <w:right w:val="single" w:sz="6" w:space="0" w:color="000000"/>
            </w:tcBorders>
            <w:shd w:val="clear" w:color="auto" w:fill="8DB3E1"/>
          </w:tcPr>
          <w:p w14:paraId="7950C18A" w14:textId="77777777" w:rsidR="00DC1AE5" w:rsidRDefault="00000000">
            <w:pPr>
              <w:spacing w:after="0"/>
              <w:ind w:left="182" w:hanging="144"/>
            </w:pPr>
            <w:proofErr w:type="gramStart"/>
            <w:r>
              <w:rPr>
                <w:b/>
                <w:sz w:val="16"/>
              </w:rPr>
              <w:t>Discount  70</w:t>
            </w:r>
            <w:proofErr w:type="gramEnd"/>
            <w:r>
              <w:rPr>
                <w:b/>
                <w:sz w:val="16"/>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8DB3E1"/>
          </w:tcPr>
          <w:p w14:paraId="2A1DCB90" w14:textId="77777777" w:rsidR="00DC1AE5" w:rsidRDefault="00000000">
            <w:pPr>
              <w:spacing w:after="0"/>
              <w:ind w:left="192" w:hanging="144"/>
            </w:pPr>
            <w:proofErr w:type="gramStart"/>
            <w:r>
              <w:rPr>
                <w:b/>
                <w:sz w:val="16"/>
              </w:rPr>
              <w:t>Discount  60</w:t>
            </w:r>
            <w:proofErr w:type="gramEnd"/>
            <w:r>
              <w:rPr>
                <w:b/>
                <w:sz w:val="16"/>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8DB3E1"/>
          </w:tcPr>
          <w:p w14:paraId="54171386" w14:textId="77777777" w:rsidR="00DC1AE5" w:rsidRDefault="00000000">
            <w:pPr>
              <w:spacing w:after="0"/>
              <w:ind w:left="192" w:hanging="144"/>
            </w:pPr>
            <w:proofErr w:type="gramStart"/>
            <w:r>
              <w:rPr>
                <w:b/>
                <w:sz w:val="16"/>
              </w:rPr>
              <w:t>Discount  50</w:t>
            </w:r>
            <w:proofErr w:type="gramEnd"/>
            <w:r>
              <w:rPr>
                <w:b/>
                <w:sz w:val="16"/>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8DB3E1"/>
          </w:tcPr>
          <w:p w14:paraId="1454EF12" w14:textId="77777777" w:rsidR="00DC1AE5" w:rsidRDefault="00000000">
            <w:pPr>
              <w:spacing w:after="0"/>
              <w:ind w:left="176" w:hanging="144"/>
            </w:pPr>
            <w:proofErr w:type="gramStart"/>
            <w:r>
              <w:rPr>
                <w:b/>
                <w:sz w:val="16"/>
              </w:rPr>
              <w:t>Discount  40</w:t>
            </w:r>
            <w:proofErr w:type="gramEnd"/>
            <w:r>
              <w:rPr>
                <w:b/>
                <w:sz w:val="16"/>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8DB3E1"/>
          </w:tcPr>
          <w:p w14:paraId="196454E4" w14:textId="77777777" w:rsidR="00DC1AE5" w:rsidRDefault="00000000">
            <w:pPr>
              <w:spacing w:after="0"/>
              <w:ind w:left="192" w:hanging="144"/>
            </w:pPr>
            <w:proofErr w:type="gramStart"/>
            <w:r>
              <w:rPr>
                <w:b/>
                <w:sz w:val="16"/>
              </w:rPr>
              <w:t>Discount  30</w:t>
            </w:r>
            <w:proofErr w:type="gramEnd"/>
            <w:r>
              <w:rPr>
                <w:b/>
                <w:sz w:val="16"/>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8DB3E1"/>
          </w:tcPr>
          <w:p w14:paraId="39197004" w14:textId="77777777" w:rsidR="00DC1AE5" w:rsidRDefault="00000000">
            <w:pPr>
              <w:spacing w:after="0"/>
              <w:ind w:left="192" w:hanging="144"/>
            </w:pPr>
            <w:proofErr w:type="gramStart"/>
            <w:r>
              <w:rPr>
                <w:b/>
                <w:sz w:val="16"/>
              </w:rPr>
              <w:t>Discount  20</w:t>
            </w:r>
            <w:proofErr w:type="gramEnd"/>
            <w:r>
              <w:rPr>
                <w:b/>
                <w:sz w:val="16"/>
              </w:rPr>
              <w:t xml:space="preserve">% </w:t>
            </w:r>
          </w:p>
        </w:tc>
        <w:tc>
          <w:tcPr>
            <w:tcW w:w="810" w:type="dxa"/>
            <w:tcBorders>
              <w:top w:val="single" w:sz="6" w:space="0" w:color="000000"/>
              <w:left w:val="single" w:sz="6" w:space="0" w:color="000000"/>
              <w:bottom w:val="single" w:sz="6" w:space="0" w:color="000000"/>
              <w:right w:val="single" w:sz="6" w:space="0" w:color="000000"/>
            </w:tcBorders>
            <w:shd w:val="clear" w:color="auto" w:fill="8DB3E1"/>
          </w:tcPr>
          <w:p w14:paraId="1FEB2458" w14:textId="77777777" w:rsidR="00DC1AE5" w:rsidRDefault="00000000">
            <w:pPr>
              <w:spacing w:after="0"/>
              <w:ind w:left="176" w:hanging="144"/>
            </w:pPr>
            <w:proofErr w:type="gramStart"/>
            <w:r>
              <w:rPr>
                <w:b/>
                <w:sz w:val="16"/>
              </w:rPr>
              <w:t>Discount  15</w:t>
            </w:r>
            <w:proofErr w:type="gramEnd"/>
            <w:r>
              <w:rPr>
                <w:b/>
                <w:sz w:val="16"/>
              </w:rPr>
              <w:t xml:space="preserve">% </w:t>
            </w:r>
          </w:p>
        </w:tc>
        <w:tc>
          <w:tcPr>
            <w:tcW w:w="806" w:type="dxa"/>
            <w:tcBorders>
              <w:top w:val="single" w:sz="6" w:space="0" w:color="000000"/>
              <w:left w:val="single" w:sz="6" w:space="0" w:color="000000"/>
              <w:bottom w:val="single" w:sz="6" w:space="0" w:color="000000"/>
              <w:right w:val="single" w:sz="6" w:space="0" w:color="000000"/>
            </w:tcBorders>
            <w:shd w:val="clear" w:color="auto" w:fill="8DB3E1"/>
          </w:tcPr>
          <w:p w14:paraId="1ADE041C" w14:textId="77777777" w:rsidR="00DC1AE5" w:rsidRDefault="00000000">
            <w:pPr>
              <w:spacing w:after="0"/>
              <w:ind w:left="182" w:hanging="144"/>
            </w:pPr>
            <w:proofErr w:type="gramStart"/>
            <w:r>
              <w:rPr>
                <w:b/>
                <w:sz w:val="16"/>
              </w:rPr>
              <w:t>Discount  10</w:t>
            </w:r>
            <w:proofErr w:type="gramEnd"/>
            <w:r>
              <w:rPr>
                <w:b/>
                <w:sz w:val="16"/>
              </w:rPr>
              <w:t xml:space="preserve">% </w:t>
            </w:r>
          </w:p>
        </w:tc>
        <w:tc>
          <w:tcPr>
            <w:tcW w:w="814" w:type="dxa"/>
            <w:tcBorders>
              <w:top w:val="single" w:sz="6" w:space="0" w:color="000000"/>
              <w:left w:val="single" w:sz="6" w:space="0" w:color="000000"/>
              <w:bottom w:val="single" w:sz="6" w:space="0" w:color="000000"/>
              <w:right w:val="single" w:sz="6" w:space="0" w:color="000000"/>
            </w:tcBorders>
            <w:shd w:val="clear" w:color="auto" w:fill="8DB3E1"/>
          </w:tcPr>
          <w:p w14:paraId="52506C3B" w14:textId="77777777" w:rsidR="00DC1AE5" w:rsidRDefault="00000000">
            <w:pPr>
              <w:spacing w:after="0"/>
              <w:ind w:left="240" w:hanging="192"/>
            </w:pPr>
            <w:proofErr w:type="gramStart"/>
            <w:r>
              <w:rPr>
                <w:b/>
                <w:sz w:val="16"/>
              </w:rPr>
              <w:t>Discount  0</w:t>
            </w:r>
            <w:proofErr w:type="gramEnd"/>
            <w:r>
              <w:rPr>
                <w:b/>
                <w:sz w:val="16"/>
              </w:rPr>
              <w:t xml:space="preserve">% </w:t>
            </w:r>
          </w:p>
        </w:tc>
      </w:tr>
      <w:tr w:rsidR="00DC1AE5" w14:paraId="0DBB8251" w14:textId="77777777">
        <w:trPr>
          <w:trHeight w:val="368"/>
        </w:trPr>
        <w:tc>
          <w:tcPr>
            <w:tcW w:w="1216" w:type="dxa"/>
            <w:tcBorders>
              <w:top w:val="single" w:sz="6" w:space="0" w:color="000000"/>
              <w:left w:val="single" w:sz="6" w:space="0" w:color="000000"/>
              <w:bottom w:val="single" w:sz="6" w:space="0" w:color="000000"/>
              <w:right w:val="single" w:sz="6" w:space="0" w:color="000000"/>
            </w:tcBorders>
          </w:tcPr>
          <w:p w14:paraId="3E2B1318" w14:textId="77777777" w:rsidR="00DC1AE5" w:rsidRDefault="00000000">
            <w:pPr>
              <w:spacing w:after="0"/>
              <w:ind w:right="9"/>
              <w:jc w:val="center"/>
            </w:pPr>
            <w:r>
              <w:rPr>
                <w:b/>
                <w:sz w:val="16"/>
              </w:rPr>
              <w:t xml:space="preserve">1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15885E35" w14:textId="77777777" w:rsidR="00DC1AE5" w:rsidRDefault="00000000">
            <w:pPr>
              <w:spacing w:after="0"/>
              <w:ind w:left="54"/>
            </w:pPr>
            <w:r>
              <w:rPr>
                <w:sz w:val="16"/>
              </w:rPr>
              <w:t xml:space="preserve">$15,060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2B92CC9B" w14:textId="77777777" w:rsidR="00DC1AE5" w:rsidRDefault="00000000">
            <w:pPr>
              <w:spacing w:after="0"/>
              <w:ind w:left="64"/>
            </w:pPr>
            <w:r>
              <w:rPr>
                <w:sz w:val="16"/>
              </w:rPr>
              <w:t xml:space="preserve">$16,566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39C0165F" w14:textId="77777777" w:rsidR="00DC1AE5" w:rsidRDefault="00000000">
            <w:pPr>
              <w:spacing w:after="0"/>
              <w:ind w:left="64"/>
            </w:pPr>
            <w:r>
              <w:rPr>
                <w:sz w:val="16"/>
              </w:rPr>
              <w:t xml:space="preserve">$18,072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19271FF8" w14:textId="77777777" w:rsidR="00DC1AE5" w:rsidRDefault="00000000">
            <w:pPr>
              <w:spacing w:after="0"/>
              <w:ind w:left="54"/>
            </w:pPr>
            <w:r>
              <w:rPr>
                <w:sz w:val="16"/>
              </w:rPr>
              <w:t xml:space="preserve">$19,578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0D021E53" w14:textId="77777777" w:rsidR="00DC1AE5" w:rsidRDefault="00000000">
            <w:pPr>
              <w:spacing w:after="0"/>
              <w:ind w:left="64"/>
            </w:pPr>
            <w:r>
              <w:rPr>
                <w:sz w:val="16"/>
              </w:rPr>
              <w:t xml:space="preserve">$21,084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25521698" w14:textId="77777777" w:rsidR="00DC1AE5" w:rsidRDefault="00000000">
            <w:pPr>
              <w:spacing w:after="0"/>
              <w:ind w:left="64"/>
            </w:pPr>
            <w:r>
              <w:rPr>
                <w:sz w:val="16"/>
              </w:rPr>
              <w:t xml:space="preserve">$22,590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tcPr>
          <w:p w14:paraId="593980C9" w14:textId="77777777" w:rsidR="00DC1AE5" w:rsidRDefault="00000000">
            <w:pPr>
              <w:spacing w:after="0"/>
              <w:ind w:left="48"/>
            </w:pPr>
            <w:r>
              <w:rPr>
                <w:sz w:val="16"/>
              </w:rPr>
              <w:t xml:space="preserve">$24,096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0E0E885F" w14:textId="77777777" w:rsidR="00DC1AE5" w:rsidRDefault="00000000">
            <w:pPr>
              <w:spacing w:after="0"/>
              <w:ind w:left="64"/>
            </w:pPr>
            <w:r>
              <w:rPr>
                <w:sz w:val="16"/>
              </w:rPr>
              <w:t xml:space="preserve">$25,602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5E9266D2" w14:textId="77777777" w:rsidR="00DC1AE5" w:rsidRDefault="00000000">
            <w:pPr>
              <w:spacing w:after="0"/>
              <w:ind w:left="64"/>
            </w:pPr>
            <w:r>
              <w:rPr>
                <w:sz w:val="16"/>
              </w:rPr>
              <w:t xml:space="preserve">$27,108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317F7CFA" w14:textId="77777777" w:rsidR="00DC1AE5" w:rsidRDefault="00000000">
            <w:pPr>
              <w:spacing w:after="0"/>
              <w:ind w:left="48"/>
            </w:pPr>
            <w:r>
              <w:rPr>
                <w:sz w:val="16"/>
              </w:rPr>
              <w:t xml:space="preserve">$28,614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02EA51E0" w14:textId="77777777" w:rsidR="00DC1AE5" w:rsidRDefault="00000000">
            <w:pPr>
              <w:spacing w:after="0"/>
              <w:ind w:left="54"/>
            </w:pPr>
            <w:r>
              <w:rPr>
                <w:sz w:val="16"/>
              </w:rPr>
              <w:t xml:space="preserve">$30,120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tcPr>
          <w:p w14:paraId="7253A3B0" w14:textId="77777777" w:rsidR="00DC1AE5" w:rsidRDefault="00000000">
            <w:pPr>
              <w:spacing w:after="0"/>
              <w:ind w:left="64"/>
            </w:pPr>
            <w:r>
              <w:rPr>
                <w:sz w:val="16"/>
              </w:rPr>
              <w:t xml:space="preserve">&gt;$30,120  </w:t>
            </w:r>
          </w:p>
        </w:tc>
      </w:tr>
      <w:tr w:rsidR="00DC1AE5" w14:paraId="1EFA6EF9" w14:textId="77777777">
        <w:trPr>
          <w:trHeight w:val="368"/>
        </w:trPr>
        <w:tc>
          <w:tcPr>
            <w:tcW w:w="1216" w:type="dxa"/>
            <w:tcBorders>
              <w:top w:val="single" w:sz="6" w:space="0" w:color="000000"/>
              <w:left w:val="single" w:sz="6" w:space="0" w:color="000000"/>
              <w:bottom w:val="single" w:sz="6" w:space="0" w:color="000000"/>
              <w:right w:val="single" w:sz="6" w:space="0" w:color="000000"/>
            </w:tcBorders>
          </w:tcPr>
          <w:p w14:paraId="6D830CB4" w14:textId="77777777" w:rsidR="00DC1AE5" w:rsidRDefault="00000000">
            <w:pPr>
              <w:spacing w:after="0"/>
              <w:ind w:right="9"/>
              <w:jc w:val="center"/>
            </w:pPr>
            <w:r>
              <w:rPr>
                <w:b/>
                <w:sz w:val="16"/>
              </w:rPr>
              <w:t xml:space="preserve">2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578B46D5" w14:textId="77777777" w:rsidR="00DC1AE5" w:rsidRDefault="00000000">
            <w:pPr>
              <w:spacing w:after="0"/>
              <w:ind w:left="54"/>
            </w:pPr>
            <w:r>
              <w:rPr>
                <w:sz w:val="16"/>
              </w:rPr>
              <w:t xml:space="preserve">$20,440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1529335F" w14:textId="77777777" w:rsidR="00DC1AE5" w:rsidRDefault="00000000">
            <w:pPr>
              <w:spacing w:after="0"/>
              <w:ind w:left="64"/>
            </w:pPr>
            <w:r>
              <w:rPr>
                <w:sz w:val="16"/>
              </w:rPr>
              <w:t xml:space="preserve">$22,484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68A47CC1" w14:textId="77777777" w:rsidR="00DC1AE5" w:rsidRDefault="00000000">
            <w:pPr>
              <w:spacing w:after="0"/>
              <w:ind w:left="64"/>
            </w:pPr>
            <w:r>
              <w:rPr>
                <w:sz w:val="16"/>
              </w:rPr>
              <w:t xml:space="preserve">$24,528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0952EFA1" w14:textId="77777777" w:rsidR="00DC1AE5" w:rsidRDefault="00000000">
            <w:pPr>
              <w:spacing w:after="0"/>
              <w:ind w:left="54"/>
            </w:pPr>
            <w:r>
              <w:rPr>
                <w:sz w:val="16"/>
              </w:rPr>
              <w:t xml:space="preserve">$26,572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4DBF9C19" w14:textId="77777777" w:rsidR="00DC1AE5" w:rsidRDefault="00000000">
            <w:pPr>
              <w:spacing w:after="0"/>
              <w:ind w:left="64"/>
            </w:pPr>
            <w:r>
              <w:rPr>
                <w:sz w:val="16"/>
              </w:rPr>
              <w:t xml:space="preserve">$28,616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4AD45627" w14:textId="77777777" w:rsidR="00DC1AE5" w:rsidRDefault="00000000">
            <w:pPr>
              <w:spacing w:after="0"/>
              <w:ind w:left="64"/>
            </w:pPr>
            <w:r>
              <w:rPr>
                <w:sz w:val="16"/>
              </w:rPr>
              <w:t xml:space="preserve">$30,660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tcPr>
          <w:p w14:paraId="4EFA05A9" w14:textId="77777777" w:rsidR="00DC1AE5" w:rsidRDefault="00000000">
            <w:pPr>
              <w:spacing w:after="0"/>
              <w:ind w:left="48"/>
            </w:pPr>
            <w:r>
              <w:rPr>
                <w:sz w:val="16"/>
              </w:rPr>
              <w:t xml:space="preserve">$32,704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68B80905" w14:textId="77777777" w:rsidR="00DC1AE5" w:rsidRDefault="00000000">
            <w:pPr>
              <w:spacing w:after="0"/>
              <w:ind w:left="64"/>
            </w:pPr>
            <w:r>
              <w:rPr>
                <w:sz w:val="16"/>
              </w:rPr>
              <w:t xml:space="preserve">$34,748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773F02D8" w14:textId="77777777" w:rsidR="00DC1AE5" w:rsidRDefault="00000000">
            <w:pPr>
              <w:spacing w:after="0"/>
              <w:ind w:left="64"/>
            </w:pPr>
            <w:r>
              <w:rPr>
                <w:sz w:val="16"/>
              </w:rPr>
              <w:t xml:space="preserve">$36,792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475D063D" w14:textId="77777777" w:rsidR="00DC1AE5" w:rsidRDefault="00000000">
            <w:pPr>
              <w:spacing w:after="0"/>
              <w:ind w:left="48"/>
            </w:pPr>
            <w:r>
              <w:rPr>
                <w:sz w:val="16"/>
              </w:rPr>
              <w:t xml:space="preserve">$38,836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56C5300B" w14:textId="77777777" w:rsidR="00DC1AE5" w:rsidRDefault="00000000">
            <w:pPr>
              <w:spacing w:after="0"/>
              <w:ind w:left="54"/>
            </w:pPr>
            <w:r>
              <w:rPr>
                <w:sz w:val="16"/>
              </w:rPr>
              <w:t xml:space="preserve">$40,880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tcPr>
          <w:p w14:paraId="65D106B0" w14:textId="77777777" w:rsidR="00DC1AE5" w:rsidRDefault="00000000">
            <w:pPr>
              <w:spacing w:after="0"/>
              <w:ind w:left="64"/>
            </w:pPr>
            <w:r>
              <w:rPr>
                <w:sz w:val="16"/>
              </w:rPr>
              <w:t xml:space="preserve">&gt;$40,880  </w:t>
            </w:r>
          </w:p>
        </w:tc>
      </w:tr>
      <w:tr w:rsidR="00DC1AE5" w14:paraId="223BA8CB" w14:textId="77777777">
        <w:trPr>
          <w:trHeight w:val="384"/>
        </w:trPr>
        <w:tc>
          <w:tcPr>
            <w:tcW w:w="1216" w:type="dxa"/>
            <w:tcBorders>
              <w:top w:val="single" w:sz="6" w:space="0" w:color="000000"/>
              <w:left w:val="single" w:sz="6" w:space="0" w:color="000000"/>
              <w:bottom w:val="single" w:sz="6" w:space="0" w:color="000000"/>
              <w:right w:val="single" w:sz="6" w:space="0" w:color="000000"/>
            </w:tcBorders>
          </w:tcPr>
          <w:p w14:paraId="0880028E" w14:textId="77777777" w:rsidR="00DC1AE5" w:rsidRDefault="00000000">
            <w:pPr>
              <w:spacing w:after="0"/>
              <w:ind w:right="9"/>
              <w:jc w:val="center"/>
            </w:pPr>
            <w:r>
              <w:rPr>
                <w:b/>
                <w:sz w:val="16"/>
              </w:rPr>
              <w:t xml:space="preserve">3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1EEA8A0" w14:textId="77777777" w:rsidR="00DC1AE5" w:rsidRDefault="00000000">
            <w:pPr>
              <w:spacing w:after="0"/>
              <w:ind w:left="54"/>
            </w:pPr>
            <w:r>
              <w:rPr>
                <w:sz w:val="16"/>
              </w:rPr>
              <w:t xml:space="preserve">$25,820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BC7CDF4" w14:textId="77777777" w:rsidR="00DC1AE5" w:rsidRDefault="00000000">
            <w:pPr>
              <w:spacing w:after="0"/>
              <w:ind w:left="64"/>
            </w:pPr>
            <w:r>
              <w:rPr>
                <w:sz w:val="16"/>
              </w:rPr>
              <w:t xml:space="preserve">$28,402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B34DC96" w14:textId="77777777" w:rsidR="00DC1AE5" w:rsidRDefault="00000000">
            <w:pPr>
              <w:spacing w:after="0"/>
              <w:ind w:left="64"/>
            </w:pPr>
            <w:r>
              <w:rPr>
                <w:sz w:val="16"/>
              </w:rPr>
              <w:t xml:space="preserve">$30,984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5FF4341" w14:textId="77777777" w:rsidR="00DC1AE5" w:rsidRDefault="00000000">
            <w:pPr>
              <w:spacing w:after="0"/>
              <w:ind w:left="54"/>
            </w:pPr>
            <w:r>
              <w:rPr>
                <w:sz w:val="16"/>
              </w:rPr>
              <w:t xml:space="preserve">$33,566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CC3E982" w14:textId="77777777" w:rsidR="00DC1AE5" w:rsidRDefault="00000000">
            <w:pPr>
              <w:spacing w:after="0"/>
              <w:ind w:left="64"/>
            </w:pPr>
            <w:r>
              <w:rPr>
                <w:sz w:val="16"/>
              </w:rPr>
              <w:t xml:space="preserve">$36,148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2E1F25A" w14:textId="77777777" w:rsidR="00DC1AE5" w:rsidRDefault="00000000">
            <w:pPr>
              <w:spacing w:after="0"/>
              <w:ind w:left="64"/>
            </w:pPr>
            <w:r>
              <w:rPr>
                <w:sz w:val="16"/>
              </w:rPr>
              <w:t xml:space="preserve">$38,730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11B1D2C" w14:textId="77777777" w:rsidR="00DC1AE5" w:rsidRDefault="00000000">
            <w:pPr>
              <w:spacing w:after="0"/>
              <w:ind w:left="48"/>
            </w:pPr>
            <w:r>
              <w:rPr>
                <w:sz w:val="16"/>
              </w:rPr>
              <w:t xml:space="preserve">$41,312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83AD67D" w14:textId="77777777" w:rsidR="00DC1AE5" w:rsidRDefault="00000000">
            <w:pPr>
              <w:spacing w:after="0"/>
              <w:ind w:left="64"/>
            </w:pPr>
            <w:r>
              <w:rPr>
                <w:sz w:val="16"/>
              </w:rPr>
              <w:t xml:space="preserve">$43,894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443210C" w14:textId="77777777" w:rsidR="00DC1AE5" w:rsidRDefault="00000000">
            <w:pPr>
              <w:spacing w:after="0"/>
              <w:ind w:left="64"/>
            </w:pPr>
            <w:r>
              <w:rPr>
                <w:sz w:val="16"/>
              </w:rPr>
              <w:t xml:space="preserve">$46,476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E57B213" w14:textId="77777777" w:rsidR="00DC1AE5" w:rsidRDefault="00000000">
            <w:pPr>
              <w:spacing w:after="0"/>
              <w:ind w:left="48"/>
            </w:pPr>
            <w:r>
              <w:rPr>
                <w:sz w:val="16"/>
              </w:rPr>
              <w:t xml:space="preserve">$49,058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5574390" w14:textId="77777777" w:rsidR="00DC1AE5" w:rsidRDefault="00000000">
            <w:pPr>
              <w:spacing w:after="0"/>
              <w:ind w:left="54"/>
            </w:pPr>
            <w:r>
              <w:rPr>
                <w:sz w:val="16"/>
              </w:rPr>
              <w:t xml:space="preserve">$51,640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FC7E226" w14:textId="77777777" w:rsidR="00DC1AE5" w:rsidRDefault="00000000">
            <w:pPr>
              <w:spacing w:after="0"/>
              <w:ind w:left="64"/>
            </w:pPr>
            <w:r>
              <w:rPr>
                <w:sz w:val="16"/>
              </w:rPr>
              <w:t xml:space="preserve">&gt;$51,640  </w:t>
            </w:r>
          </w:p>
        </w:tc>
      </w:tr>
      <w:tr w:rsidR="00DC1AE5" w14:paraId="1178CFE6" w14:textId="77777777">
        <w:trPr>
          <w:trHeight w:val="384"/>
        </w:trPr>
        <w:tc>
          <w:tcPr>
            <w:tcW w:w="1216" w:type="dxa"/>
            <w:tcBorders>
              <w:top w:val="single" w:sz="6" w:space="0" w:color="000000"/>
              <w:left w:val="single" w:sz="6" w:space="0" w:color="000000"/>
              <w:bottom w:val="single" w:sz="6" w:space="0" w:color="000000"/>
              <w:right w:val="single" w:sz="6" w:space="0" w:color="000000"/>
            </w:tcBorders>
          </w:tcPr>
          <w:p w14:paraId="65C7372E" w14:textId="77777777" w:rsidR="00DC1AE5" w:rsidRDefault="00000000">
            <w:pPr>
              <w:spacing w:after="0"/>
              <w:ind w:right="9"/>
              <w:jc w:val="center"/>
            </w:pPr>
            <w:r>
              <w:rPr>
                <w:b/>
                <w:sz w:val="16"/>
              </w:rPr>
              <w:t xml:space="preserve">4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69CCBD6" w14:textId="77777777" w:rsidR="00DC1AE5" w:rsidRDefault="00000000">
            <w:pPr>
              <w:spacing w:after="0"/>
              <w:ind w:left="54"/>
            </w:pPr>
            <w:r>
              <w:rPr>
                <w:sz w:val="16"/>
              </w:rPr>
              <w:t xml:space="preserve">$31,200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8448856" w14:textId="77777777" w:rsidR="00DC1AE5" w:rsidRDefault="00000000">
            <w:pPr>
              <w:spacing w:after="0"/>
              <w:ind w:left="64"/>
            </w:pPr>
            <w:r>
              <w:rPr>
                <w:sz w:val="16"/>
              </w:rPr>
              <w:t xml:space="preserve">$34,320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82F42E8" w14:textId="77777777" w:rsidR="00DC1AE5" w:rsidRDefault="00000000">
            <w:pPr>
              <w:spacing w:after="0"/>
              <w:ind w:left="64"/>
            </w:pPr>
            <w:r>
              <w:rPr>
                <w:sz w:val="16"/>
              </w:rPr>
              <w:t xml:space="preserve">$37,440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82674D4" w14:textId="77777777" w:rsidR="00DC1AE5" w:rsidRDefault="00000000">
            <w:pPr>
              <w:spacing w:after="0"/>
              <w:ind w:left="54"/>
            </w:pPr>
            <w:r>
              <w:rPr>
                <w:sz w:val="16"/>
              </w:rPr>
              <w:t xml:space="preserve">$40,560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65CCBD9" w14:textId="77777777" w:rsidR="00DC1AE5" w:rsidRDefault="00000000">
            <w:pPr>
              <w:spacing w:after="0"/>
              <w:ind w:left="64"/>
            </w:pPr>
            <w:r>
              <w:rPr>
                <w:sz w:val="16"/>
              </w:rPr>
              <w:t xml:space="preserve">$43,680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1050DB7" w14:textId="77777777" w:rsidR="00DC1AE5" w:rsidRDefault="00000000">
            <w:pPr>
              <w:spacing w:after="0"/>
              <w:ind w:left="64"/>
            </w:pPr>
            <w:r>
              <w:rPr>
                <w:sz w:val="16"/>
              </w:rPr>
              <w:t xml:space="preserve">$46,800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9EBDCB4" w14:textId="77777777" w:rsidR="00DC1AE5" w:rsidRDefault="00000000">
            <w:pPr>
              <w:spacing w:after="0"/>
              <w:ind w:left="48"/>
            </w:pPr>
            <w:r>
              <w:rPr>
                <w:sz w:val="16"/>
              </w:rPr>
              <w:t xml:space="preserve">$49,920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87EBA36" w14:textId="77777777" w:rsidR="00DC1AE5" w:rsidRDefault="00000000">
            <w:pPr>
              <w:spacing w:after="0"/>
              <w:ind w:left="64"/>
            </w:pPr>
            <w:r>
              <w:rPr>
                <w:sz w:val="16"/>
              </w:rPr>
              <w:t xml:space="preserve">$53,040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0BA74C5" w14:textId="77777777" w:rsidR="00DC1AE5" w:rsidRDefault="00000000">
            <w:pPr>
              <w:spacing w:after="0"/>
              <w:ind w:left="64"/>
            </w:pPr>
            <w:r>
              <w:rPr>
                <w:sz w:val="16"/>
              </w:rPr>
              <w:t xml:space="preserve">$56,160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C1E8A86" w14:textId="77777777" w:rsidR="00DC1AE5" w:rsidRDefault="00000000">
            <w:pPr>
              <w:spacing w:after="0"/>
              <w:ind w:left="48"/>
            </w:pPr>
            <w:r>
              <w:rPr>
                <w:sz w:val="16"/>
              </w:rPr>
              <w:t xml:space="preserve">$59,280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AB5122B" w14:textId="77777777" w:rsidR="00DC1AE5" w:rsidRDefault="00000000">
            <w:pPr>
              <w:spacing w:after="0"/>
              <w:ind w:left="54"/>
            </w:pPr>
            <w:r>
              <w:rPr>
                <w:sz w:val="16"/>
              </w:rPr>
              <w:t xml:space="preserve">$62,400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F86CD25" w14:textId="77777777" w:rsidR="00DC1AE5" w:rsidRDefault="00000000">
            <w:pPr>
              <w:spacing w:after="0"/>
              <w:ind w:left="64"/>
            </w:pPr>
            <w:r>
              <w:rPr>
                <w:sz w:val="16"/>
              </w:rPr>
              <w:t xml:space="preserve">&gt;$62,400  </w:t>
            </w:r>
          </w:p>
        </w:tc>
      </w:tr>
      <w:tr w:rsidR="00DC1AE5" w14:paraId="4DABF88F" w14:textId="77777777">
        <w:trPr>
          <w:trHeight w:val="384"/>
        </w:trPr>
        <w:tc>
          <w:tcPr>
            <w:tcW w:w="1216" w:type="dxa"/>
            <w:tcBorders>
              <w:top w:val="single" w:sz="6" w:space="0" w:color="000000"/>
              <w:left w:val="single" w:sz="6" w:space="0" w:color="000000"/>
              <w:bottom w:val="single" w:sz="6" w:space="0" w:color="000000"/>
              <w:right w:val="single" w:sz="6" w:space="0" w:color="000000"/>
            </w:tcBorders>
          </w:tcPr>
          <w:p w14:paraId="62CC5AA8" w14:textId="77777777" w:rsidR="00DC1AE5" w:rsidRDefault="00000000">
            <w:pPr>
              <w:spacing w:after="0"/>
              <w:ind w:right="9"/>
              <w:jc w:val="center"/>
            </w:pPr>
            <w:r>
              <w:rPr>
                <w:b/>
                <w:sz w:val="16"/>
              </w:rPr>
              <w:t xml:space="preserve">5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54BED066" w14:textId="77777777" w:rsidR="00DC1AE5" w:rsidRDefault="00000000">
            <w:pPr>
              <w:spacing w:after="0"/>
              <w:ind w:left="54"/>
            </w:pPr>
            <w:r>
              <w:rPr>
                <w:sz w:val="16"/>
              </w:rPr>
              <w:t xml:space="preserve">$36,580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374DAC13" w14:textId="77777777" w:rsidR="00DC1AE5" w:rsidRDefault="00000000">
            <w:pPr>
              <w:spacing w:after="0"/>
              <w:ind w:left="64"/>
            </w:pPr>
            <w:r>
              <w:rPr>
                <w:sz w:val="16"/>
              </w:rPr>
              <w:t xml:space="preserve">$40,238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39CF38A2" w14:textId="77777777" w:rsidR="00DC1AE5" w:rsidRDefault="00000000">
            <w:pPr>
              <w:spacing w:after="0"/>
              <w:ind w:left="64"/>
            </w:pPr>
            <w:r>
              <w:rPr>
                <w:sz w:val="16"/>
              </w:rPr>
              <w:t xml:space="preserve">$43,896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5DBC6F9F" w14:textId="77777777" w:rsidR="00DC1AE5" w:rsidRDefault="00000000">
            <w:pPr>
              <w:spacing w:after="0"/>
              <w:ind w:left="54"/>
            </w:pPr>
            <w:r>
              <w:rPr>
                <w:sz w:val="16"/>
              </w:rPr>
              <w:t xml:space="preserve">$47,554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21131FA0" w14:textId="77777777" w:rsidR="00DC1AE5" w:rsidRDefault="00000000">
            <w:pPr>
              <w:spacing w:after="0"/>
              <w:ind w:left="64"/>
            </w:pPr>
            <w:r>
              <w:rPr>
                <w:sz w:val="16"/>
              </w:rPr>
              <w:t xml:space="preserve">$51,212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75B0F013" w14:textId="77777777" w:rsidR="00DC1AE5" w:rsidRDefault="00000000">
            <w:pPr>
              <w:spacing w:after="0"/>
              <w:ind w:left="64"/>
            </w:pPr>
            <w:r>
              <w:rPr>
                <w:sz w:val="16"/>
              </w:rPr>
              <w:t xml:space="preserve">$54,870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tcPr>
          <w:p w14:paraId="1FF6F686" w14:textId="77777777" w:rsidR="00DC1AE5" w:rsidRDefault="00000000">
            <w:pPr>
              <w:spacing w:after="0"/>
              <w:ind w:left="48"/>
            </w:pPr>
            <w:r>
              <w:rPr>
                <w:sz w:val="16"/>
              </w:rPr>
              <w:t xml:space="preserve">$58,528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605C42A0" w14:textId="77777777" w:rsidR="00DC1AE5" w:rsidRDefault="00000000">
            <w:pPr>
              <w:spacing w:after="0"/>
              <w:ind w:left="64"/>
            </w:pPr>
            <w:r>
              <w:rPr>
                <w:sz w:val="16"/>
              </w:rPr>
              <w:t xml:space="preserve">$62,186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4E74ED0F" w14:textId="77777777" w:rsidR="00DC1AE5" w:rsidRDefault="00000000">
            <w:pPr>
              <w:spacing w:after="0"/>
              <w:ind w:left="64"/>
            </w:pPr>
            <w:r>
              <w:rPr>
                <w:sz w:val="16"/>
              </w:rPr>
              <w:t xml:space="preserve">$65,844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76B738BB" w14:textId="77777777" w:rsidR="00DC1AE5" w:rsidRDefault="00000000">
            <w:pPr>
              <w:spacing w:after="0"/>
              <w:ind w:left="48"/>
            </w:pPr>
            <w:r>
              <w:rPr>
                <w:sz w:val="16"/>
              </w:rPr>
              <w:t xml:space="preserve">$69,502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6E08476E" w14:textId="77777777" w:rsidR="00DC1AE5" w:rsidRDefault="00000000">
            <w:pPr>
              <w:spacing w:after="0"/>
              <w:ind w:left="54"/>
            </w:pPr>
            <w:r>
              <w:rPr>
                <w:sz w:val="16"/>
              </w:rPr>
              <w:t xml:space="preserve">$73,160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tcPr>
          <w:p w14:paraId="4EA93D92" w14:textId="77777777" w:rsidR="00DC1AE5" w:rsidRDefault="00000000">
            <w:pPr>
              <w:spacing w:after="0"/>
              <w:ind w:left="64"/>
            </w:pPr>
            <w:r>
              <w:rPr>
                <w:sz w:val="16"/>
              </w:rPr>
              <w:t xml:space="preserve">&gt;$73,160  </w:t>
            </w:r>
          </w:p>
        </w:tc>
      </w:tr>
      <w:tr w:rsidR="00DC1AE5" w14:paraId="18ADDA3D" w14:textId="77777777">
        <w:trPr>
          <w:trHeight w:val="368"/>
        </w:trPr>
        <w:tc>
          <w:tcPr>
            <w:tcW w:w="1216" w:type="dxa"/>
            <w:tcBorders>
              <w:top w:val="single" w:sz="6" w:space="0" w:color="000000"/>
              <w:left w:val="single" w:sz="6" w:space="0" w:color="000000"/>
              <w:bottom w:val="single" w:sz="6" w:space="0" w:color="000000"/>
              <w:right w:val="single" w:sz="6" w:space="0" w:color="000000"/>
            </w:tcBorders>
          </w:tcPr>
          <w:p w14:paraId="596B5CB7" w14:textId="77777777" w:rsidR="00DC1AE5" w:rsidRDefault="00000000">
            <w:pPr>
              <w:spacing w:after="0"/>
              <w:ind w:right="9"/>
              <w:jc w:val="center"/>
            </w:pPr>
            <w:r>
              <w:rPr>
                <w:b/>
                <w:sz w:val="16"/>
              </w:rPr>
              <w:t xml:space="preserve">6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06D0BF5C" w14:textId="77777777" w:rsidR="00DC1AE5" w:rsidRDefault="00000000">
            <w:pPr>
              <w:spacing w:after="0"/>
              <w:ind w:left="54"/>
            </w:pPr>
            <w:r>
              <w:rPr>
                <w:sz w:val="16"/>
              </w:rPr>
              <w:t xml:space="preserve">$41,960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1149EEF6" w14:textId="77777777" w:rsidR="00DC1AE5" w:rsidRDefault="00000000">
            <w:pPr>
              <w:spacing w:after="0"/>
              <w:ind w:left="64"/>
            </w:pPr>
            <w:r>
              <w:rPr>
                <w:sz w:val="16"/>
              </w:rPr>
              <w:t xml:space="preserve">$46,156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5C61123B" w14:textId="77777777" w:rsidR="00DC1AE5" w:rsidRDefault="00000000">
            <w:pPr>
              <w:spacing w:after="0"/>
              <w:ind w:left="64"/>
            </w:pPr>
            <w:r>
              <w:rPr>
                <w:sz w:val="16"/>
              </w:rPr>
              <w:t xml:space="preserve">$50,352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13054A7C" w14:textId="77777777" w:rsidR="00DC1AE5" w:rsidRDefault="00000000">
            <w:pPr>
              <w:spacing w:after="0"/>
              <w:ind w:left="54"/>
            </w:pPr>
            <w:r>
              <w:rPr>
                <w:sz w:val="16"/>
              </w:rPr>
              <w:t xml:space="preserve">$54,548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4D0743D9" w14:textId="77777777" w:rsidR="00DC1AE5" w:rsidRDefault="00000000">
            <w:pPr>
              <w:spacing w:after="0"/>
              <w:ind w:left="64"/>
            </w:pPr>
            <w:r>
              <w:rPr>
                <w:sz w:val="16"/>
              </w:rPr>
              <w:t xml:space="preserve">$58,744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2AC2BCA4" w14:textId="77777777" w:rsidR="00DC1AE5" w:rsidRDefault="00000000">
            <w:pPr>
              <w:spacing w:after="0"/>
              <w:ind w:left="64"/>
            </w:pPr>
            <w:r>
              <w:rPr>
                <w:sz w:val="16"/>
              </w:rPr>
              <w:t xml:space="preserve">$62,940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tcPr>
          <w:p w14:paraId="0BCBAD22" w14:textId="77777777" w:rsidR="00DC1AE5" w:rsidRDefault="00000000">
            <w:pPr>
              <w:spacing w:after="0"/>
              <w:ind w:left="48"/>
            </w:pPr>
            <w:r>
              <w:rPr>
                <w:sz w:val="16"/>
              </w:rPr>
              <w:t xml:space="preserve">$67,136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1FBDA4C1" w14:textId="77777777" w:rsidR="00DC1AE5" w:rsidRDefault="00000000">
            <w:pPr>
              <w:spacing w:after="0"/>
              <w:ind w:left="64"/>
            </w:pPr>
            <w:r>
              <w:rPr>
                <w:sz w:val="16"/>
              </w:rPr>
              <w:t xml:space="preserve">$71,332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tcPr>
          <w:p w14:paraId="49664AD1" w14:textId="77777777" w:rsidR="00DC1AE5" w:rsidRDefault="00000000">
            <w:pPr>
              <w:spacing w:after="0"/>
              <w:ind w:left="64"/>
            </w:pPr>
            <w:r>
              <w:rPr>
                <w:sz w:val="16"/>
              </w:rPr>
              <w:t xml:space="preserve">$75,528  </w:t>
            </w:r>
          </w:p>
        </w:tc>
        <w:tc>
          <w:tcPr>
            <w:tcW w:w="810" w:type="dxa"/>
            <w:tcBorders>
              <w:top w:val="single" w:sz="6" w:space="0" w:color="000000"/>
              <w:left w:val="single" w:sz="6" w:space="0" w:color="000000"/>
              <w:bottom w:val="single" w:sz="6" w:space="0" w:color="000000"/>
              <w:right w:val="single" w:sz="6" w:space="0" w:color="000000"/>
            </w:tcBorders>
            <w:shd w:val="clear" w:color="auto" w:fill="EAF0DD"/>
          </w:tcPr>
          <w:p w14:paraId="7451116F" w14:textId="77777777" w:rsidR="00DC1AE5" w:rsidRDefault="00000000">
            <w:pPr>
              <w:spacing w:after="0"/>
              <w:ind w:left="48"/>
            </w:pPr>
            <w:r>
              <w:rPr>
                <w:sz w:val="16"/>
              </w:rPr>
              <w:t xml:space="preserve">$79,724  </w:t>
            </w:r>
          </w:p>
        </w:tc>
        <w:tc>
          <w:tcPr>
            <w:tcW w:w="806" w:type="dxa"/>
            <w:tcBorders>
              <w:top w:val="single" w:sz="6" w:space="0" w:color="000000"/>
              <w:left w:val="single" w:sz="6" w:space="0" w:color="000000"/>
              <w:bottom w:val="single" w:sz="6" w:space="0" w:color="000000"/>
              <w:right w:val="single" w:sz="6" w:space="0" w:color="000000"/>
            </w:tcBorders>
            <w:shd w:val="clear" w:color="auto" w:fill="EAF0DD"/>
          </w:tcPr>
          <w:p w14:paraId="6516C389" w14:textId="77777777" w:rsidR="00DC1AE5" w:rsidRDefault="00000000">
            <w:pPr>
              <w:spacing w:after="0"/>
              <w:ind w:left="54"/>
            </w:pPr>
            <w:r>
              <w:rPr>
                <w:sz w:val="16"/>
              </w:rPr>
              <w:t xml:space="preserve">$83,920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tcPr>
          <w:p w14:paraId="3558547C" w14:textId="77777777" w:rsidR="00DC1AE5" w:rsidRDefault="00000000">
            <w:pPr>
              <w:spacing w:after="0"/>
              <w:ind w:left="64"/>
            </w:pPr>
            <w:r>
              <w:rPr>
                <w:sz w:val="16"/>
              </w:rPr>
              <w:t xml:space="preserve">&gt;$83,920  </w:t>
            </w:r>
          </w:p>
        </w:tc>
      </w:tr>
      <w:tr w:rsidR="00DC1AE5" w14:paraId="4CCA4B92" w14:textId="77777777">
        <w:trPr>
          <w:trHeight w:val="384"/>
        </w:trPr>
        <w:tc>
          <w:tcPr>
            <w:tcW w:w="1216" w:type="dxa"/>
            <w:tcBorders>
              <w:top w:val="single" w:sz="6" w:space="0" w:color="000000"/>
              <w:left w:val="single" w:sz="6" w:space="0" w:color="000000"/>
              <w:bottom w:val="single" w:sz="6" w:space="0" w:color="000000"/>
              <w:right w:val="single" w:sz="6" w:space="0" w:color="000000"/>
            </w:tcBorders>
          </w:tcPr>
          <w:p w14:paraId="609A0AAF" w14:textId="77777777" w:rsidR="00DC1AE5" w:rsidRDefault="00000000">
            <w:pPr>
              <w:spacing w:after="0"/>
              <w:ind w:right="9"/>
              <w:jc w:val="center"/>
            </w:pPr>
            <w:r>
              <w:rPr>
                <w:b/>
                <w:sz w:val="16"/>
              </w:rPr>
              <w:t xml:space="preserve">7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098C214" w14:textId="77777777" w:rsidR="00DC1AE5" w:rsidRDefault="00000000">
            <w:pPr>
              <w:spacing w:after="0"/>
              <w:ind w:left="54"/>
            </w:pPr>
            <w:r>
              <w:rPr>
                <w:sz w:val="16"/>
              </w:rPr>
              <w:t xml:space="preserve">$47,340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F5A3F53" w14:textId="77777777" w:rsidR="00DC1AE5" w:rsidRDefault="00000000">
            <w:pPr>
              <w:spacing w:after="0"/>
              <w:ind w:left="64"/>
            </w:pPr>
            <w:r>
              <w:rPr>
                <w:sz w:val="16"/>
              </w:rPr>
              <w:t xml:space="preserve">$52,074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43C269F" w14:textId="77777777" w:rsidR="00DC1AE5" w:rsidRDefault="00000000">
            <w:pPr>
              <w:spacing w:after="0"/>
              <w:ind w:left="64"/>
            </w:pPr>
            <w:r>
              <w:rPr>
                <w:sz w:val="16"/>
              </w:rPr>
              <w:t xml:space="preserve">$56,808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2A288F1" w14:textId="77777777" w:rsidR="00DC1AE5" w:rsidRDefault="00000000">
            <w:pPr>
              <w:spacing w:after="0"/>
              <w:ind w:left="54"/>
            </w:pPr>
            <w:r>
              <w:rPr>
                <w:sz w:val="16"/>
              </w:rPr>
              <w:t xml:space="preserve">$61,542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06C3D99" w14:textId="77777777" w:rsidR="00DC1AE5" w:rsidRDefault="00000000">
            <w:pPr>
              <w:spacing w:after="0"/>
              <w:ind w:left="64"/>
            </w:pPr>
            <w:r>
              <w:rPr>
                <w:sz w:val="16"/>
              </w:rPr>
              <w:t xml:space="preserve">$66,276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383EB53" w14:textId="77777777" w:rsidR="00DC1AE5" w:rsidRDefault="00000000">
            <w:pPr>
              <w:spacing w:after="0"/>
              <w:ind w:left="64"/>
            </w:pPr>
            <w:r>
              <w:rPr>
                <w:sz w:val="16"/>
              </w:rPr>
              <w:t xml:space="preserve">$71,010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6E7B9B3" w14:textId="77777777" w:rsidR="00DC1AE5" w:rsidRDefault="00000000">
            <w:pPr>
              <w:spacing w:after="0"/>
              <w:ind w:left="48"/>
            </w:pPr>
            <w:r>
              <w:rPr>
                <w:sz w:val="16"/>
              </w:rPr>
              <w:t xml:space="preserve">$75,744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2CBED1C" w14:textId="77777777" w:rsidR="00DC1AE5" w:rsidRDefault="00000000">
            <w:pPr>
              <w:spacing w:after="0"/>
              <w:ind w:left="64"/>
            </w:pPr>
            <w:r>
              <w:rPr>
                <w:sz w:val="16"/>
              </w:rPr>
              <w:t xml:space="preserve">$80,478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453FFEC" w14:textId="77777777" w:rsidR="00DC1AE5" w:rsidRDefault="00000000">
            <w:pPr>
              <w:spacing w:after="0"/>
              <w:ind w:left="64"/>
            </w:pPr>
            <w:r>
              <w:rPr>
                <w:sz w:val="16"/>
              </w:rPr>
              <w:t xml:space="preserve">$85,212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58DD5C8" w14:textId="77777777" w:rsidR="00DC1AE5" w:rsidRDefault="00000000">
            <w:pPr>
              <w:spacing w:after="0"/>
              <w:ind w:left="48"/>
            </w:pPr>
            <w:r>
              <w:rPr>
                <w:sz w:val="16"/>
              </w:rPr>
              <w:t xml:space="preserve">$89,946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D4F1359" w14:textId="77777777" w:rsidR="00DC1AE5" w:rsidRDefault="00000000">
            <w:pPr>
              <w:spacing w:after="0"/>
              <w:ind w:left="54"/>
            </w:pPr>
            <w:r>
              <w:rPr>
                <w:sz w:val="16"/>
              </w:rPr>
              <w:t xml:space="preserve">$94,680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DA6384A" w14:textId="77777777" w:rsidR="00DC1AE5" w:rsidRDefault="00000000">
            <w:pPr>
              <w:spacing w:after="0"/>
              <w:ind w:left="64"/>
            </w:pPr>
            <w:r>
              <w:rPr>
                <w:sz w:val="16"/>
              </w:rPr>
              <w:t xml:space="preserve">&gt;$94,680  </w:t>
            </w:r>
          </w:p>
        </w:tc>
      </w:tr>
      <w:tr w:rsidR="00DC1AE5" w14:paraId="3BA5A1B8" w14:textId="77777777">
        <w:trPr>
          <w:trHeight w:val="384"/>
        </w:trPr>
        <w:tc>
          <w:tcPr>
            <w:tcW w:w="1216" w:type="dxa"/>
            <w:tcBorders>
              <w:top w:val="single" w:sz="6" w:space="0" w:color="000000"/>
              <w:left w:val="single" w:sz="6" w:space="0" w:color="000000"/>
              <w:bottom w:val="single" w:sz="6" w:space="0" w:color="000000"/>
              <w:right w:val="single" w:sz="6" w:space="0" w:color="000000"/>
            </w:tcBorders>
          </w:tcPr>
          <w:p w14:paraId="07C1EDF8" w14:textId="77777777" w:rsidR="00DC1AE5" w:rsidRDefault="00000000">
            <w:pPr>
              <w:spacing w:after="0"/>
              <w:ind w:right="9"/>
              <w:jc w:val="center"/>
            </w:pPr>
            <w:r>
              <w:rPr>
                <w:b/>
                <w:sz w:val="16"/>
              </w:rPr>
              <w:t xml:space="preserve">8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5D2F2F9" w14:textId="77777777" w:rsidR="00DC1AE5" w:rsidRDefault="00000000">
            <w:pPr>
              <w:spacing w:after="0"/>
              <w:ind w:left="54"/>
            </w:pPr>
            <w:r>
              <w:rPr>
                <w:sz w:val="16"/>
              </w:rPr>
              <w:t xml:space="preserve">$52,720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8C016EA" w14:textId="77777777" w:rsidR="00DC1AE5" w:rsidRDefault="00000000">
            <w:pPr>
              <w:spacing w:after="0"/>
              <w:ind w:left="64"/>
            </w:pPr>
            <w:r>
              <w:rPr>
                <w:sz w:val="16"/>
              </w:rPr>
              <w:t xml:space="preserve">$57,992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C3C14C0" w14:textId="77777777" w:rsidR="00DC1AE5" w:rsidRDefault="00000000">
            <w:pPr>
              <w:spacing w:after="0"/>
              <w:ind w:left="64"/>
            </w:pPr>
            <w:r>
              <w:rPr>
                <w:sz w:val="16"/>
              </w:rPr>
              <w:t xml:space="preserve">$63,264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7F512CC" w14:textId="77777777" w:rsidR="00DC1AE5" w:rsidRDefault="00000000">
            <w:pPr>
              <w:spacing w:after="0"/>
              <w:ind w:left="54"/>
            </w:pPr>
            <w:r>
              <w:rPr>
                <w:sz w:val="16"/>
              </w:rPr>
              <w:t xml:space="preserve">$68,536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FDED820" w14:textId="77777777" w:rsidR="00DC1AE5" w:rsidRDefault="00000000">
            <w:pPr>
              <w:spacing w:after="0"/>
              <w:ind w:left="64"/>
            </w:pPr>
            <w:r>
              <w:rPr>
                <w:sz w:val="16"/>
              </w:rPr>
              <w:t xml:space="preserve">$73,808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316306C" w14:textId="77777777" w:rsidR="00DC1AE5" w:rsidRDefault="00000000">
            <w:pPr>
              <w:spacing w:after="0"/>
              <w:ind w:left="64"/>
            </w:pPr>
            <w:r>
              <w:rPr>
                <w:sz w:val="16"/>
              </w:rPr>
              <w:t xml:space="preserve">$79,080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54C6F2F" w14:textId="77777777" w:rsidR="00DC1AE5" w:rsidRDefault="00000000">
            <w:pPr>
              <w:spacing w:after="0"/>
              <w:ind w:left="48"/>
            </w:pPr>
            <w:r>
              <w:rPr>
                <w:sz w:val="16"/>
              </w:rPr>
              <w:t xml:space="preserve">$84,352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05230A6" w14:textId="77777777" w:rsidR="00DC1AE5" w:rsidRDefault="00000000">
            <w:pPr>
              <w:spacing w:after="0"/>
              <w:ind w:left="64"/>
            </w:pPr>
            <w:r>
              <w:rPr>
                <w:sz w:val="16"/>
              </w:rPr>
              <w:t xml:space="preserve">$89,624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C210A39" w14:textId="77777777" w:rsidR="00DC1AE5" w:rsidRDefault="00000000">
            <w:pPr>
              <w:spacing w:after="0"/>
              <w:ind w:left="64"/>
            </w:pPr>
            <w:r>
              <w:rPr>
                <w:sz w:val="16"/>
              </w:rPr>
              <w:t xml:space="preserve">$94,896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A921635" w14:textId="77777777" w:rsidR="00DC1AE5" w:rsidRDefault="00000000">
            <w:pPr>
              <w:spacing w:after="0"/>
            </w:pPr>
            <w:r>
              <w:rPr>
                <w:sz w:val="16"/>
              </w:rPr>
              <w:t xml:space="preserve">$100,168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16ACDE3" w14:textId="77777777" w:rsidR="00DC1AE5" w:rsidRDefault="00000000">
            <w:pPr>
              <w:spacing w:after="0"/>
              <w:ind w:left="6"/>
            </w:pPr>
            <w:r>
              <w:rPr>
                <w:sz w:val="16"/>
              </w:rPr>
              <w:t xml:space="preserve">$105,440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969671D" w14:textId="77777777" w:rsidR="00DC1AE5" w:rsidRDefault="00000000">
            <w:pPr>
              <w:spacing w:after="0"/>
              <w:ind w:left="32"/>
              <w:jc w:val="both"/>
            </w:pPr>
            <w:r>
              <w:rPr>
                <w:sz w:val="16"/>
              </w:rPr>
              <w:t xml:space="preserve">&gt;$105,440 </w:t>
            </w:r>
          </w:p>
        </w:tc>
      </w:tr>
      <w:tr w:rsidR="00DC1AE5" w14:paraId="29351D7A" w14:textId="77777777">
        <w:trPr>
          <w:trHeight w:val="602"/>
        </w:trPr>
        <w:tc>
          <w:tcPr>
            <w:tcW w:w="1216" w:type="dxa"/>
            <w:tcBorders>
              <w:top w:val="single" w:sz="6" w:space="0" w:color="000000"/>
              <w:left w:val="single" w:sz="6" w:space="0" w:color="000000"/>
              <w:bottom w:val="single" w:sz="6" w:space="0" w:color="000000"/>
              <w:right w:val="single" w:sz="6" w:space="0" w:color="000000"/>
            </w:tcBorders>
          </w:tcPr>
          <w:p w14:paraId="5C39F60B" w14:textId="77777777" w:rsidR="00DC1AE5" w:rsidRDefault="00000000">
            <w:pPr>
              <w:spacing w:after="0"/>
              <w:ind w:left="118" w:right="250" w:firstLine="112"/>
              <w:jc w:val="both"/>
            </w:pPr>
            <w:r>
              <w:rPr>
                <w:b/>
                <w:sz w:val="16"/>
              </w:rPr>
              <w:t xml:space="preserve">For each additional person, add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6A0FAE8" w14:textId="77777777" w:rsidR="00DC1AE5" w:rsidRDefault="00000000">
            <w:pPr>
              <w:spacing w:after="0"/>
              <w:ind w:right="95"/>
              <w:jc w:val="center"/>
            </w:pPr>
            <w:r>
              <w:rPr>
                <w:sz w:val="16"/>
              </w:rPr>
              <w:t xml:space="preserve">$5,380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8C67A3C" w14:textId="77777777" w:rsidR="00DC1AE5" w:rsidRDefault="00000000">
            <w:pPr>
              <w:spacing w:after="0"/>
              <w:ind w:right="85"/>
              <w:jc w:val="center"/>
            </w:pPr>
            <w:r>
              <w:rPr>
                <w:sz w:val="16"/>
              </w:rPr>
              <w:t xml:space="preserve">$5,918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14C3579" w14:textId="77777777" w:rsidR="00DC1AE5" w:rsidRDefault="00000000">
            <w:pPr>
              <w:spacing w:after="0"/>
              <w:ind w:right="79"/>
              <w:jc w:val="center"/>
            </w:pPr>
            <w:r>
              <w:rPr>
                <w:sz w:val="16"/>
              </w:rPr>
              <w:t xml:space="preserve">$6,456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3AC4F73" w14:textId="77777777" w:rsidR="00DC1AE5" w:rsidRDefault="00000000">
            <w:pPr>
              <w:spacing w:after="0"/>
              <w:ind w:right="95"/>
              <w:jc w:val="center"/>
            </w:pPr>
            <w:r>
              <w:rPr>
                <w:sz w:val="16"/>
              </w:rPr>
              <w:t xml:space="preserve">$6,994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470EF95" w14:textId="77777777" w:rsidR="00DC1AE5" w:rsidRDefault="00000000">
            <w:pPr>
              <w:spacing w:after="0"/>
              <w:ind w:right="85"/>
              <w:jc w:val="center"/>
            </w:pPr>
            <w:r>
              <w:rPr>
                <w:sz w:val="16"/>
              </w:rPr>
              <w:t xml:space="preserve">$7,532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BA3E3E5" w14:textId="77777777" w:rsidR="00DC1AE5" w:rsidRDefault="00000000">
            <w:pPr>
              <w:spacing w:after="0"/>
              <w:ind w:right="85"/>
              <w:jc w:val="center"/>
            </w:pPr>
            <w:r>
              <w:rPr>
                <w:sz w:val="16"/>
              </w:rPr>
              <w:t xml:space="preserve">$8,070  </w:t>
            </w:r>
          </w:p>
        </w:tc>
        <w:tc>
          <w:tcPr>
            <w:tcW w:w="80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96AADF3" w14:textId="77777777" w:rsidR="00DC1AE5" w:rsidRDefault="00000000">
            <w:pPr>
              <w:spacing w:after="0"/>
              <w:ind w:right="101"/>
              <w:jc w:val="center"/>
            </w:pPr>
            <w:r>
              <w:rPr>
                <w:sz w:val="16"/>
              </w:rPr>
              <w:t xml:space="preserve">$8,608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C9FEA04" w14:textId="77777777" w:rsidR="00DC1AE5" w:rsidRDefault="00000000">
            <w:pPr>
              <w:spacing w:after="0"/>
              <w:ind w:right="117"/>
              <w:jc w:val="center"/>
            </w:pPr>
            <w:r>
              <w:rPr>
                <w:sz w:val="16"/>
              </w:rPr>
              <w:t xml:space="preserve">$9,146  </w:t>
            </w:r>
          </w:p>
        </w:tc>
        <w:tc>
          <w:tcPr>
            <w:tcW w:w="81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DE171C4" w14:textId="77777777" w:rsidR="00DC1AE5" w:rsidRDefault="00000000">
            <w:pPr>
              <w:spacing w:after="0"/>
              <w:ind w:right="117"/>
              <w:jc w:val="center"/>
            </w:pPr>
            <w:r>
              <w:rPr>
                <w:sz w:val="16"/>
              </w:rPr>
              <w:t xml:space="preserve">$9,684  </w:t>
            </w:r>
          </w:p>
        </w:tc>
        <w:tc>
          <w:tcPr>
            <w:tcW w:w="81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CD675FF" w14:textId="77777777" w:rsidR="00DC1AE5" w:rsidRDefault="00000000">
            <w:pPr>
              <w:spacing w:after="0"/>
              <w:ind w:left="48"/>
            </w:pPr>
            <w:r>
              <w:rPr>
                <w:sz w:val="16"/>
              </w:rPr>
              <w:t xml:space="preserve">$10,222  </w:t>
            </w:r>
          </w:p>
        </w:tc>
        <w:tc>
          <w:tcPr>
            <w:tcW w:w="806"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A7992F9" w14:textId="77777777" w:rsidR="00DC1AE5" w:rsidRDefault="00000000">
            <w:pPr>
              <w:spacing w:after="0"/>
              <w:ind w:left="54"/>
            </w:pPr>
            <w:r>
              <w:rPr>
                <w:sz w:val="16"/>
              </w:rPr>
              <w:t xml:space="preserve">$10,760  </w:t>
            </w:r>
          </w:p>
        </w:tc>
        <w:tc>
          <w:tcPr>
            <w:tcW w:w="81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5084469" w14:textId="77777777" w:rsidR="00DC1AE5" w:rsidRDefault="00000000">
            <w:pPr>
              <w:spacing w:after="0"/>
              <w:ind w:left="16"/>
            </w:pPr>
            <w:r>
              <w:rPr>
                <w:sz w:val="16"/>
              </w:rPr>
              <w:t xml:space="preserve">&gt;$10,760 </w:t>
            </w:r>
          </w:p>
        </w:tc>
      </w:tr>
    </w:tbl>
    <w:p w14:paraId="75B8A709" w14:textId="77777777" w:rsidR="00DC1AE5" w:rsidRDefault="00000000">
      <w:pPr>
        <w:spacing w:after="46"/>
        <w:ind w:left="1440"/>
      </w:pPr>
      <w:r>
        <w:rPr>
          <w:sz w:val="21"/>
        </w:rPr>
        <w:t xml:space="preserve"> </w:t>
      </w:r>
    </w:p>
    <w:p w14:paraId="47ECFCAE" w14:textId="77777777" w:rsidR="00DC1AE5" w:rsidRDefault="00000000">
      <w:pPr>
        <w:spacing w:after="0"/>
        <w:ind w:left="1440"/>
      </w:pPr>
      <w:r>
        <w:rPr>
          <w:i/>
          <w:sz w:val="21"/>
        </w:rPr>
        <w:t>*</w:t>
      </w:r>
      <w:r>
        <w:t>Based on the 202</w:t>
      </w:r>
      <w:hyperlink r:id="rId4">
        <w:r>
          <w:t xml:space="preserve">4 </w:t>
        </w:r>
      </w:hyperlink>
      <w:hyperlink r:id="rId5">
        <w:r>
          <w:rPr>
            <w:color w:val="0000FF"/>
            <w:u w:val="single" w:color="0000FF"/>
          </w:rPr>
          <w:t>Federal Poverty Guidelines</w:t>
        </w:r>
      </w:hyperlink>
      <w:hyperlink r:id="rId6">
        <w:r>
          <w:rPr>
            <w:color w:val="0000FF"/>
            <w:u w:val="single" w:color="0000FF"/>
          </w:rPr>
          <w:t xml:space="preserve"> </w:t>
        </w:r>
      </w:hyperlink>
      <w:r>
        <w:rPr>
          <w:color w:val="0000FF"/>
          <w:u w:val="single" w:color="0000FF"/>
        </w:rPr>
        <w:t>for the 48 contiguous states and the District of</w:t>
      </w:r>
      <w:r>
        <w:rPr>
          <w:color w:val="0000FF"/>
        </w:rPr>
        <w:t xml:space="preserve"> </w:t>
      </w:r>
    </w:p>
    <w:p w14:paraId="69A67527" w14:textId="77777777" w:rsidR="00DC1AE5" w:rsidRDefault="00000000">
      <w:pPr>
        <w:spacing w:after="0" w:line="239" w:lineRule="auto"/>
        <w:ind w:left="1440" w:right="480"/>
      </w:pPr>
      <w:r>
        <w:rPr>
          <w:color w:val="0000FF"/>
          <w:u w:val="single" w:color="0000FF"/>
        </w:rPr>
        <w:t>Columbia</w:t>
      </w:r>
      <w:r>
        <w:t>. Please note that there are separate guidelines for Alaska and Hawaii, and that the thresholds would differ for sites in those two states. Sites in Puerto Rico and other outlying jurisdictions would use the above guidelines.</w:t>
      </w:r>
      <w:r>
        <w:rPr>
          <w:i/>
          <w:sz w:val="21"/>
        </w:rPr>
        <w:t xml:space="preserve"> </w:t>
      </w:r>
    </w:p>
    <w:p w14:paraId="31E9401F" w14:textId="77777777" w:rsidR="00DC1AE5" w:rsidRDefault="00000000">
      <w:pPr>
        <w:spacing w:after="0"/>
        <w:ind w:left="1440"/>
      </w:pPr>
      <w:r>
        <w:rPr>
          <w:sz w:val="21"/>
        </w:rPr>
        <w:t xml:space="preserve"> </w:t>
      </w:r>
    </w:p>
    <w:p w14:paraId="5C4DAEC4" w14:textId="77777777" w:rsidR="00DC1AE5" w:rsidRDefault="00000000">
      <w:pPr>
        <w:spacing w:after="0"/>
        <w:ind w:left="1440"/>
      </w:pPr>
      <w:r>
        <w:rPr>
          <w:b/>
          <w:sz w:val="24"/>
        </w:rPr>
        <w:t xml:space="preserve"> </w:t>
      </w:r>
    </w:p>
    <w:p w14:paraId="4C6FFAE8" w14:textId="754E0790" w:rsidR="00DC1AE5" w:rsidRDefault="00000000" w:rsidP="00A400FA">
      <w:pPr>
        <w:spacing w:after="4404"/>
        <w:ind w:left="3570"/>
        <w:jc w:val="center"/>
      </w:pPr>
      <w:r>
        <w:rPr>
          <w:b/>
          <w:sz w:val="24"/>
        </w:rPr>
        <w:t xml:space="preserve"> </w:t>
      </w:r>
      <w:r>
        <w:rPr>
          <w:b/>
          <w:sz w:val="24"/>
        </w:rPr>
        <w:tab/>
      </w:r>
      <w:r>
        <w:rPr>
          <w:sz w:val="24"/>
        </w:rPr>
        <w:t xml:space="preserve"> </w:t>
      </w:r>
    </w:p>
    <w:sectPr w:rsidR="00DC1AE5">
      <w:pgSz w:w="12240" w:h="15840"/>
      <w:pgMar w:top="1440" w:right="652" w:bottom="144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E5"/>
    <w:rsid w:val="000D59A3"/>
    <w:rsid w:val="00A400FA"/>
    <w:rsid w:val="00DC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6301E"/>
  <w15:docId w15:val="{03B04345-1E10-0546-B6DE-EA5EF42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pe.hhs.gov/topics/poverty-economic-mobility/poverty-guidelines" TargetMode="External"/><Relationship Id="rId5" Type="http://schemas.openxmlformats.org/officeDocument/2006/relationships/hyperlink" Target="https://aspe.hhs.gov/topics/poverty-economic-mobility/poverty-guidelines" TargetMode="External"/><Relationship Id="rId4" Type="http://schemas.openxmlformats.org/officeDocument/2006/relationships/hyperlink" Target="https://aspe.hhs.gov/topics/poverty-economic-mobility/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NHSC Site Reference Guide 2024</dc:title>
  <dc:subject>NHSC Site Reference Guide 2024</dc:subject>
  <dc:creator>HRSA</dc:creator>
  <cp:keywords>"2024 SRG, NHSC, sites, treatment facilities, LRP, loan repayment program"</cp:keywords>
  <cp:lastModifiedBy>Colleen Kempner</cp:lastModifiedBy>
  <cp:revision>2</cp:revision>
  <dcterms:created xsi:type="dcterms:W3CDTF">2024-08-18T20:48:00Z</dcterms:created>
  <dcterms:modified xsi:type="dcterms:W3CDTF">2024-08-18T20:48:00Z</dcterms:modified>
</cp:coreProperties>
</file>