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themeColor="accent1" w:themeShade="bf" w:val="auto"/>
          <w:sz w:val="28"/>
          <w:szCs w:val="28"/>
        </w:rPr>
        <w:t>Capabilities Statement – Trent Defense LLC</w:t>
      </w:r>
    </w:p>
    <w:p>
      <w:pPr>
        <w:pStyle w:val="Normal"/>
        <w:jc w:val="center"/>
        <w:rPr>
          <w:rFonts w:ascii="Times New Roman" w:hAnsi="Times New Roman"/>
          <w:b/>
          <w:bCs/>
          <w:color w:themeColor="accent1" w:themeShade="bf" w:val="auto"/>
          <w:sz w:val="28"/>
          <w:szCs w:val="28"/>
        </w:rPr>
      </w:pPr>
      <w:r>
        <w:rPr>
          <w:rFonts w:ascii="Times New Roman" w:hAnsi="Times New Roman"/>
          <w:b/>
          <w:bCs/>
          <w:color w:themeColor="accent1" w:themeShade="bf" w:val="auto"/>
          <w:sz w:val="28"/>
          <w:szCs w:val="28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themeColor="accent1" w:themeShade="bf" w:val="auto"/>
        </w:rPr>
        <w:t xml:space="preserve">UEI: </w:t>
      </w:r>
      <w:r>
        <w:rPr>
          <w:rFonts w:ascii="Times New Roman" w:hAnsi="Times New Roman"/>
          <w:color w:themeColor="accent1" w:themeShade="bf" w:val="auto"/>
        </w:rPr>
        <w:t>KP37SFFVK2D3  </w:t>
      </w:r>
      <w:r>
        <w:rPr>
          <w:rFonts w:ascii="Times New Roman" w:hAnsi="Times New Roman"/>
          <w:b/>
          <w:bCs/>
          <w:color w:themeColor="accent1" w:themeShade="bf" w:val="auto"/>
        </w:rPr>
        <w:t>CAGE Code:</w:t>
      </w:r>
      <w:r>
        <w:rPr>
          <w:rFonts w:ascii="Times New Roman" w:hAnsi="Times New Roman"/>
          <w:color w:themeColor="accent1" w:themeShade="bf" w:val="auto"/>
        </w:rPr>
        <w:t xml:space="preserve"> 13TA5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themeColor="accent1" w:themeShade="bf" w:val="auto"/>
        </w:rPr>
        <w:t>Website:</w:t>
      </w:r>
      <w:r>
        <w:rPr>
          <w:rFonts w:ascii="Times New Roman" w:hAnsi="Times New Roman"/>
          <w:color w:themeColor="accent1" w:themeShade="bf" w:val="auto"/>
        </w:rPr>
        <w:t xml:space="preserve"> www.Trent-Defense.com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themeColor="accent1" w:themeShade="bf" w:val="auto"/>
        </w:rPr>
        <w:t>Contact:</w:t>
      </w:r>
      <w:r>
        <w:rPr>
          <w:rFonts w:ascii="Times New Roman" w:hAnsi="Times New Roman"/>
          <w:color w:themeColor="accent1" w:themeShade="bf" w:val="auto"/>
        </w:rPr>
        <w:t xml:space="preserve"> David Trent, CEO</w:t>
      </w:r>
    </w:p>
    <w:p>
      <w:pPr>
        <w:pStyle w:val="Normal"/>
        <w:rPr>
          <w:rFonts w:ascii="Times New Roman" w:hAnsi="Times New Roman"/>
          <w:color w:val="C9211E"/>
        </w:rPr>
      </w:pPr>
      <w:r>
        <w:rPr>
          <w:rFonts w:ascii="Times New Roman" w:hAnsi="Times New Roman"/>
          <w:color w:val="C9211E"/>
        </w:rPr>
        <w:t>DST@Trent-Defense.com | (405) 441-9812</w:t>
      </w:r>
    </w:p>
    <w:p>
      <w:pPr>
        <w:pStyle w:val="Normal"/>
        <w:rPr>
          <w:rFonts w:ascii="Times New Roman" w:hAnsi="Times New Roman"/>
          <w:color w:themeColor="accent1" w:themeShade="bf" w:val="auto"/>
        </w:rPr>
      </w:pPr>
      <w:r>
        <w:rPr>
          <w:rFonts w:ascii="Times New Roman" w:hAnsi="Times New Roman"/>
          <w:color w:themeColor="accent1" w:themeShade="bf" w:val="auto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themeColor="accent1" w:themeShade="bf" w:val="auto"/>
          <w:sz w:val="28"/>
          <w:szCs w:val="28"/>
        </w:rPr>
        <w:t>Core Competencies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IT and Medical Procurement: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Certified Partner and Reseller of medical, surgical, dental, and diagnostic equipment supported through Tier-1 distributors (Medline)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Certified Partner and Reseller of HP, HPE, Dell, Cisco, Cannon, etc. supported through Tier-1 distributors (TD Synnex, Arrow Electronics, Ingram Mirco)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Dropship logistics for DoD, VA, and federal facilities.</w:t>
      </w:r>
    </w:p>
    <w:p>
      <w:pPr>
        <w:pStyle w:val="Normal"/>
        <w:rPr>
          <w:rFonts w:ascii="Times New Roman" w:hAnsi="Times New Roman"/>
          <w:color w:themeColor="accent1" w:themeShade="bf" w:val="auto"/>
        </w:rPr>
      </w:pPr>
      <w:r>
        <w:rPr>
          <w:rFonts w:ascii="Times New Roman" w:hAnsi="Times New Roman"/>
          <w:color w:themeColor="accent1" w:themeShade="bf" w:val="auto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Research &amp; Development: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Small Business Innovation Research (SBIR) investor in white papers, proof of concept, prototype development, commercialization and government adoption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Platform Design &amp; Flight Control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Navigation &amp; Timing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Sensing &amp; Perception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Flight Autonomy &amp; Controls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Scene Generation &amp; Synthetic Environments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AI/ML for Autonomy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Seeker &amp; Guidance Technologies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Electronic Warfare &amp; Countermeasures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Collaborative Autonomy &amp; Swarming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Lethality &amp; Terminal Effects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Directed Energy &amp; Advanced Materials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Cybersecurity &amp; Trusted Computing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Digital Engineering &amp; Systems Architecture</w:t>
      </w:r>
    </w:p>
    <w:p>
      <w:pPr>
        <w:pStyle w:val="Normal"/>
        <w:rPr>
          <w:rFonts w:ascii="Times New Roman" w:hAnsi="Times New Roman"/>
          <w:color w:themeColor="accent1" w:themeShade="bf" w:val="auto"/>
        </w:rPr>
      </w:pPr>
      <w:r>
        <w:rPr>
          <w:rFonts w:ascii="Times New Roman" w:hAnsi="Times New Roman"/>
          <w:color w:themeColor="accent1" w:themeShade="bf" w:val="auto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Advanced IT Services: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Systems engineering, cybersecurity, and secure digital transformation.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Lifecycle management, configuration, and deployment services.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Machine learning (ML), artificial intelligence (AI), and autonomy.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IPv4–IPv6 transition solutions and memory-safe language conversion.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SysML/CAMEO, digital engineering, and compliance with CJCSI 6212.01E.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DoDAF 2.0 architecture development (OV-1, OV-2, SV-1, CV-2)</w:t>
      </w:r>
    </w:p>
    <w:p>
      <w:pPr>
        <w:pStyle w:val="Normal"/>
        <w:rPr>
          <w:rFonts w:ascii="Times New Roman" w:hAnsi="Times New Roman"/>
          <w:color w:themeColor="accent1" w:themeShade="bf" w:val="auto"/>
        </w:rPr>
      </w:pPr>
      <w:r>
        <w:rPr>
          <w:rFonts w:ascii="Times New Roman" w:hAnsi="Times New Roman"/>
          <w:color w:themeColor="accent1" w:themeShade="bf" w:val="auto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themeColor="accent1" w:themeShade="bf" w:val="auto"/>
        </w:rPr>
        <w:t>Differentiators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SDVOSB (Service-Disabled Veteran-Owned Small Business) – fully registered in SAM.gov.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End-to-end procurement and R&amp;D – bridging rapid distribution with advanced research.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Compliance-driven – FAR, DFARS, ITAR, HIPAA, NIST 800-171/CMMC.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Strategic partnerships – Tier-1 distributors (Ingram Micro, TD SYNNEX, Arrow, Medline)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Digital-first engineering culture – leveraging model-based systems engineering (MBSE) for mission assurance.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Benefits-driven workforce retention – top-tier employee packages (BCBS, Delta Dental, vision, HRA, 401(k), daycare DCAP).</w:t>
      </w:r>
    </w:p>
    <w:p>
      <w:pPr>
        <w:pStyle w:val="Normal"/>
        <w:rPr>
          <w:rFonts w:ascii="Times New Roman" w:hAnsi="Times New Roman"/>
          <w:color w:themeColor="accent1" w:themeShade="bf" w:val="auto"/>
        </w:rPr>
      </w:pPr>
      <w:r>
        <w:rPr>
          <w:rFonts w:ascii="Times New Roman" w:hAnsi="Times New Roman"/>
          <w:color w:themeColor="accent1" w:themeShade="bf" w:val="auto"/>
        </w:rPr>
      </w:r>
    </w:p>
    <w:tbl>
      <w:tblPr>
        <w:tblStyle w:val="TableGrid"/>
        <w:tblW w:w="935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1254"/>
        <w:gridCol w:w="8095"/>
      </w:tblGrid>
      <w:tr>
        <w:trPr/>
        <w:tc>
          <w:tcPr>
            <w:tcW w:w="9349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 w:val="28"/>
                <w:szCs w:val="28"/>
                <w:lang w:val="en-US" w:eastAsia="en-US" w:bidi="ar-SA"/>
              </w:rPr>
              <w:t>NAICS Codes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333248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All Other Industrial Machinery Manufacturing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334111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Electronic Computer Manufacturing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334118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Computer Terminal and Other Computer Peripheral Equipment Manufacturing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339113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Surgical Appliance and Supplies Manufacturing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423430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Computer and Computer Peripheral Equipment and Software Merchant Wholesalers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423450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Medical, Dental, and Hospital Equipment and Supplies Merchant Wholesalers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423460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Ophthalmic Goods Merchant Wholesalers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517810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All Other Telecommunications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518210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Computing Infrastructure Providers, Data Processing, Web Hosting, and Related Services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541330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Engineering Services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541330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Military and Aerospace Equipment and Military Weapons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541330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Contracts and Subcontracts for Engineering Services Awarded Under the National Energy Policy Act of 1992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541330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Marine Engineering and Naval Architecture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541511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Custom Computer Programming Services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541512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Computer Systems Design Services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541513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Computer Facilities Management Services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541519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Other Computer Related Services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541519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Information Technology Value Added Resellers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541715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Research and Development in Physical, Engineering, and Life Sciences (except Nanotechnology and Biotechnology)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541715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Aircraft, Aircraft Engine and Engine Parts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541715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Other Aircraft Parts and Auxiliary Equipment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541715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Guided Missiles and Space Vehicles, Their Propulsion Units and Propulsion Parts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621999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All Other Miscellaneous Ambulatory Health Care Services</w:t>
            </w:r>
          </w:p>
        </w:tc>
      </w:tr>
    </w:tbl>
    <w:p>
      <w:pPr>
        <w:pStyle w:val="Normal"/>
        <w:rPr>
          <w:rFonts w:ascii="Times New Roman" w:hAnsi="Times New Roman"/>
          <w:color w:themeColor="accent1" w:themeShade="bf" w:val="auto"/>
        </w:rPr>
      </w:pPr>
      <w:r>
        <w:rPr>
          <w:rFonts w:ascii="Times New Roman" w:hAnsi="Times New Roman"/>
          <w:color w:themeColor="accent1" w:themeShade="bf" w:val="auto"/>
        </w:rPr>
      </w:r>
    </w:p>
    <w:tbl>
      <w:tblPr>
        <w:tblStyle w:val="TableGrid"/>
        <w:tblW w:w="935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1254"/>
        <w:gridCol w:w="8095"/>
      </w:tblGrid>
      <w:tr>
        <w:trPr/>
        <w:tc>
          <w:tcPr>
            <w:tcW w:w="9349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 w:val="28"/>
                <w:szCs w:val="28"/>
                <w:lang w:val="en-US" w:eastAsia="en-US" w:bidi="ar-SA"/>
              </w:rPr>
              <w:t>PSC Codes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R426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SUPPORT- PROFESSIONAL: COMMUNICATIONS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6540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OPHTHALMIC INSTRUMENTS, EQUIPMENT, AND SUPPLIES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R425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SUPPORT- PROFESSIONAL: ENGINEERING/TECHNICAL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6530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HOSPITAL FURNITURE, EQUIPMENT, UTENSILS, AND SUPPLIES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6532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HOSPITAL AND SURGICAL CLOTHING AND RELATED SPECIAL PURPOSE ITEMS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5895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MISCELLANEOUS COMMUNICATION EQUIPMENT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5820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RADIO AND TELEVISION COMMUNICATION EQUIPMENT, EXCEPT AIRBORNE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K058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MODIFICATION OF EQUIPMENT- COMMUNICATION, DETECTION, AND COHERENT RADIATION EQUIPMENT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6515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MEDICAL AND SURGICAL INSTRUMENTS, EQUIPMENT, AND SUPPLIES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R408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SUPPORT- PROFESSIONAL: PROGRAM MANAGEMENT/SUPPORT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H158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QUALITY CONTROL- COMMUNICATION, DETECTION, AND COHERENT RADIATION EQUIPMENT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7B22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IT AND TELECOM - COMPUTE: SERVERS (HARDWARE AND PERPETUAL LICENSE SOFTWARE)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7E20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IT and Telecom - End User: Help Desk;Tier 1-2,Workspace,Print,Output,Productivity Tools (HW/Perp SW)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3610</w:t>
            </w:r>
          </w:p>
        </w:tc>
        <w:tc>
          <w:tcPr>
            <w:tcW w:w="80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Aptos" w:cs=""/>
                <w:color w:themeColor="accent1" w:themeShade="bf" w:val="0F4761"/>
                <w:kern w:val="2"/>
                <w:szCs w:val="40"/>
                <w:lang w:val="en-US" w:eastAsia="en-US" w:bidi="ar-SA"/>
              </w:rPr>
            </w:pPr>
            <w:r>
              <w:rPr>
                <w:rFonts w:eastAsia="Aptos" w:cs="" w:ascii="Times New Roman" w:hAnsi="Times New Roman"/>
                <w:color w:themeColor="accent1" w:themeShade="bf" w:val="auto"/>
                <w:kern w:val="2"/>
                <w:szCs w:val="40"/>
                <w:lang w:val="en-US" w:eastAsia="en-US" w:bidi="ar-SA"/>
              </w:rPr>
              <w:t>PRINTING, DUPLICATING, AND BOOKBINDING EQUIPMENT</w:t>
            </w:r>
          </w:p>
        </w:tc>
      </w:tr>
    </w:tbl>
    <w:p>
      <w:pPr>
        <w:pStyle w:val="Normal"/>
        <w:rPr>
          <w:rFonts w:ascii="Times New Roman" w:hAnsi="Times New Roman"/>
          <w:color w:themeColor="accent1" w:themeShade="bf" w:val="auto"/>
        </w:rPr>
      </w:pPr>
      <w:r>
        <w:rPr>
          <w:rFonts w:ascii="Times New Roman" w:hAnsi="Times New Roman"/>
          <w:color w:themeColor="accent1" w:themeShade="bf" w:val="auto"/>
        </w:rPr>
      </w:r>
    </w:p>
    <w:p>
      <w:pPr>
        <w:pStyle w:val="Normal"/>
        <w:rPr>
          <w:rFonts w:ascii="Times New Roman" w:hAnsi="Times New Roman"/>
          <w:color w:themeColor="accent1" w:themeShade="bf" w:val="auto"/>
        </w:rPr>
      </w:pPr>
      <w:r>
        <w:rPr>
          <w:rFonts w:ascii="Times New Roman" w:hAnsi="Times New Roman"/>
          <w:color w:themeColor="accent1" w:themeShade="bf" w:val="auto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  <w:sz w:val="32"/>
          <w:szCs w:val="32"/>
        </w:rPr>
        <w:t>Company Data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Legal Structure: LLC (Taxed as S-Corp)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Business Size: Small Business (per SBA standards)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Socio-Economic Status: SDVOSB (Service-Disabled Veteran-Owned Small Business)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Fiscal Year: September 1 – August 31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Facility Clearance: Pursuing TS/SCI clearance capability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  <w:sz w:val="28"/>
          <w:szCs w:val="28"/>
        </w:rPr>
        <w:t>Primary Customers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Department of Defense (DoD)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Department of Veterans Affairs (VA)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Federal Agencies (HHS, DHS, DoE)</w:t>
      </w:r>
    </w:p>
    <w:p>
      <w:pPr>
        <w:pStyle w:val="ListParagraph"/>
        <w:numPr>
          <w:ilvl w:val="0"/>
          <w:numId w:val="5"/>
        </w:numPr>
        <w:spacing w:before="0" w:after="160"/>
        <w:contextualSpacing/>
        <w:rPr>
          <w:rFonts w:ascii="Times New Roman" w:hAnsi="Times New Roman"/>
        </w:rPr>
      </w:pPr>
      <w:r>
        <w:rPr>
          <w:rFonts w:ascii="Times New Roman" w:hAnsi="Times New Roman"/>
          <w:color w:themeColor="accent1" w:themeShade="bf" w:val="auto"/>
        </w:rPr>
        <w:t>Prime Contractors supporting federal programs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variable"/>
  </w:font>
  <w:font w:name="Symbol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Aptos" w:cs="" w:cstheme="majorBidi" w:eastAsiaTheme="minorHAnsi"/>
        <w:color w:themeColor="accent1" w:themeShade="bf" w:val="0F4761"/>
        <w:kern w:val="2"/>
        <w:sz w:val="40"/>
        <w:szCs w:val="40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04b6"/>
    <w:pPr>
      <w:widowControl/>
      <w:bidi w:val="0"/>
      <w:spacing w:lineRule="auto" w:line="278" w:before="0" w:after="160"/>
      <w:jc w:val="start"/>
    </w:pPr>
    <w:rPr>
      <w:rFonts w:ascii="Courier New" w:hAnsi="Courier New" w:eastAsia="Aptos" w:cs="" w:cstheme="majorBidi" w:eastAsiaTheme="minorHAnsi"/>
      <w:color w:themeColor="accent1" w:themeShade="bf" w:val="0F4761"/>
      <w:kern w:val="2"/>
      <w:sz w:val="24"/>
      <w:szCs w:val="40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704b6"/>
    <w:pPr>
      <w:keepNext w:val="true"/>
      <w:keepLines/>
      <w:spacing w:before="360" w:after="80"/>
      <w:outlineLvl w:val="0"/>
    </w:pPr>
    <w:rPr>
      <w:rFonts w:eastAsia="" w:eastAsiaTheme="majorEastAsia"/>
      <w:color w:themeColor="accent1" w:themeShade="bf" w:val="auto"/>
      <w:sz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704b6"/>
    <w:pPr>
      <w:keepNext w:val="true"/>
      <w:keepLines/>
      <w:spacing w:before="160" w:after="80"/>
      <w:outlineLvl w:val="1"/>
    </w:pPr>
    <w:rPr>
      <w:rFonts w:eastAsia="" w:eastAsiaTheme="majorEastAsia"/>
      <w:color w:themeColor="accent1" w:themeShade="bf" w:val="auto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a1d"/>
    <w:pPr>
      <w:keepNext w:val="true"/>
      <w:keepLines/>
      <w:spacing w:before="160" w:after="80"/>
      <w:outlineLvl w:val="2"/>
    </w:pPr>
    <w:rPr>
      <w:rFonts w:ascii="Aptos" w:hAnsi="Aptos" w:eastAsia="" w:asciiTheme="minorHAnsi" w:eastAsiaTheme="majorEastAsia" w:hAnsiTheme="minorHAns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a1d"/>
    <w:pPr>
      <w:keepNext w:val="true"/>
      <w:keepLines/>
      <w:spacing w:before="80" w:after="40"/>
      <w:outlineLvl w:val="3"/>
    </w:pPr>
    <w:rPr>
      <w:rFonts w:ascii="Aptos" w:hAnsi="Aptos" w:eastAsia="" w:asciiTheme="minorHAnsi" w:eastAsiaTheme="majorEastAsia" w:hAnsiTheme="minorHAns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a1d"/>
    <w:pPr>
      <w:keepNext w:val="true"/>
      <w:keepLines/>
      <w:spacing w:before="80" w:after="40"/>
      <w:outlineLvl w:val="4"/>
    </w:pPr>
    <w:rPr>
      <w:rFonts w:ascii="Aptos" w:hAnsi="Aptos" w:eastAsia="" w:asciiTheme="minorHAnsi" w:eastAsiaTheme="majorEastAsia" w:hAnsiTheme="minorHAns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a1d"/>
    <w:pPr>
      <w:keepNext w:val="true"/>
      <w:keepLines/>
      <w:spacing w:before="40" w:after="0"/>
      <w:outlineLvl w:val="5"/>
    </w:pPr>
    <w:rPr>
      <w:rFonts w:ascii="Aptos" w:hAnsi="Aptos" w:eastAsia="" w:asciiTheme="minorHAns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a1d"/>
    <w:pPr>
      <w:keepNext w:val="true"/>
      <w:keepLines/>
      <w:spacing w:before="40" w:after="0"/>
      <w:outlineLvl w:val="6"/>
    </w:pPr>
    <w:rPr>
      <w:rFonts w:ascii="Aptos" w:hAnsi="Aptos" w:eastAsia="" w:asciiTheme="minorHAns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a1d"/>
    <w:pPr>
      <w:keepNext w:val="true"/>
      <w:keepLines/>
      <w:spacing w:before="0" w:after="0"/>
      <w:outlineLvl w:val="7"/>
    </w:pPr>
    <w:rPr>
      <w:rFonts w:ascii="Aptos" w:hAnsi="Aptos" w:eastAsia="" w:asciiTheme="minorHAns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a1d"/>
    <w:pPr>
      <w:keepNext w:val="true"/>
      <w:keepLines/>
      <w:spacing w:before="0" w:after="0"/>
      <w:outlineLvl w:val="8"/>
    </w:pPr>
    <w:rPr>
      <w:rFonts w:ascii="Aptos" w:hAnsi="Aptos" w:eastAsia="" w:asciiTheme="minorHAns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2704b6"/>
    <w:rPr>
      <w:rFonts w:eastAsia="" w:eastAsiaTheme="majorEastAsia"/>
      <w:color w:themeColor="accent1" w:themeShade="bf" w:val="auto"/>
      <w:sz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2704b6"/>
    <w:rPr>
      <w:rFonts w:eastAsia="" w:eastAsiaTheme="majorEastAsia"/>
      <w:color w:themeColor="accent1" w:themeShade="bf" w:val="auto"/>
      <w:sz w:val="28"/>
      <w:szCs w:val="32"/>
    </w:rPr>
  </w:style>
  <w:style w:type="character" w:styleId="TitleChar" w:customStyle="1">
    <w:name w:val="Title Char"/>
    <w:basedOn w:val="DefaultParagraphFont"/>
    <w:link w:val="Title"/>
    <w:uiPriority w:val="10"/>
    <w:qFormat/>
    <w:rsid w:val="002704b6"/>
    <w:rPr>
      <w:rFonts w:eastAsia="" w:eastAsiaTheme="majorEastAsia"/>
      <w:b/>
      <w:color w:themeColor="accent1" w:themeShade="bf" w:val="auto"/>
      <w:spacing w:val="-10"/>
      <w:kern w:val="2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2704b6"/>
    <w:rPr>
      <w:rFonts w:eastAsia="" w:eastAsiaTheme="majorEastAsia"/>
      <w:color w:themeColor="accent1" w:themeShade="bf" w:val="auto"/>
      <w:spacing w:val="15"/>
      <w:sz w:val="36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7b6a1d"/>
    <w:rPr>
      <w:rFonts w:ascii="Aptos" w:hAnsi="Aptos" w:eastAsia="" w:asciiTheme="minorHAnsi" w:eastAsiaTheme="majorEastAsia" w:hAnsiTheme="minorHAnsi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7b6a1d"/>
    <w:rPr>
      <w:rFonts w:ascii="Aptos" w:hAnsi="Aptos" w:eastAsia="" w:asciiTheme="minorHAnsi" w:eastAsiaTheme="majorEastAsia" w:hAnsiTheme="minorHAnsi"/>
      <w:i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7b6a1d"/>
    <w:rPr>
      <w:rFonts w:ascii="Aptos" w:hAnsi="Aptos" w:eastAsia="" w:asciiTheme="minorHAnsi" w:eastAsiaTheme="majorEastAsia" w:hAnsiTheme="minorHAnsi"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7b6a1d"/>
    <w:rPr>
      <w:rFonts w:ascii="Aptos" w:hAnsi="Aptos" w:eastAsia="" w:asciiTheme="minorHAnsi" w:eastAsiaTheme="majorEastAsia" w:hAnsiTheme="minorHAnsi"/>
      <w:i/>
      <w:iCs/>
      <w:color w:themeColor="text1" w:themeTint="a6" w:val="595959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7b6a1d"/>
    <w:rPr>
      <w:rFonts w:ascii="Aptos" w:hAnsi="Aptos" w:eastAsia="" w:asciiTheme="minorHAnsi" w:eastAsiaTheme="majorEastAsia" w:hAnsiTheme="minorHAnsi"/>
      <w:color w:themeColor="text1" w:themeTint="a6" w:val="595959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7b6a1d"/>
    <w:rPr>
      <w:rFonts w:ascii="Aptos" w:hAnsi="Aptos" w:eastAsia="" w:asciiTheme="minorHAnsi" w:eastAsiaTheme="majorEastAsia" w:hAnsiTheme="minorHAnsi"/>
      <w:i/>
      <w:iCs/>
      <w:color w:themeColor="text1" w:themeTint="d8" w:val="272727"/>
      <w:sz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7b6a1d"/>
    <w:rPr>
      <w:rFonts w:ascii="Aptos" w:hAnsi="Aptos" w:eastAsia="" w:asciiTheme="minorHAnsi" w:eastAsiaTheme="majorEastAsia" w:hAnsiTheme="minorHAnsi"/>
      <w:color w:themeColor="text1" w:themeTint="d8" w:val="272727"/>
      <w:sz w:val="24"/>
    </w:rPr>
  </w:style>
  <w:style w:type="character" w:styleId="QuoteChar" w:customStyle="1">
    <w:name w:val="Quote Char"/>
    <w:basedOn w:val="DefaultParagraphFont"/>
    <w:link w:val="Quote"/>
    <w:uiPriority w:val="29"/>
    <w:qFormat/>
    <w:rsid w:val="007b6a1d"/>
    <w:rPr>
      <w:i/>
      <w:iCs/>
      <w:color w:themeColor="text1" w:themeTint="bf" w:val="404040"/>
      <w:sz w:val="24"/>
    </w:rPr>
  </w:style>
  <w:style w:type="character" w:styleId="IntenseEmphasis">
    <w:name w:val="Intense Emphasis"/>
    <w:basedOn w:val="DefaultParagraphFont"/>
    <w:uiPriority w:val="21"/>
    <w:qFormat/>
    <w:rsid w:val="007b6a1d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7b6a1d"/>
    <w:rPr>
      <w:i/>
      <w:iCs/>
      <w:sz w:val="24"/>
    </w:rPr>
  </w:style>
  <w:style w:type="character" w:styleId="IntenseReference">
    <w:name w:val="Intense Reference"/>
    <w:basedOn w:val="DefaultParagraphFont"/>
    <w:uiPriority w:val="32"/>
    <w:qFormat/>
    <w:rsid w:val="007b6a1d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autoRedefine/>
    <w:uiPriority w:val="1"/>
    <w:qFormat/>
    <w:rsid w:val="002704b6"/>
    <w:pPr>
      <w:widowControl/>
      <w:bidi w:val="0"/>
      <w:spacing w:lineRule="auto" w:line="240" w:before="0" w:after="0"/>
      <w:jc w:val="start"/>
    </w:pPr>
    <w:rPr>
      <w:rFonts w:ascii="Courier New" w:hAnsi="Courier New" w:eastAsia="Aptos" w:cs=""/>
      <w:color w:themeColor="accent1" w:themeShade="bf" w:val="auto"/>
      <w:kern w:val="2"/>
      <w:sz w:val="24"/>
      <w:szCs w:val="40"/>
      <w:lang w:val="en-US" w:eastAsia="en-US" w:bidi="ar-SA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704b6"/>
    <w:pPr>
      <w:spacing w:lineRule="auto" w:line="240" w:before="0" w:after="80"/>
      <w:contextualSpacing/>
    </w:pPr>
    <w:rPr>
      <w:rFonts w:eastAsia="" w:eastAsiaTheme="majorEastAsia"/>
      <w:b/>
      <w:color w:themeColor="accent1" w:themeShade="bf" w:val="auto"/>
      <w:spacing w:val="-10"/>
      <w:kern w:val="2"/>
      <w:sz w:val="40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704b6"/>
    <w:pPr/>
    <w:rPr>
      <w:rFonts w:eastAsia="" w:eastAsiaTheme="majorEastAsia"/>
      <w:color w:themeColor="accent1" w:themeShade="bf" w:val="auto"/>
      <w:spacing w:val="15"/>
      <w:sz w:val="36"/>
      <w:szCs w:val="28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8f6931"/>
    <w:pPr>
      <w:spacing w:lineRule="auto" w:line="259" w:before="240" w:after="0"/>
      <w:outlineLvl w:val="9"/>
    </w:pPr>
    <w:rPr>
      <w:kern w:val="0"/>
      <w:szCs w:val="32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b6a1d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7b6a1d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7b6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53e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LibreOffice/25.2.5.2$MacOSX_X86_64 LibreOffice_project/03d19516eb2e1dd5d4ccd751a0d6f35f35e08022</Application>
  <AppVersion>15.0000</AppVersion>
  <Pages>4</Pages>
  <Words>630</Words>
  <Characters>4352</Characters>
  <CharactersWithSpaces>4826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2025-09-24T16:12:00Z</dcterms:created>
  <dc:creator>TRENT, DAVID S CTR USAF AFMC AFLCMC/HNCAX</dc:creator>
  <dc:description/>
  <dc:language>en-US</dc:language>
  <cp:lastModifiedBy/>
  <dcterms:modified xsi:type="dcterms:W3CDTF">2025-09-24T15:26:26Z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