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EE85B" w14:textId="26736BDB" w:rsidR="00F93F42" w:rsidRDefault="00F93F42"/>
    <w:p w14:paraId="5C827E8B" w14:textId="5FAFD50F" w:rsidR="00DB1563" w:rsidRDefault="00DB1563">
      <w:pPr>
        <w:rPr>
          <w:rFonts w:ascii="Open Sans" w:hAnsi="Open Sans" w:cs="Open Sans"/>
          <w:color w:val="212722"/>
          <w:sz w:val="21"/>
          <w:szCs w:val="21"/>
        </w:rPr>
      </w:pPr>
      <w:r>
        <w:rPr>
          <w:rFonts w:ascii="Open Sans" w:hAnsi="Open Sans" w:cs="Open Sans"/>
          <w:color w:val="212722"/>
          <w:sz w:val="21"/>
          <w:szCs w:val="21"/>
        </w:rPr>
        <w:t xml:space="preserve">Competitors cannot have used any substances listed below during the duration periods specified. Participants are required to pass polygraph screenings prior to competitions (polygraph test results from amateur OCB shows can be honored for other amateur OCB shows held within six weeks from the contest where testing took place. Polygraph test results from other amateur all-natural federations, other than OCB, can possibly be honored, but only in circumstances where the polygraph examiner who conducted the testing sends verification to OCB, or where the conducting examiner's name and </w:t>
      </w:r>
      <w:proofErr w:type="gramStart"/>
      <w:r>
        <w:rPr>
          <w:rFonts w:ascii="Open Sans" w:hAnsi="Open Sans" w:cs="Open Sans"/>
          <w:color w:val="212722"/>
          <w:sz w:val="21"/>
          <w:szCs w:val="21"/>
        </w:rPr>
        <w:t>contact</w:t>
      </w:r>
      <w:proofErr w:type="gramEnd"/>
      <w:r>
        <w:rPr>
          <w:rFonts w:ascii="Open Sans" w:hAnsi="Open Sans" w:cs="Open Sans"/>
          <w:color w:val="212722"/>
          <w:sz w:val="21"/>
          <w:szCs w:val="21"/>
        </w:rPr>
        <w:t xml:space="preserve"> information are supplied to OCB for OCB to be able to verify testing took place and what results were in advance). Pros are required to be polygraph tested for every OCB Pro show, regardless of how recently they may have been tested elsewhere. In addition to polygraph testing, pro-qualifying placement winners at amateur events, and cash-prize placement winners in pro divisions, must pass a urine test.</w:t>
      </w:r>
      <w:r>
        <w:rPr>
          <w:rFonts w:ascii="Open Sans" w:hAnsi="Open Sans" w:cs="Open Sans"/>
          <w:color w:val="212722"/>
          <w:sz w:val="21"/>
          <w:szCs w:val="21"/>
        </w:rPr>
        <w:br/>
      </w:r>
      <w:r>
        <w:rPr>
          <w:rFonts w:ascii="Open Sans" w:hAnsi="Open Sans" w:cs="Open Sans"/>
          <w:color w:val="212722"/>
          <w:sz w:val="21"/>
          <w:szCs w:val="21"/>
        </w:rPr>
        <w:br/>
        <w:t xml:space="preserve">Polygraph screenings are used since events are seven-years drug-free for many substances. Most anabolic steroids and other banned substances are no longer detectable in urine within a month or two from last use, and growth hormone is not detected in routine sports panel urine testing. Note: If you think Bikini competitors </w:t>
      </w:r>
      <w:proofErr w:type="gramStart"/>
      <w:r>
        <w:rPr>
          <w:rFonts w:ascii="Open Sans" w:hAnsi="Open Sans" w:cs="Open Sans"/>
          <w:color w:val="212722"/>
          <w:sz w:val="21"/>
          <w:szCs w:val="21"/>
        </w:rPr>
        <w:t>don't</w:t>
      </w:r>
      <w:proofErr w:type="gramEnd"/>
      <w:r>
        <w:rPr>
          <w:rFonts w:ascii="Open Sans" w:hAnsi="Open Sans" w:cs="Open Sans"/>
          <w:color w:val="212722"/>
          <w:sz w:val="21"/>
          <w:szCs w:val="21"/>
        </w:rPr>
        <w:t xml:space="preserve"> use banned substances, think again. Approximately half of the competitors who </w:t>
      </w:r>
      <w:proofErr w:type="gramStart"/>
      <w:r>
        <w:rPr>
          <w:rFonts w:ascii="Open Sans" w:hAnsi="Open Sans" w:cs="Open Sans"/>
          <w:color w:val="212722"/>
          <w:sz w:val="21"/>
          <w:szCs w:val="21"/>
        </w:rPr>
        <w:t>don’t</w:t>
      </w:r>
      <w:proofErr w:type="gramEnd"/>
      <w:r>
        <w:rPr>
          <w:rFonts w:ascii="Open Sans" w:hAnsi="Open Sans" w:cs="Open Sans"/>
          <w:color w:val="212722"/>
          <w:sz w:val="21"/>
          <w:szCs w:val="21"/>
        </w:rPr>
        <w:t xml:space="preserve"> pass the polygraph test at OCB contests are Bikini competitors. Drug use is not always about gaining maximum muscle size. Certain banned substances, which are more popular among females, can yield an unfair advantage with getting leaner and shapelier more easily.</w:t>
      </w:r>
    </w:p>
    <w:p w14:paraId="778D93B0" w14:textId="0D67AEB7" w:rsidR="00DB1563" w:rsidRDefault="00DB1563">
      <w:pPr>
        <w:rPr>
          <w:rFonts w:ascii="Open Sans" w:hAnsi="Open Sans" w:cs="Open Sans"/>
          <w:color w:val="212722"/>
          <w:sz w:val="21"/>
          <w:szCs w:val="21"/>
        </w:rPr>
      </w:pPr>
    </w:p>
    <w:p w14:paraId="340D53F1" w14:textId="77777777" w:rsidR="00DB1563" w:rsidRPr="00DB1563" w:rsidRDefault="00DB1563" w:rsidP="00DB1563">
      <w:pPr>
        <w:spacing w:after="225" w:line="420" w:lineRule="atLeast"/>
        <w:textAlignment w:val="top"/>
        <w:outlineLvl w:val="2"/>
        <w:rPr>
          <w:rFonts w:ascii="Open Sans" w:eastAsia="Times New Roman" w:hAnsi="Open Sans" w:cs="Open Sans"/>
          <w:b/>
          <w:bCs/>
          <w:caps/>
          <w:color w:val="E3530D"/>
          <w:sz w:val="24"/>
          <w:szCs w:val="24"/>
        </w:rPr>
      </w:pPr>
      <w:r w:rsidRPr="00DB1563">
        <w:rPr>
          <w:rFonts w:ascii="Open Sans" w:eastAsia="Times New Roman" w:hAnsi="Open Sans" w:cs="Open Sans"/>
          <w:b/>
          <w:bCs/>
          <w:caps/>
          <w:color w:val="E3530D"/>
          <w:sz w:val="24"/>
          <w:szCs w:val="24"/>
        </w:rPr>
        <w:t>ANABOLIC AGENTS (INCLUDING FRAGMENTS, METABOLITES, AND RELEASING FACTORS) – BANNED 7 YEARS</w:t>
      </w:r>
    </w:p>
    <w:p w14:paraId="5DA66BFC" w14:textId="7B383593" w:rsidR="00DB1563" w:rsidRDefault="00DB1563" w:rsidP="00DB1563">
      <w:pPr>
        <w:rPr>
          <w:rFonts w:ascii="Open Sans" w:eastAsia="Times New Roman" w:hAnsi="Open Sans" w:cs="Open Sans"/>
          <w:color w:val="212722"/>
          <w:sz w:val="21"/>
          <w:szCs w:val="21"/>
        </w:rPr>
      </w:pPr>
      <w:r w:rsidRPr="00DB1563">
        <w:rPr>
          <w:rFonts w:ascii="Open Sans" w:eastAsia="Times New Roman" w:hAnsi="Open Sans" w:cs="Open Sans"/>
          <w:color w:val="212722"/>
          <w:sz w:val="21"/>
          <w:szCs w:val="21"/>
          <w:u w:val="single"/>
          <w:bdr w:val="none" w:sz="0" w:space="0" w:color="auto" w:frame="1"/>
        </w:rPr>
        <w:t>Including, but not limited to (some trade names shown in parenthesis)</w:t>
      </w:r>
      <w:r w:rsidRPr="00DB1563">
        <w:rPr>
          <w:rFonts w:ascii="Open Sans" w:eastAsia="Times New Roman" w:hAnsi="Open Sans" w:cs="Open Sans"/>
          <w:color w:val="212722"/>
          <w:sz w:val="21"/>
          <w:szCs w:val="21"/>
        </w:rPr>
        <w:t>:</w:t>
      </w:r>
      <w:r w:rsidRPr="00DB1563">
        <w:rPr>
          <w:rFonts w:ascii="Open Sans" w:eastAsia="Times New Roman" w:hAnsi="Open Sans" w:cs="Open Sans"/>
          <w:color w:val="212722"/>
          <w:sz w:val="21"/>
          <w:szCs w:val="21"/>
        </w:rPr>
        <w:br/>
        <w:t>1-Androstendiol</w:t>
      </w:r>
      <w:r w:rsidRPr="00DB1563">
        <w:rPr>
          <w:rFonts w:ascii="Open Sans" w:eastAsia="Times New Roman" w:hAnsi="Open Sans" w:cs="Open Sans"/>
          <w:color w:val="212722"/>
          <w:sz w:val="21"/>
          <w:szCs w:val="21"/>
        </w:rPr>
        <w:br/>
        <w:t>1-Androstendione</w:t>
      </w:r>
      <w:r w:rsidRPr="00DB1563">
        <w:rPr>
          <w:rFonts w:ascii="Open Sans" w:eastAsia="Times New Roman" w:hAnsi="Open Sans" w:cs="Open Sans"/>
          <w:color w:val="212722"/>
          <w:sz w:val="21"/>
          <w:szCs w:val="21"/>
        </w:rPr>
        <w:br/>
        <w:t>1-Testosterone</w:t>
      </w:r>
      <w:r w:rsidRPr="00DB1563">
        <w:rPr>
          <w:rFonts w:ascii="Open Sans" w:eastAsia="Times New Roman" w:hAnsi="Open Sans" w:cs="Open Sans"/>
          <w:color w:val="212722"/>
          <w:sz w:val="21"/>
          <w:szCs w:val="21"/>
        </w:rPr>
        <w:br/>
        <w:t>19-Norandrostenedione</w:t>
      </w:r>
      <w:r w:rsidRPr="00DB1563">
        <w:rPr>
          <w:rFonts w:ascii="Open Sans" w:eastAsia="Times New Roman" w:hAnsi="Open Sans" w:cs="Open Sans"/>
          <w:color w:val="212722"/>
          <w:sz w:val="21"/>
          <w:szCs w:val="21"/>
        </w:rPr>
        <w:br/>
        <w:t>4-Hydroxytestosterone</w:t>
      </w:r>
      <w:r w:rsidRPr="00DB1563">
        <w:rPr>
          <w:rFonts w:ascii="Open Sans" w:eastAsia="Times New Roman" w:hAnsi="Open Sans" w:cs="Open Sans"/>
          <w:color w:val="212722"/>
          <w:sz w:val="21"/>
          <w:szCs w:val="21"/>
        </w:rPr>
        <w:br/>
        <w:t>6a-Methylandrostendione</w:t>
      </w:r>
      <w:r w:rsidRPr="00DB1563">
        <w:rPr>
          <w:rFonts w:ascii="Open Sans" w:eastAsia="Times New Roman" w:hAnsi="Open Sans" w:cs="Open Sans"/>
          <w:color w:val="212722"/>
          <w:sz w:val="21"/>
          <w:szCs w:val="21"/>
        </w:rPr>
        <w:br/>
      </w:r>
      <w:proofErr w:type="spellStart"/>
      <w:r w:rsidRPr="00DB1563">
        <w:rPr>
          <w:rFonts w:ascii="Open Sans" w:eastAsia="Times New Roman" w:hAnsi="Open Sans" w:cs="Open Sans"/>
          <w:color w:val="212722"/>
          <w:sz w:val="21"/>
          <w:szCs w:val="21"/>
        </w:rPr>
        <w:t>Androstendiol</w:t>
      </w:r>
      <w:proofErr w:type="spellEnd"/>
      <w:r w:rsidRPr="00DB1563">
        <w:rPr>
          <w:rFonts w:ascii="Open Sans" w:eastAsia="Times New Roman" w:hAnsi="Open Sans" w:cs="Open Sans"/>
          <w:color w:val="212722"/>
          <w:sz w:val="21"/>
          <w:szCs w:val="21"/>
        </w:rPr>
        <w:br/>
      </w:r>
      <w:proofErr w:type="spellStart"/>
      <w:r w:rsidRPr="00DB1563">
        <w:rPr>
          <w:rFonts w:ascii="Open Sans" w:eastAsia="Times New Roman" w:hAnsi="Open Sans" w:cs="Open Sans"/>
          <w:color w:val="212722"/>
          <w:sz w:val="21"/>
          <w:szCs w:val="21"/>
        </w:rPr>
        <w:t>Androstendione</w:t>
      </w:r>
      <w:proofErr w:type="spellEnd"/>
      <w:r w:rsidRPr="00DB1563">
        <w:rPr>
          <w:rFonts w:ascii="Open Sans" w:eastAsia="Times New Roman" w:hAnsi="Open Sans" w:cs="Open Sans"/>
          <w:color w:val="212722"/>
          <w:sz w:val="21"/>
          <w:szCs w:val="21"/>
        </w:rPr>
        <w:br/>
      </w:r>
      <w:proofErr w:type="spellStart"/>
      <w:r w:rsidRPr="00DB1563">
        <w:rPr>
          <w:rFonts w:ascii="Open Sans" w:eastAsia="Times New Roman" w:hAnsi="Open Sans" w:cs="Open Sans"/>
          <w:color w:val="212722"/>
          <w:sz w:val="21"/>
          <w:szCs w:val="21"/>
        </w:rPr>
        <w:t>Bolasterone</w:t>
      </w:r>
      <w:proofErr w:type="spellEnd"/>
      <w:r w:rsidRPr="00DB1563">
        <w:rPr>
          <w:rFonts w:ascii="Open Sans" w:eastAsia="Times New Roman" w:hAnsi="Open Sans" w:cs="Open Sans"/>
          <w:color w:val="212722"/>
          <w:sz w:val="21"/>
          <w:szCs w:val="21"/>
        </w:rPr>
        <w:br/>
        <w:t>Boldenone (Equipoise)</w:t>
      </w:r>
      <w:r w:rsidRPr="00DB1563">
        <w:rPr>
          <w:rFonts w:ascii="Open Sans" w:eastAsia="Times New Roman" w:hAnsi="Open Sans" w:cs="Open Sans"/>
          <w:color w:val="212722"/>
          <w:sz w:val="21"/>
          <w:szCs w:val="21"/>
        </w:rPr>
        <w:br/>
      </w:r>
      <w:proofErr w:type="spellStart"/>
      <w:r w:rsidRPr="00DB1563">
        <w:rPr>
          <w:rFonts w:ascii="Open Sans" w:eastAsia="Times New Roman" w:hAnsi="Open Sans" w:cs="Open Sans"/>
          <w:color w:val="212722"/>
          <w:sz w:val="21"/>
          <w:szCs w:val="21"/>
        </w:rPr>
        <w:t>Calusterone</w:t>
      </w:r>
      <w:proofErr w:type="spellEnd"/>
      <w:r w:rsidRPr="00DB1563">
        <w:rPr>
          <w:rFonts w:ascii="Open Sans" w:eastAsia="Times New Roman" w:hAnsi="Open Sans" w:cs="Open Sans"/>
          <w:color w:val="212722"/>
          <w:sz w:val="21"/>
          <w:szCs w:val="21"/>
        </w:rPr>
        <w:br/>
        <w:t>Clenbuterol</w:t>
      </w:r>
      <w:r w:rsidRPr="00DB1563">
        <w:rPr>
          <w:rFonts w:ascii="Open Sans" w:eastAsia="Times New Roman" w:hAnsi="Open Sans" w:cs="Open Sans"/>
          <w:color w:val="212722"/>
          <w:sz w:val="21"/>
          <w:szCs w:val="21"/>
        </w:rPr>
        <w:br/>
      </w:r>
      <w:proofErr w:type="spellStart"/>
      <w:r w:rsidRPr="00DB1563">
        <w:rPr>
          <w:rFonts w:ascii="Open Sans" w:eastAsia="Times New Roman" w:hAnsi="Open Sans" w:cs="Open Sans"/>
          <w:color w:val="212722"/>
          <w:sz w:val="21"/>
          <w:szCs w:val="21"/>
        </w:rPr>
        <w:t>Clostebol</w:t>
      </w:r>
      <w:proofErr w:type="spellEnd"/>
      <w:r w:rsidRPr="00DB1563">
        <w:rPr>
          <w:rFonts w:ascii="Open Sans" w:eastAsia="Times New Roman" w:hAnsi="Open Sans" w:cs="Open Sans"/>
          <w:color w:val="212722"/>
          <w:sz w:val="21"/>
          <w:szCs w:val="21"/>
        </w:rPr>
        <w:br/>
        <w:t>Danazol</w:t>
      </w:r>
      <w:r w:rsidRPr="00DB1563">
        <w:rPr>
          <w:rFonts w:ascii="Open Sans" w:eastAsia="Times New Roman" w:hAnsi="Open Sans" w:cs="Open Sans"/>
          <w:color w:val="212722"/>
          <w:sz w:val="21"/>
          <w:szCs w:val="21"/>
        </w:rPr>
        <w:br/>
      </w:r>
      <w:proofErr w:type="spellStart"/>
      <w:r w:rsidRPr="00DB1563">
        <w:rPr>
          <w:rFonts w:ascii="Open Sans" w:eastAsia="Times New Roman" w:hAnsi="Open Sans" w:cs="Open Sans"/>
          <w:color w:val="212722"/>
          <w:sz w:val="21"/>
          <w:szCs w:val="21"/>
        </w:rPr>
        <w:lastRenderedPageBreak/>
        <w:t>Dehydrochlormethyltestosterone</w:t>
      </w:r>
      <w:proofErr w:type="spellEnd"/>
      <w:r w:rsidRPr="00DB1563">
        <w:rPr>
          <w:rFonts w:ascii="Open Sans" w:eastAsia="Times New Roman" w:hAnsi="Open Sans" w:cs="Open Sans"/>
          <w:color w:val="212722"/>
          <w:sz w:val="21"/>
          <w:szCs w:val="21"/>
        </w:rPr>
        <w:br/>
      </w:r>
      <w:proofErr w:type="spellStart"/>
      <w:r w:rsidRPr="00DB1563">
        <w:rPr>
          <w:rFonts w:ascii="Open Sans" w:eastAsia="Times New Roman" w:hAnsi="Open Sans" w:cs="Open Sans"/>
          <w:color w:val="212722"/>
          <w:sz w:val="21"/>
          <w:szCs w:val="21"/>
        </w:rPr>
        <w:t>Desoxymethyltestosterone</w:t>
      </w:r>
      <w:proofErr w:type="spellEnd"/>
      <w:r w:rsidRPr="00DB1563">
        <w:rPr>
          <w:rFonts w:ascii="Open Sans" w:eastAsia="Times New Roman" w:hAnsi="Open Sans" w:cs="Open Sans"/>
          <w:color w:val="212722"/>
          <w:sz w:val="21"/>
          <w:szCs w:val="21"/>
        </w:rPr>
        <w:br/>
        <w:t xml:space="preserve">DHEA (aka </w:t>
      </w:r>
      <w:proofErr w:type="spellStart"/>
      <w:r w:rsidRPr="00DB1563">
        <w:rPr>
          <w:rFonts w:ascii="Open Sans" w:eastAsia="Times New Roman" w:hAnsi="Open Sans" w:cs="Open Sans"/>
          <w:color w:val="212722"/>
          <w:sz w:val="21"/>
          <w:szCs w:val="21"/>
        </w:rPr>
        <w:t>androstenolone</w:t>
      </w:r>
      <w:proofErr w:type="spellEnd"/>
      <w:r w:rsidRPr="00DB1563">
        <w:rPr>
          <w:rFonts w:ascii="Open Sans" w:eastAsia="Times New Roman" w:hAnsi="Open Sans" w:cs="Open Sans"/>
          <w:color w:val="212722"/>
          <w:sz w:val="21"/>
          <w:szCs w:val="21"/>
        </w:rPr>
        <w:t>) in excess of 100mg/day (Note "7-Keto-DHEA" is different than "DHEA" and is not banned)</w:t>
      </w:r>
      <w:r w:rsidRPr="00DB1563">
        <w:rPr>
          <w:rFonts w:ascii="Open Sans" w:eastAsia="Times New Roman" w:hAnsi="Open Sans" w:cs="Open Sans"/>
          <w:color w:val="212722"/>
          <w:sz w:val="21"/>
          <w:szCs w:val="21"/>
        </w:rPr>
        <w:br/>
      </w:r>
      <w:proofErr w:type="spellStart"/>
      <w:r w:rsidRPr="00DB1563">
        <w:rPr>
          <w:rFonts w:ascii="Open Sans" w:eastAsia="Times New Roman" w:hAnsi="Open Sans" w:cs="Open Sans"/>
          <w:color w:val="212722"/>
          <w:sz w:val="21"/>
          <w:szCs w:val="21"/>
        </w:rPr>
        <w:t>Drostanolone</w:t>
      </w:r>
      <w:proofErr w:type="spellEnd"/>
      <w:r w:rsidRPr="00DB1563">
        <w:rPr>
          <w:rFonts w:ascii="Open Sans" w:eastAsia="Times New Roman" w:hAnsi="Open Sans" w:cs="Open Sans"/>
          <w:color w:val="212722"/>
          <w:sz w:val="21"/>
          <w:szCs w:val="21"/>
        </w:rPr>
        <w:br/>
        <w:t>Estra-4,9-dien-3,17-dione</w:t>
      </w:r>
      <w:r w:rsidRPr="00DB1563">
        <w:rPr>
          <w:rFonts w:ascii="Open Sans" w:eastAsia="Times New Roman" w:hAnsi="Open Sans" w:cs="Open Sans"/>
          <w:color w:val="212722"/>
          <w:sz w:val="21"/>
          <w:szCs w:val="21"/>
        </w:rPr>
        <w:br/>
      </w:r>
      <w:proofErr w:type="spellStart"/>
      <w:r w:rsidRPr="00DB1563">
        <w:rPr>
          <w:rFonts w:ascii="Open Sans" w:eastAsia="Times New Roman" w:hAnsi="Open Sans" w:cs="Open Sans"/>
          <w:color w:val="212722"/>
          <w:sz w:val="21"/>
          <w:szCs w:val="21"/>
        </w:rPr>
        <w:t>Fluoxymesterone</w:t>
      </w:r>
      <w:proofErr w:type="spellEnd"/>
      <w:r w:rsidRPr="00DB1563">
        <w:rPr>
          <w:rFonts w:ascii="Open Sans" w:eastAsia="Times New Roman" w:hAnsi="Open Sans" w:cs="Open Sans"/>
          <w:color w:val="212722"/>
          <w:sz w:val="21"/>
          <w:szCs w:val="21"/>
        </w:rPr>
        <w:br/>
      </w:r>
      <w:proofErr w:type="spellStart"/>
      <w:r w:rsidRPr="00DB1563">
        <w:rPr>
          <w:rFonts w:ascii="Open Sans" w:eastAsia="Times New Roman" w:hAnsi="Open Sans" w:cs="Open Sans"/>
          <w:color w:val="212722"/>
          <w:sz w:val="21"/>
          <w:szCs w:val="21"/>
        </w:rPr>
        <w:t>Formebolone</w:t>
      </w:r>
      <w:proofErr w:type="spellEnd"/>
      <w:r w:rsidRPr="00DB1563">
        <w:rPr>
          <w:rFonts w:ascii="Open Sans" w:eastAsia="Times New Roman" w:hAnsi="Open Sans" w:cs="Open Sans"/>
          <w:color w:val="212722"/>
          <w:sz w:val="21"/>
          <w:szCs w:val="21"/>
        </w:rPr>
        <w:br/>
      </w:r>
      <w:proofErr w:type="spellStart"/>
      <w:r w:rsidRPr="00DB1563">
        <w:rPr>
          <w:rFonts w:ascii="Open Sans" w:eastAsia="Times New Roman" w:hAnsi="Open Sans" w:cs="Open Sans"/>
          <w:color w:val="212722"/>
          <w:sz w:val="21"/>
          <w:szCs w:val="21"/>
        </w:rPr>
        <w:t>Formestane</w:t>
      </w:r>
      <w:proofErr w:type="spellEnd"/>
      <w:r w:rsidRPr="00DB1563">
        <w:rPr>
          <w:rFonts w:ascii="Open Sans" w:eastAsia="Times New Roman" w:hAnsi="Open Sans" w:cs="Open Sans"/>
          <w:color w:val="212722"/>
          <w:sz w:val="21"/>
          <w:szCs w:val="21"/>
        </w:rPr>
        <w:br/>
        <w:t>Furazabol</w:t>
      </w:r>
      <w:r w:rsidRPr="00DB1563">
        <w:rPr>
          <w:rFonts w:ascii="Open Sans" w:eastAsia="Times New Roman" w:hAnsi="Open Sans" w:cs="Open Sans"/>
          <w:color w:val="212722"/>
          <w:sz w:val="21"/>
          <w:szCs w:val="21"/>
        </w:rPr>
        <w:br/>
      </w:r>
      <w:proofErr w:type="spellStart"/>
      <w:r w:rsidRPr="00DB1563">
        <w:rPr>
          <w:rFonts w:ascii="Open Sans" w:eastAsia="Times New Roman" w:hAnsi="Open Sans" w:cs="Open Sans"/>
          <w:color w:val="212722"/>
          <w:sz w:val="21"/>
          <w:szCs w:val="21"/>
        </w:rPr>
        <w:t>Halodrol</w:t>
      </w:r>
      <w:proofErr w:type="spellEnd"/>
      <w:r w:rsidRPr="00DB1563">
        <w:rPr>
          <w:rFonts w:ascii="Open Sans" w:eastAsia="Times New Roman" w:hAnsi="Open Sans" w:cs="Open Sans"/>
          <w:color w:val="212722"/>
          <w:sz w:val="21"/>
          <w:szCs w:val="21"/>
        </w:rPr>
        <w:br/>
      </w:r>
      <w:proofErr w:type="spellStart"/>
      <w:r w:rsidRPr="00DB1563">
        <w:rPr>
          <w:rFonts w:ascii="Open Sans" w:eastAsia="Times New Roman" w:hAnsi="Open Sans" w:cs="Open Sans"/>
          <w:color w:val="212722"/>
          <w:sz w:val="21"/>
          <w:szCs w:val="21"/>
        </w:rPr>
        <w:t>Mestanolone</w:t>
      </w:r>
      <w:proofErr w:type="spellEnd"/>
      <w:r w:rsidRPr="00DB1563">
        <w:rPr>
          <w:rFonts w:ascii="Open Sans" w:eastAsia="Times New Roman" w:hAnsi="Open Sans" w:cs="Open Sans"/>
          <w:color w:val="212722"/>
          <w:sz w:val="21"/>
          <w:szCs w:val="21"/>
        </w:rPr>
        <w:br/>
      </w:r>
      <w:proofErr w:type="spellStart"/>
      <w:r w:rsidRPr="00DB1563">
        <w:rPr>
          <w:rFonts w:ascii="Open Sans" w:eastAsia="Times New Roman" w:hAnsi="Open Sans" w:cs="Open Sans"/>
          <w:color w:val="212722"/>
          <w:sz w:val="21"/>
          <w:szCs w:val="21"/>
        </w:rPr>
        <w:t>Mesterolone</w:t>
      </w:r>
      <w:proofErr w:type="spellEnd"/>
      <w:r w:rsidRPr="00DB1563">
        <w:rPr>
          <w:rFonts w:ascii="Open Sans" w:eastAsia="Times New Roman" w:hAnsi="Open Sans" w:cs="Open Sans"/>
          <w:color w:val="212722"/>
          <w:sz w:val="21"/>
          <w:szCs w:val="21"/>
        </w:rPr>
        <w:br/>
        <w:t>Methandriol</w:t>
      </w:r>
      <w:r w:rsidRPr="00DB1563">
        <w:rPr>
          <w:rFonts w:ascii="Open Sans" w:eastAsia="Times New Roman" w:hAnsi="Open Sans" w:cs="Open Sans"/>
          <w:color w:val="212722"/>
          <w:sz w:val="21"/>
          <w:szCs w:val="21"/>
        </w:rPr>
        <w:br/>
      </w:r>
      <w:proofErr w:type="spellStart"/>
      <w:r w:rsidRPr="00DB1563">
        <w:rPr>
          <w:rFonts w:ascii="Open Sans" w:eastAsia="Times New Roman" w:hAnsi="Open Sans" w:cs="Open Sans"/>
          <w:color w:val="212722"/>
          <w:sz w:val="21"/>
          <w:szCs w:val="21"/>
        </w:rPr>
        <w:t>Methandrostenolone</w:t>
      </w:r>
      <w:proofErr w:type="spellEnd"/>
      <w:r w:rsidRPr="00DB1563">
        <w:rPr>
          <w:rFonts w:ascii="Open Sans" w:eastAsia="Times New Roman" w:hAnsi="Open Sans" w:cs="Open Sans"/>
          <w:color w:val="212722"/>
          <w:sz w:val="21"/>
          <w:szCs w:val="21"/>
        </w:rPr>
        <w:t xml:space="preserve"> (</w:t>
      </w:r>
      <w:proofErr w:type="spellStart"/>
      <w:r w:rsidRPr="00DB1563">
        <w:rPr>
          <w:rFonts w:ascii="Open Sans" w:eastAsia="Times New Roman" w:hAnsi="Open Sans" w:cs="Open Sans"/>
          <w:color w:val="212722"/>
          <w:sz w:val="21"/>
          <w:szCs w:val="21"/>
        </w:rPr>
        <w:t>Dianabol</w:t>
      </w:r>
      <w:proofErr w:type="spellEnd"/>
      <w:r w:rsidRPr="00DB1563">
        <w:rPr>
          <w:rFonts w:ascii="Open Sans" w:eastAsia="Times New Roman" w:hAnsi="Open Sans" w:cs="Open Sans"/>
          <w:color w:val="212722"/>
          <w:sz w:val="21"/>
          <w:szCs w:val="21"/>
        </w:rPr>
        <w:t>)</w:t>
      </w:r>
      <w:r w:rsidRPr="00DB1563">
        <w:rPr>
          <w:rFonts w:ascii="Open Sans" w:eastAsia="Times New Roman" w:hAnsi="Open Sans" w:cs="Open Sans"/>
          <w:color w:val="212722"/>
          <w:sz w:val="21"/>
          <w:szCs w:val="21"/>
        </w:rPr>
        <w:br/>
      </w:r>
      <w:proofErr w:type="spellStart"/>
      <w:r w:rsidRPr="00DB1563">
        <w:rPr>
          <w:rFonts w:ascii="Open Sans" w:eastAsia="Times New Roman" w:hAnsi="Open Sans" w:cs="Open Sans"/>
          <w:color w:val="212722"/>
          <w:sz w:val="21"/>
          <w:szCs w:val="21"/>
        </w:rPr>
        <w:t>Methasterone</w:t>
      </w:r>
      <w:proofErr w:type="spellEnd"/>
      <w:r w:rsidRPr="00DB1563">
        <w:rPr>
          <w:rFonts w:ascii="Open Sans" w:eastAsia="Times New Roman" w:hAnsi="Open Sans" w:cs="Open Sans"/>
          <w:color w:val="212722"/>
          <w:sz w:val="21"/>
          <w:szCs w:val="21"/>
        </w:rPr>
        <w:t xml:space="preserve"> (</w:t>
      </w:r>
      <w:proofErr w:type="spellStart"/>
      <w:r w:rsidRPr="00DB1563">
        <w:rPr>
          <w:rFonts w:ascii="Open Sans" w:eastAsia="Times New Roman" w:hAnsi="Open Sans" w:cs="Open Sans"/>
          <w:color w:val="212722"/>
          <w:sz w:val="21"/>
          <w:szCs w:val="21"/>
        </w:rPr>
        <w:t>Superdrol</w:t>
      </w:r>
      <w:proofErr w:type="spellEnd"/>
      <w:r w:rsidRPr="00DB1563">
        <w:rPr>
          <w:rFonts w:ascii="Open Sans" w:eastAsia="Times New Roman" w:hAnsi="Open Sans" w:cs="Open Sans"/>
          <w:color w:val="212722"/>
          <w:sz w:val="21"/>
          <w:szCs w:val="21"/>
        </w:rPr>
        <w:t>)</w:t>
      </w:r>
      <w:r w:rsidRPr="00DB1563">
        <w:rPr>
          <w:rFonts w:ascii="Open Sans" w:eastAsia="Times New Roman" w:hAnsi="Open Sans" w:cs="Open Sans"/>
          <w:color w:val="212722"/>
          <w:sz w:val="21"/>
          <w:szCs w:val="21"/>
        </w:rPr>
        <w:br/>
        <w:t>Methenolone (</w:t>
      </w:r>
      <w:proofErr w:type="spellStart"/>
      <w:r w:rsidRPr="00DB1563">
        <w:rPr>
          <w:rFonts w:ascii="Open Sans" w:eastAsia="Times New Roman" w:hAnsi="Open Sans" w:cs="Open Sans"/>
          <w:color w:val="212722"/>
          <w:sz w:val="21"/>
          <w:szCs w:val="21"/>
        </w:rPr>
        <w:t>Primobolan</w:t>
      </w:r>
      <w:proofErr w:type="spellEnd"/>
      <w:r w:rsidRPr="00DB1563">
        <w:rPr>
          <w:rFonts w:ascii="Open Sans" w:eastAsia="Times New Roman" w:hAnsi="Open Sans" w:cs="Open Sans"/>
          <w:color w:val="212722"/>
          <w:sz w:val="21"/>
          <w:szCs w:val="21"/>
        </w:rPr>
        <w:t>)</w:t>
      </w:r>
      <w:r w:rsidRPr="00DB1563">
        <w:rPr>
          <w:rFonts w:ascii="Open Sans" w:eastAsia="Times New Roman" w:hAnsi="Open Sans" w:cs="Open Sans"/>
          <w:color w:val="212722"/>
          <w:sz w:val="21"/>
          <w:szCs w:val="21"/>
        </w:rPr>
        <w:br/>
        <w:t>Methyl-1-testosterone</w:t>
      </w:r>
      <w:r w:rsidRPr="00DB1563">
        <w:rPr>
          <w:rFonts w:ascii="Open Sans" w:eastAsia="Times New Roman" w:hAnsi="Open Sans" w:cs="Open Sans"/>
          <w:color w:val="212722"/>
          <w:sz w:val="21"/>
          <w:szCs w:val="21"/>
        </w:rPr>
        <w:br/>
        <w:t>Methyltestosterone</w:t>
      </w:r>
      <w:r w:rsidRPr="00DB1563">
        <w:rPr>
          <w:rFonts w:ascii="Open Sans" w:eastAsia="Times New Roman" w:hAnsi="Open Sans" w:cs="Open Sans"/>
          <w:color w:val="212722"/>
          <w:sz w:val="21"/>
          <w:szCs w:val="21"/>
        </w:rPr>
        <w:br/>
      </w:r>
      <w:proofErr w:type="spellStart"/>
      <w:r w:rsidRPr="00DB1563">
        <w:rPr>
          <w:rFonts w:ascii="Open Sans" w:eastAsia="Times New Roman" w:hAnsi="Open Sans" w:cs="Open Sans"/>
          <w:color w:val="212722"/>
          <w:sz w:val="21"/>
          <w:szCs w:val="21"/>
        </w:rPr>
        <w:t>Mibolerone</w:t>
      </w:r>
      <w:proofErr w:type="spellEnd"/>
      <w:r w:rsidRPr="00DB1563">
        <w:rPr>
          <w:rFonts w:ascii="Open Sans" w:eastAsia="Times New Roman" w:hAnsi="Open Sans" w:cs="Open Sans"/>
          <w:color w:val="212722"/>
          <w:sz w:val="21"/>
          <w:szCs w:val="21"/>
        </w:rPr>
        <w:br/>
        <w:t>Nandrolone (Deca-</w:t>
      </w:r>
      <w:proofErr w:type="spellStart"/>
      <w:r w:rsidRPr="00DB1563">
        <w:rPr>
          <w:rFonts w:ascii="Open Sans" w:eastAsia="Times New Roman" w:hAnsi="Open Sans" w:cs="Open Sans"/>
          <w:color w:val="212722"/>
          <w:sz w:val="21"/>
          <w:szCs w:val="21"/>
        </w:rPr>
        <w:t>Durabolin</w:t>
      </w:r>
      <w:proofErr w:type="spellEnd"/>
      <w:r w:rsidRPr="00DB1563">
        <w:rPr>
          <w:rFonts w:ascii="Open Sans" w:eastAsia="Times New Roman" w:hAnsi="Open Sans" w:cs="Open Sans"/>
          <w:color w:val="212722"/>
          <w:sz w:val="21"/>
          <w:szCs w:val="21"/>
        </w:rPr>
        <w:t>)</w:t>
      </w:r>
      <w:r w:rsidRPr="00DB1563">
        <w:rPr>
          <w:rFonts w:ascii="Open Sans" w:eastAsia="Times New Roman" w:hAnsi="Open Sans" w:cs="Open Sans"/>
          <w:color w:val="212722"/>
          <w:sz w:val="21"/>
          <w:szCs w:val="21"/>
        </w:rPr>
        <w:br/>
      </w:r>
      <w:proofErr w:type="spellStart"/>
      <w:r w:rsidRPr="00DB1563">
        <w:rPr>
          <w:rFonts w:ascii="Open Sans" w:eastAsia="Times New Roman" w:hAnsi="Open Sans" w:cs="Open Sans"/>
          <w:color w:val="212722"/>
          <w:sz w:val="21"/>
          <w:szCs w:val="21"/>
        </w:rPr>
        <w:t>Norclostebol</w:t>
      </w:r>
      <w:proofErr w:type="spellEnd"/>
      <w:r w:rsidRPr="00DB1563">
        <w:rPr>
          <w:rFonts w:ascii="Open Sans" w:eastAsia="Times New Roman" w:hAnsi="Open Sans" w:cs="Open Sans"/>
          <w:color w:val="212722"/>
          <w:sz w:val="21"/>
          <w:szCs w:val="21"/>
        </w:rPr>
        <w:br/>
        <w:t>Norethandrolone</w:t>
      </w:r>
      <w:r w:rsidRPr="00DB1563">
        <w:rPr>
          <w:rFonts w:ascii="Open Sans" w:eastAsia="Times New Roman" w:hAnsi="Open Sans" w:cs="Open Sans"/>
          <w:color w:val="212722"/>
          <w:sz w:val="21"/>
          <w:szCs w:val="21"/>
        </w:rPr>
        <w:br/>
      </w:r>
      <w:proofErr w:type="spellStart"/>
      <w:r w:rsidRPr="00DB1563">
        <w:rPr>
          <w:rFonts w:ascii="Open Sans" w:eastAsia="Times New Roman" w:hAnsi="Open Sans" w:cs="Open Sans"/>
          <w:color w:val="212722"/>
          <w:sz w:val="21"/>
          <w:szCs w:val="21"/>
        </w:rPr>
        <w:t>Oxabolone</w:t>
      </w:r>
      <w:proofErr w:type="spellEnd"/>
      <w:r w:rsidRPr="00DB1563">
        <w:rPr>
          <w:rFonts w:ascii="Open Sans" w:eastAsia="Times New Roman" w:hAnsi="Open Sans" w:cs="Open Sans"/>
          <w:color w:val="212722"/>
          <w:sz w:val="21"/>
          <w:szCs w:val="21"/>
        </w:rPr>
        <w:br/>
        <w:t>Oxandrolone (</w:t>
      </w:r>
      <w:proofErr w:type="spellStart"/>
      <w:r w:rsidRPr="00DB1563">
        <w:rPr>
          <w:rFonts w:ascii="Open Sans" w:eastAsia="Times New Roman" w:hAnsi="Open Sans" w:cs="Open Sans"/>
          <w:color w:val="212722"/>
          <w:sz w:val="21"/>
          <w:szCs w:val="21"/>
        </w:rPr>
        <w:t>Anavar</w:t>
      </w:r>
      <w:proofErr w:type="spellEnd"/>
      <w:r w:rsidRPr="00DB1563">
        <w:rPr>
          <w:rFonts w:ascii="Open Sans" w:eastAsia="Times New Roman" w:hAnsi="Open Sans" w:cs="Open Sans"/>
          <w:color w:val="212722"/>
          <w:sz w:val="21"/>
          <w:szCs w:val="21"/>
        </w:rPr>
        <w:t>)</w:t>
      </w:r>
      <w:r w:rsidRPr="00DB1563">
        <w:rPr>
          <w:rFonts w:ascii="Open Sans" w:eastAsia="Times New Roman" w:hAnsi="Open Sans" w:cs="Open Sans"/>
          <w:color w:val="212722"/>
          <w:sz w:val="21"/>
          <w:szCs w:val="21"/>
        </w:rPr>
        <w:br/>
      </w:r>
      <w:proofErr w:type="spellStart"/>
      <w:r w:rsidRPr="00DB1563">
        <w:rPr>
          <w:rFonts w:ascii="Open Sans" w:eastAsia="Times New Roman" w:hAnsi="Open Sans" w:cs="Open Sans"/>
          <w:color w:val="212722"/>
          <w:sz w:val="21"/>
          <w:szCs w:val="21"/>
        </w:rPr>
        <w:t>Oxymesterone</w:t>
      </w:r>
      <w:proofErr w:type="spellEnd"/>
      <w:r w:rsidRPr="00DB1563">
        <w:rPr>
          <w:rFonts w:ascii="Open Sans" w:eastAsia="Times New Roman" w:hAnsi="Open Sans" w:cs="Open Sans"/>
          <w:color w:val="212722"/>
          <w:sz w:val="21"/>
          <w:szCs w:val="21"/>
        </w:rPr>
        <w:br/>
        <w:t>Oxymetholone (</w:t>
      </w:r>
      <w:proofErr w:type="spellStart"/>
      <w:r w:rsidRPr="00DB1563">
        <w:rPr>
          <w:rFonts w:ascii="Open Sans" w:eastAsia="Times New Roman" w:hAnsi="Open Sans" w:cs="Open Sans"/>
          <w:color w:val="212722"/>
          <w:sz w:val="21"/>
          <w:szCs w:val="21"/>
        </w:rPr>
        <w:t>Anadrol</w:t>
      </w:r>
      <w:proofErr w:type="spellEnd"/>
      <w:r w:rsidRPr="00DB1563">
        <w:rPr>
          <w:rFonts w:ascii="Open Sans" w:eastAsia="Times New Roman" w:hAnsi="Open Sans" w:cs="Open Sans"/>
          <w:color w:val="212722"/>
          <w:sz w:val="21"/>
          <w:szCs w:val="21"/>
        </w:rPr>
        <w:t>)</w:t>
      </w:r>
      <w:r w:rsidRPr="00DB1563">
        <w:rPr>
          <w:rFonts w:ascii="Open Sans" w:eastAsia="Times New Roman" w:hAnsi="Open Sans" w:cs="Open Sans"/>
          <w:color w:val="212722"/>
          <w:sz w:val="21"/>
          <w:szCs w:val="21"/>
        </w:rPr>
        <w:br/>
      </w:r>
      <w:proofErr w:type="spellStart"/>
      <w:r w:rsidRPr="00DB1563">
        <w:rPr>
          <w:rFonts w:ascii="Open Sans" w:eastAsia="Times New Roman" w:hAnsi="Open Sans" w:cs="Open Sans"/>
          <w:color w:val="212722"/>
          <w:sz w:val="21"/>
          <w:szCs w:val="21"/>
        </w:rPr>
        <w:t>Prostanozol</w:t>
      </w:r>
      <w:proofErr w:type="spellEnd"/>
      <w:r w:rsidRPr="00DB1563">
        <w:rPr>
          <w:rFonts w:ascii="Open Sans" w:eastAsia="Times New Roman" w:hAnsi="Open Sans" w:cs="Open Sans"/>
          <w:color w:val="212722"/>
          <w:sz w:val="21"/>
          <w:szCs w:val="21"/>
        </w:rPr>
        <w:br/>
        <w:t>Stanozolol</w:t>
      </w:r>
      <w:r w:rsidRPr="00DB1563">
        <w:rPr>
          <w:rFonts w:ascii="Open Sans" w:eastAsia="Times New Roman" w:hAnsi="Open Sans" w:cs="Open Sans"/>
          <w:color w:val="212722"/>
          <w:sz w:val="21"/>
          <w:szCs w:val="21"/>
        </w:rPr>
        <w:br/>
      </w:r>
      <w:proofErr w:type="spellStart"/>
      <w:r w:rsidRPr="00DB1563">
        <w:rPr>
          <w:rFonts w:ascii="Open Sans" w:eastAsia="Times New Roman" w:hAnsi="Open Sans" w:cs="Open Sans"/>
          <w:color w:val="212722"/>
          <w:sz w:val="21"/>
          <w:szCs w:val="21"/>
        </w:rPr>
        <w:t>Stenbolone</w:t>
      </w:r>
      <w:proofErr w:type="spellEnd"/>
      <w:r w:rsidRPr="00DB1563">
        <w:rPr>
          <w:rFonts w:ascii="Open Sans" w:eastAsia="Times New Roman" w:hAnsi="Open Sans" w:cs="Open Sans"/>
          <w:color w:val="212722"/>
          <w:sz w:val="21"/>
          <w:szCs w:val="21"/>
        </w:rPr>
        <w:t xml:space="preserve"> (</w:t>
      </w:r>
      <w:proofErr w:type="spellStart"/>
      <w:r w:rsidRPr="00DB1563">
        <w:rPr>
          <w:rFonts w:ascii="Open Sans" w:eastAsia="Times New Roman" w:hAnsi="Open Sans" w:cs="Open Sans"/>
          <w:color w:val="212722"/>
          <w:sz w:val="21"/>
          <w:szCs w:val="21"/>
        </w:rPr>
        <w:t>Winstrol</w:t>
      </w:r>
      <w:proofErr w:type="spellEnd"/>
      <w:r w:rsidRPr="00DB1563">
        <w:rPr>
          <w:rFonts w:ascii="Open Sans" w:eastAsia="Times New Roman" w:hAnsi="Open Sans" w:cs="Open Sans"/>
          <w:color w:val="212722"/>
          <w:sz w:val="21"/>
          <w:szCs w:val="21"/>
        </w:rPr>
        <w:t>)</w:t>
      </w:r>
      <w:r w:rsidRPr="00DB1563">
        <w:rPr>
          <w:rFonts w:ascii="Open Sans" w:eastAsia="Times New Roman" w:hAnsi="Open Sans" w:cs="Open Sans"/>
          <w:color w:val="212722"/>
          <w:sz w:val="21"/>
          <w:szCs w:val="21"/>
        </w:rPr>
        <w:br/>
        <w:t>Testosterone</w:t>
      </w:r>
      <w:r w:rsidRPr="00DB1563">
        <w:rPr>
          <w:rFonts w:ascii="Open Sans" w:eastAsia="Times New Roman" w:hAnsi="Open Sans" w:cs="Open Sans"/>
          <w:color w:val="212722"/>
          <w:sz w:val="21"/>
          <w:szCs w:val="21"/>
        </w:rPr>
        <w:br/>
        <w:t>Trenbolone</w:t>
      </w:r>
    </w:p>
    <w:p w14:paraId="366C4D7A" w14:textId="73E50B92" w:rsidR="00DB1563" w:rsidRDefault="00DB1563" w:rsidP="00DB1563">
      <w:pPr>
        <w:rPr>
          <w:rFonts w:ascii="Open Sans" w:eastAsia="Times New Roman" w:hAnsi="Open Sans" w:cs="Open Sans"/>
          <w:color w:val="212722"/>
          <w:sz w:val="21"/>
          <w:szCs w:val="21"/>
        </w:rPr>
      </w:pPr>
    </w:p>
    <w:p w14:paraId="17DCF374" w14:textId="77777777" w:rsidR="00DB1563" w:rsidRPr="00DB1563" w:rsidRDefault="00DB1563" w:rsidP="00DB1563">
      <w:pPr>
        <w:spacing w:after="225" w:line="420" w:lineRule="atLeast"/>
        <w:textAlignment w:val="top"/>
        <w:outlineLvl w:val="2"/>
        <w:rPr>
          <w:rFonts w:ascii="Open Sans" w:eastAsia="Times New Roman" w:hAnsi="Open Sans" w:cs="Open Sans"/>
          <w:b/>
          <w:bCs/>
          <w:caps/>
          <w:color w:val="E3530D"/>
          <w:sz w:val="24"/>
          <w:szCs w:val="24"/>
        </w:rPr>
      </w:pPr>
      <w:r w:rsidRPr="00DB1563">
        <w:rPr>
          <w:rFonts w:ascii="Open Sans" w:eastAsia="Times New Roman" w:hAnsi="Open Sans" w:cs="Open Sans"/>
          <w:b/>
          <w:bCs/>
          <w:caps/>
          <w:color w:val="E3530D"/>
          <w:sz w:val="24"/>
          <w:szCs w:val="24"/>
        </w:rPr>
        <w:t>PRESCRIPTION-GRADE STIMULANTS AND WEIGHT-LOSS SUBSTANCES – BANNED 6 MONTHS</w:t>
      </w:r>
    </w:p>
    <w:p w14:paraId="12746AC8" w14:textId="77777777" w:rsidR="00DB1563" w:rsidRPr="00DB1563" w:rsidRDefault="00DB1563" w:rsidP="00DB1563">
      <w:pPr>
        <w:spacing w:after="0" w:line="240" w:lineRule="auto"/>
        <w:rPr>
          <w:rFonts w:ascii="Times New Roman" w:eastAsia="Times New Roman" w:hAnsi="Times New Roman" w:cs="Times New Roman"/>
          <w:sz w:val="24"/>
          <w:szCs w:val="24"/>
        </w:rPr>
      </w:pPr>
      <w:r w:rsidRPr="00DB1563">
        <w:rPr>
          <w:rFonts w:ascii="Open Sans" w:eastAsia="Times New Roman" w:hAnsi="Open Sans" w:cs="Open Sans"/>
          <w:color w:val="212722"/>
          <w:sz w:val="21"/>
          <w:szCs w:val="21"/>
          <w:u w:val="single"/>
          <w:bdr w:val="none" w:sz="0" w:space="0" w:color="auto" w:frame="1"/>
        </w:rPr>
        <w:t>Including, but not limited to</w:t>
      </w:r>
      <w:r w:rsidRPr="00DB1563">
        <w:rPr>
          <w:rFonts w:ascii="Open Sans" w:eastAsia="Times New Roman" w:hAnsi="Open Sans" w:cs="Open Sans"/>
          <w:color w:val="212722"/>
          <w:sz w:val="21"/>
          <w:szCs w:val="21"/>
        </w:rPr>
        <w:t>:</w:t>
      </w:r>
      <w:r w:rsidRPr="00DB1563">
        <w:rPr>
          <w:rFonts w:ascii="Open Sans" w:eastAsia="Times New Roman" w:hAnsi="Open Sans" w:cs="Open Sans"/>
          <w:color w:val="212722"/>
          <w:sz w:val="21"/>
          <w:szCs w:val="21"/>
        </w:rPr>
        <w:br/>
        <w:t>Amphetamines</w:t>
      </w:r>
      <w:r w:rsidRPr="00DB1563">
        <w:rPr>
          <w:rFonts w:ascii="Open Sans" w:eastAsia="Times New Roman" w:hAnsi="Open Sans" w:cs="Open Sans"/>
          <w:color w:val="212722"/>
          <w:sz w:val="21"/>
          <w:szCs w:val="21"/>
        </w:rPr>
        <w:br/>
        <w:t>Cocaine</w:t>
      </w:r>
      <w:r w:rsidRPr="00DB1563">
        <w:rPr>
          <w:rFonts w:ascii="Open Sans" w:eastAsia="Times New Roman" w:hAnsi="Open Sans" w:cs="Open Sans"/>
          <w:color w:val="212722"/>
          <w:sz w:val="21"/>
          <w:szCs w:val="21"/>
        </w:rPr>
        <w:br/>
        <w:t>Methamphetamine</w:t>
      </w:r>
      <w:r w:rsidRPr="00DB1563">
        <w:rPr>
          <w:rFonts w:ascii="Open Sans" w:eastAsia="Times New Roman" w:hAnsi="Open Sans" w:cs="Open Sans"/>
          <w:color w:val="212722"/>
          <w:sz w:val="21"/>
          <w:szCs w:val="21"/>
        </w:rPr>
        <w:br/>
      </w:r>
      <w:r w:rsidRPr="00DB1563">
        <w:rPr>
          <w:rFonts w:ascii="Open Sans" w:eastAsia="Times New Roman" w:hAnsi="Open Sans" w:cs="Open Sans"/>
          <w:color w:val="212722"/>
          <w:sz w:val="21"/>
          <w:szCs w:val="21"/>
        </w:rPr>
        <w:lastRenderedPageBreak/>
        <w:t>Methylphenidate</w:t>
      </w:r>
      <w:r w:rsidRPr="00DB1563">
        <w:rPr>
          <w:rFonts w:ascii="Open Sans" w:eastAsia="Times New Roman" w:hAnsi="Open Sans" w:cs="Open Sans"/>
          <w:color w:val="212722"/>
          <w:sz w:val="21"/>
          <w:szCs w:val="21"/>
        </w:rPr>
        <w:br/>
        <w:t>Modafinil</w:t>
      </w:r>
      <w:r w:rsidRPr="00DB1563">
        <w:rPr>
          <w:rFonts w:ascii="Open Sans" w:eastAsia="Times New Roman" w:hAnsi="Open Sans" w:cs="Open Sans"/>
          <w:color w:val="212722"/>
          <w:sz w:val="21"/>
          <w:szCs w:val="21"/>
        </w:rPr>
        <w:br/>
        <w:t>Phentermine</w:t>
      </w:r>
      <w:r w:rsidRPr="00DB1563">
        <w:rPr>
          <w:rFonts w:ascii="Open Sans" w:eastAsia="Times New Roman" w:hAnsi="Open Sans" w:cs="Open Sans"/>
          <w:color w:val="212722"/>
          <w:sz w:val="21"/>
          <w:szCs w:val="21"/>
        </w:rPr>
        <w:br/>
      </w:r>
      <w:r w:rsidRPr="00DB1563">
        <w:rPr>
          <w:rFonts w:ascii="Open Sans" w:eastAsia="Times New Roman" w:hAnsi="Open Sans" w:cs="Open Sans"/>
          <w:color w:val="212722"/>
          <w:sz w:val="21"/>
          <w:szCs w:val="21"/>
        </w:rPr>
        <w:br/>
      </w:r>
    </w:p>
    <w:p w14:paraId="173132A1" w14:textId="77777777" w:rsidR="00DB1563" w:rsidRPr="00DB1563" w:rsidRDefault="00DB1563" w:rsidP="00DB1563">
      <w:pPr>
        <w:spacing w:after="225" w:line="420" w:lineRule="atLeast"/>
        <w:textAlignment w:val="top"/>
        <w:outlineLvl w:val="2"/>
        <w:rPr>
          <w:rFonts w:ascii="Open Sans" w:eastAsia="Times New Roman" w:hAnsi="Open Sans" w:cs="Open Sans"/>
          <w:b/>
          <w:bCs/>
          <w:caps/>
          <w:color w:val="E3530D"/>
          <w:sz w:val="24"/>
          <w:szCs w:val="24"/>
        </w:rPr>
      </w:pPr>
      <w:r w:rsidRPr="00DB1563">
        <w:rPr>
          <w:rFonts w:ascii="Open Sans" w:eastAsia="Times New Roman" w:hAnsi="Open Sans" w:cs="Open Sans"/>
          <w:b/>
          <w:bCs/>
          <w:caps/>
          <w:color w:val="E3530D"/>
          <w:sz w:val="24"/>
          <w:szCs w:val="24"/>
        </w:rPr>
        <w:t>PRESCRIPTION-GRADE DIURETICS &amp; MASKING AGENTS USED FOR COMPETITION PURPOSES – BANNED 1 WEEK</w:t>
      </w:r>
    </w:p>
    <w:p w14:paraId="34F9E078" w14:textId="55701843" w:rsidR="00DB1563" w:rsidRDefault="00DB1563" w:rsidP="00DB1563">
      <w:r w:rsidRPr="00DB1563">
        <w:rPr>
          <w:rFonts w:ascii="Open Sans" w:eastAsia="Times New Roman" w:hAnsi="Open Sans" w:cs="Open Sans"/>
          <w:color w:val="212722"/>
          <w:sz w:val="21"/>
          <w:szCs w:val="21"/>
          <w:u w:val="single"/>
          <w:bdr w:val="none" w:sz="0" w:space="0" w:color="auto" w:frame="1"/>
        </w:rPr>
        <w:t>Including, but not limited to</w:t>
      </w:r>
      <w:r w:rsidRPr="00DB1563">
        <w:rPr>
          <w:rFonts w:ascii="Open Sans" w:eastAsia="Times New Roman" w:hAnsi="Open Sans" w:cs="Open Sans"/>
          <w:color w:val="212722"/>
          <w:sz w:val="21"/>
          <w:szCs w:val="21"/>
        </w:rPr>
        <w:t>:</w:t>
      </w:r>
      <w:r w:rsidRPr="00DB1563">
        <w:rPr>
          <w:rFonts w:ascii="Open Sans" w:eastAsia="Times New Roman" w:hAnsi="Open Sans" w:cs="Open Sans"/>
          <w:color w:val="212722"/>
          <w:sz w:val="21"/>
          <w:szCs w:val="21"/>
        </w:rPr>
        <w:br/>
        <w:t>Acetazolamide</w:t>
      </w:r>
      <w:r w:rsidRPr="00DB1563">
        <w:rPr>
          <w:rFonts w:ascii="Open Sans" w:eastAsia="Times New Roman" w:hAnsi="Open Sans" w:cs="Open Sans"/>
          <w:color w:val="212722"/>
          <w:sz w:val="21"/>
          <w:szCs w:val="21"/>
        </w:rPr>
        <w:br/>
        <w:t>Amiloride</w:t>
      </w:r>
      <w:r w:rsidRPr="00DB1563">
        <w:rPr>
          <w:rFonts w:ascii="Open Sans" w:eastAsia="Times New Roman" w:hAnsi="Open Sans" w:cs="Open Sans"/>
          <w:color w:val="212722"/>
          <w:sz w:val="21"/>
          <w:szCs w:val="21"/>
        </w:rPr>
        <w:br/>
        <w:t>Bendroflumethiazide</w:t>
      </w:r>
      <w:r w:rsidRPr="00DB1563">
        <w:rPr>
          <w:rFonts w:ascii="Open Sans" w:eastAsia="Times New Roman" w:hAnsi="Open Sans" w:cs="Open Sans"/>
          <w:color w:val="212722"/>
          <w:sz w:val="21"/>
          <w:szCs w:val="21"/>
        </w:rPr>
        <w:br/>
        <w:t>Bumetanide</w:t>
      </w:r>
      <w:r w:rsidRPr="00DB1563">
        <w:rPr>
          <w:rFonts w:ascii="Open Sans" w:eastAsia="Times New Roman" w:hAnsi="Open Sans" w:cs="Open Sans"/>
          <w:color w:val="212722"/>
          <w:sz w:val="21"/>
          <w:szCs w:val="21"/>
        </w:rPr>
        <w:br/>
      </w:r>
      <w:proofErr w:type="spellStart"/>
      <w:r w:rsidRPr="00DB1563">
        <w:rPr>
          <w:rFonts w:ascii="Open Sans" w:eastAsia="Times New Roman" w:hAnsi="Open Sans" w:cs="Open Sans"/>
          <w:color w:val="212722"/>
          <w:sz w:val="21"/>
          <w:szCs w:val="21"/>
        </w:rPr>
        <w:t>Canrenone</w:t>
      </w:r>
      <w:proofErr w:type="spellEnd"/>
      <w:r w:rsidRPr="00DB1563">
        <w:rPr>
          <w:rFonts w:ascii="Open Sans" w:eastAsia="Times New Roman" w:hAnsi="Open Sans" w:cs="Open Sans"/>
          <w:color w:val="212722"/>
          <w:sz w:val="21"/>
          <w:szCs w:val="21"/>
        </w:rPr>
        <w:br/>
        <w:t>Chlorothiazide</w:t>
      </w:r>
      <w:r w:rsidRPr="00DB1563">
        <w:rPr>
          <w:rFonts w:ascii="Open Sans" w:eastAsia="Times New Roman" w:hAnsi="Open Sans" w:cs="Open Sans"/>
          <w:color w:val="212722"/>
          <w:sz w:val="21"/>
          <w:szCs w:val="21"/>
        </w:rPr>
        <w:br/>
        <w:t>Chlorthalidone</w:t>
      </w:r>
      <w:r w:rsidRPr="00DB1563">
        <w:rPr>
          <w:rFonts w:ascii="Open Sans" w:eastAsia="Times New Roman" w:hAnsi="Open Sans" w:cs="Open Sans"/>
          <w:color w:val="212722"/>
          <w:sz w:val="21"/>
          <w:szCs w:val="21"/>
        </w:rPr>
        <w:br/>
      </w:r>
      <w:proofErr w:type="spellStart"/>
      <w:r w:rsidRPr="00DB1563">
        <w:rPr>
          <w:rFonts w:ascii="Open Sans" w:eastAsia="Times New Roman" w:hAnsi="Open Sans" w:cs="Open Sans"/>
          <w:color w:val="212722"/>
          <w:sz w:val="21"/>
          <w:szCs w:val="21"/>
        </w:rPr>
        <w:t>Clopamide</w:t>
      </w:r>
      <w:proofErr w:type="spellEnd"/>
      <w:r w:rsidRPr="00DB1563">
        <w:rPr>
          <w:rFonts w:ascii="Open Sans" w:eastAsia="Times New Roman" w:hAnsi="Open Sans" w:cs="Open Sans"/>
          <w:color w:val="212722"/>
          <w:sz w:val="21"/>
          <w:szCs w:val="21"/>
        </w:rPr>
        <w:br/>
      </w:r>
      <w:proofErr w:type="spellStart"/>
      <w:r w:rsidRPr="00DB1563">
        <w:rPr>
          <w:rFonts w:ascii="Open Sans" w:eastAsia="Times New Roman" w:hAnsi="Open Sans" w:cs="Open Sans"/>
          <w:color w:val="212722"/>
          <w:sz w:val="21"/>
          <w:szCs w:val="21"/>
        </w:rPr>
        <w:t>Cyclothiazide</w:t>
      </w:r>
      <w:proofErr w:type="spellEnd"/>
      <w:r w:rsidRPr="00DB1563">
        <w:rPr>
          <w:rFonts w:ascii="Open Sans" w:eastAsia="Times New Roman" w:hAnsi="Open Sans" w:cs="Open Sans"/>
          <w:color w:val="212722"/>
          <w:sz w:val="21"/>
          <w:szCs w:val="21"/>
        </w:rPr>
        <w:br/>
        <w:t>Dichlorphenamide</w:t>
      </w:r>
      <w:r w:rsidRPr="00DB1563">
        <w:rPr>
          <w:rFonts w:ascii="Open Sans" w:eastAsia="Times New Roman" w:hAnsi="Open Sans" w:cs="Open Sans"/>
          <w:color w:val="212722"/>
          <w:sz w:val="21"/>
          <w:szCs w:val="21"/>
        </w:rPr>
        <w:br/>
        <w:t>Ethacrynic acid</w:t>
      </w:r>
      <w:r w:rsidRPr="00DB1563">
        <w:rPr>
          <w:rFonts w:ascii="Open Sans" w:eastAsia="Times New Roman" w:hAnsi="Open Sans" w:cs="Open Sans"/>
          <w:color w:val="212722"/>
          <w:sz w:val="21"/>
          <w:szCs w:val="21"/>
        </w:rPr>
        <w:br/>
        <w:t>Furosemide (Lasix)</w:t>
      </w:r>
      <w:r w:rsidRPr="00DB1563">
        <w:rPr>
          <w:rFonts w:ascii="Open Sans" w:eastAsia="Times New Roman" w:hAnsi="Open Sans" w:cs="Open Sans"/>
          <w:color w:val="212722"/>
          <w:sz w:val="21"/>
          <w:szCs w:val="21"/>
        </w:rPr>
        <w:br/>
        <w:t>Hydrochlorothiazide (aka HCT or HCTZ)</w:t>
      </w:r>
      <w:r w:rsidRPr="00DB1563">
        <w:rPr>
          <w:rFonts w:ascii="Open Sans" w:eastAsia="Times New Roman" w:hAnsi="Open Sans" w:cs="Open Sans"/>
          <w:color w:val="212722"/>
          <w:sz w:val="21"/>
          <w:szCs w:val="21"/>
        </w:rPr>
        <w:br/>
      </w:r>
      <w:proofErr w:type="spellStart"/>
      <w:r w:rsidRPr="00DB1563">
        <w:rPr>
          <w:rFonts w:ascii="Open Sans" w:eastAsia="Times New Roman" w:hAnsi="Open Sans" w:cs="Open Sans"/>
          <w:color w:val="212722"/>
          <w:sz w:val="21"/>
          <w:szCs w:val="21"/>
        </w:rPr>
        <w:t>Hydroflumethiazide</w:t>
      </w:r>
      <w:proofErr w:type="spellEnd"/>
      <w:r w:rsidRPr="00DB1563">
        <w:rPr>
          <w:rFonts w:ascii="Open Sans" w:eastAsia="Times New Roman" w:hAnsi="Open Sans" w:cs="Open Sans"/>
          <w:color w:val="212722"/>
          <w:sz w:val="21"/>
          <w:szCs w:val="21"/>
        </w:rPr>
        <w:br/>
        <w:t>Spironolactone</w:t>
      </w:r>
      <w:r w:rsidRPr="00DB1563">
        <w:rPr>
          <w:rFonts w:ascii="Open Sans" w:eastAsia="Times New Roman" w:hAnsi="Open Sans" w:cs="Open Sans"/>
          <w:color w:val="212722"/>
          <w:sz w:val="21"/>
          <w:szCs w:val="21"/>
        </w:rPr>
        <w:br/>
      </w:r>
      <w:proofErr w:type="gramStart"/>
      <w:r w:rsidRPr="00DB1563">
        <w:rPr>
          <w:rFonts w:ascii="Open Sans" w:eastAsia="Times New Roman" w:hAnsi="Open Sans" w:cs="Open Sans"/>
          <w:color w:val="212722"/>
          <w:sz w:val="21"/>
          <w:szCs w:val="21"/>
        </w:rPr>
        <w:t>Triamterene</w:t>
      </w:r>
      <w:proofErr w:type="gramEnd"/>
    </w:p>
    <w:sectPr w:rsidR="00DB156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BDC25" w14:textId="77777777" w:rsidR="001B4029" w:rsidRDefault="001B4029" w:rsidP="00DB1563">
      <w:pPr>
        <w:spacing w:after="0" w:line="240" w:lineRule="auto"/>
      </w:pPr>
      <w:r>
        <w:separator/>
      </w:r>
    </w:p>
  </w:endnote>
  <w:endnote w:type="continuationSeparator" w:id="0">
    <w:p w14:paraId="7EA2C3A2" w14:textId="77777777" w:rsidR="001B4029" w:rsidRDefault="001B4029" w:rsidP="00DB1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5413A" w14:textId="77777777" w:rsidR="001B4029" w:rsidRDefault="001B4029" w:rsidP="00DB1563">
      <w:pPr>
        <w:spacing w:after="0" w:line="240" w:lineRule="auto"/>
      </w:pPr>
      <w:r>
        <w:separator/>
      </w:r>
    </w:p>
  </w:footnote>
  <w:footnote w:type="continuationSeparator" w:id="0">
    <w:p w14:paraId="0CF730E4" w14:textId="77777777" w:rsidR="001B4029" w:rsidRDefault="001B4029" w:rsidP="00DB1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4FE9" w14:textId="49FB1B63" w:rsidR="00DB1563" w:rsidRDefault="00DB1563">
    <w:pPr>
      <w:pStyle w:val="Header"/>
    </w:pPr>
    <w:r>
      <w:t>OCB DRUG TESTING GUIDELINES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563"/>
    <w:rsid w:val="001B4029"/>
    <w:rsid w:val="00DB1563"/>
    <w:rsid w:val="00F93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A2A3B"/>
  <w15:chartTrackingRefBased/>
  <w15:docId w15:val="{028B1F77-DEAD-4B7E-AF51-0AECE21D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B15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1563"/>
    <w:rPr>
      <w:color w:val="0000FF"/>
      <w:u w:val="single"/>
    </w:rPr>
  </w:style>
  <w:style w:type="character" w:customStyle="1" w:styleId="Heading3Char">
    <w:name w:val="Heading 3 Char"/>
    <w:basedOn w:val="DefaultParagraphFont"/>
    <w:link w:val="Heading3"/>
    <w:uiPriority w:val="9"/>
    <w:rsid w:val="00DB1563"/>
    <w:rPr>
      <w:rFonts w:ascii="Times New Roman" w:eastAsia="Times New Roman" w:hAnsi="Times New Roman" w:cs="Times New Roman"/>
      <w:b/>
      <w:bCs/>
      <w:sz w:val="27"/>
      <w:szCs w:val="27"/>
    </w:rPr>
  </w:style>
  <w:style w:type="character" w:customStyle="1" w:styleId="auto-style1">
    <w:name w:val="auto-style1"/>
    <w:basedOn w:val="DefaultParagraphFont"/>
    <w:rsid w:val="00DB1563"/>
  </w:style>
  <w:style w:type="paragraph" w:styleId="Header">
    <w:name w:val="header"/>
    <w:basedOn w:val="Normal"/>
    <w:link w:val="HeaderChar"/>
    <w:uiPriority w:val="99"/>
    <w:unhideWhenUsed/>
    <w:rsid w:val="00DB1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563"/>
  </w:style>
  <w:style w:type="paragraph" w:styleId="Footer">
    <w:name w:val="footer"/>
    <w:basedOn w:val="Normal"/>
    <w:link w:val="FooterChar"/>
    <w:uiPriority w:val="99"/>
    <w:unhideWhenUsed/>
    <w:rsid w:val="00DB1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016590">
      <w:bodyDiv w:val="1"/>
      <w:marLeft w:val="0"/>
      <w:marRight w:val="0"/>
      <w:marTop w:val="0"/>
      <w:marBottom w:val="0"/>
      <w:divBdr>
        <w:top w:val="none" w:sz="0" w:space="0" w:color="auto"/>
        <w:left w:val="none" w:sz="0" w:space="0" w:color="auto"/>
        <w:bottom w:val="none" w:sz="0" w:space="0" w:color="auto"/>
        <w:right w:val="none" w:sz="0" w:space="0" w:color="auto"/>
      </w:divBdr>
    </w:div>
    <w:div w:id="100914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485</Words>
  <Characters>2769</Characters>
  <Application>Microsoft Office Word</Application>
  <DocSecurity>0</DocSecurity>
  <Lines>23</Lines>
  <Paragraphs>6</Paragraphs>
  <ScaleCrop>false</ScaleCrop>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MCEC Wilson</dc:creator>
  <cp:keywords/>
  <dc:description/>
  <cp:lastModifiedBy>MCEC Wilson</cp:lastModifiedBy>
  <cp:revision>1</cp:revision>
  <dcterms:created xsi:type="dcterms:W3CDTF">2021-05-18T03:44:00Z</dcterms:created>
  <dcterms:modified xsi:type="dcterms:W3CDTF">2021-05-18T03:48:00Z</dcterms:modified>
</cp:coreProperties>
</file>