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A25D" w14:textId="77777777" w:rsidR="009F57D8" w:rsidRPr="00E77834" w:rsidRDefault="00965BE5" w:rsidP="00CB3D14">
      <w:pPr>
        <w:pStyle w:val="Heading1"/>
        <w:spacing w:before="0" w:line="240" w:lineRule="auto"/>
        <w:rPr>
          <w:rFonts w:ascii="Arial" w:hAnsi="Arial" w:cs="Arial"/>
          <w:b w:val="0"/>
          <w:bCs w:val="0"/>
          <w:color w:val="auto"/>
        </w:rPr>
      </w:pPr>
      <w:r w:rsidRPr="00E77834">
        <w:rPr>
          <w:rFonts w:ascii="Arial" w:hAnsi="Arial" w:cs="Arial"/>
          <w:b w:val="0"/>
          <w:bCs w:val="0"/>
          <w:color w:val="auto"/>
          <w:highlight w:val="lightGray"/>
        </w:rPr>
        <w:t xml:space="preserve">Say </w:t>
      </w:r>
      <w:r w:rsidR="009F57D8" w:rsidRPr="00E77834">
        <w:rPr>
          <w:rFonts w:ascii="Arial" w:hAnsi="Arial" w:cs="Arial"/>
          <w:b w:val="0"/>
          <w:bCs w:val="0"/>
          <w:color w:val="auto"/>
          <w:highlight w:val="lightGray"/>
        </w:rPr>
        <w:t>G</w:t>
      </w:r>
      <w:r w:rsidRPr="00E77834">
        <w:rPr>
          <w:rFonts w:ascii="Arial" w:hAnsi="Arial" w:cs="Arial"/>
          <w:b w:val="0"/>
          <w:bCs w:val="0"/>
          <w:color w:val="auto"/>
          <w:highlight w:val="lightGray"/>
        </w:rPr>
        <w:t xml:space="preserve">oodbye to </w:t>
      </w:r>
      <w:r w:rsidR="009F57D8" w:rsidRPr="00E77834">
        <w:rPr>
          <w:rFonts w:ascii="Arial" w:hAnsi="Arial" w:cs="Arial"/>
          <w:b w:val="0"/>
          <w:bCs w:val="0"/>
          <w:color w:val="auto"/>
          <w:highlight w:val="lightGray"/>
        </w:rPr>
        <w:t>A</w:t>
      </w:r>
      <w:r w:rsidRPr="00E77834">
        <w:rPr>
          <w:rFonts w:ascii="Arial" w:hAnsi="Arial" w:cs="Arial"/>
          <w:b w:val="0"/>
          <w:bCs w:val="0"/>
          <w:color w:val="auto"/>
          <w:highlight w:val="lightGray"/>
        </w:rPr>
        <w:t>ttention</w:t>
      </w:r>
      <w:r w:rsidR="009F57D8" w:rsidRPr="00E77834">
        <w:rPr>
          <w:rFonts w:ascii="Arial" w:hAnsi="Arial" w:cs="Arial"/>
          <w:b w:val="0"/>
          <w:bCs w:val="0"/>
          <w:color w:val="auto"/>
          <w:highlight w:val="lightGray"/>
        </w:rPr>
        <w:t xml:space="preserve"> L</w:t>
      </w:r>
      <w:r w:rsidRPr="00E77834">
        <w:rPr>
          <w:rFonts w:ascii="Arial" w:hAnsi="Arial" w:cs="Arial"/>
          <w:b w:val="0"/>
          <w:bCs w:val="0"/>
          <w:color w:val="auto"/>
          <w:highlight w:val="lightGray"/>
        </w:rPr>
        <w:t>eaks</w:t>
      </w:r>
    </w:p>
    <w:p w14:paraId="44653BB3" w14:textId="40B1F3C5" w:rsidR="00965BE5" w:rsidRDefault="00965BE5" w:rsidP="00CB3D14">
      <w:pPr>
        <w:pStyle w:val="Heading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6DD3331" w14:textId="33A11222" w:rsidR="00965BE5" w:rsidRPr="00965BE5" w:rsidRDefault="009F57D8" w:rsidP="00CB3D14">
      <w:pPr>
        <w:pStyle w:val="Heading1"/>
        <w:spacing w:before="0" w:line="240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And take back control of your growth and direction. Ready? </w:t>
      </w:r>
      <w:r w:rsidR="00965BE5" w:rsidRPr="00965BE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 </w:t>
      </w:r>
    </w:p>
    <w:p w14:paraId="11A1EB68" w14:textId="77777777" w:rsidR="00965BE5" w:rsidRDefault="00965BE5" w:rsidP="00CB3D14">
      <w:pPr>
        <w:pStyle w:val="Heading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5A0F5AE2" w14:textId="4F01C2FB" w:rsidR="00261D9F" w:rsidRPr="00BB3034" w:rsidRDefault="00000000" w:rsidP="00CB3D14">
      <w:pPr>
        <w:pStyle w:val="Heading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BB3034">
        <w:rPr>
          <w:rFonts w:ascii="Arial" w:hAnsi="Arial" w:cs="Arial"/>
          <w:color w:val="auto"/>
          <w:sz w:val="22"/>
          <w:szCs w:val="22"/>
        </w:rPr>
        <w:t>Time &amp; Attention Inventory – Self-Assessment Template</w:t>
      </w:r>
    </w:p>
    <w:p w14:paraId="03FD8DD2" w14:textId="4AD25559" w:rsidR="00CB3D14" w:rsidRDefault="00000000" w:rsidP="00CB3D14">
      <w:pPr>
        <w:spacing w:after="0" w:line="240" w:lineRule="auto"/>
        <w:rPr>
          <w:rFonts w:ascii="Arial" w:hAnsi="Arial" w:cs="Arial"/>
        </w:rPr>
      </w:pPr>
      <w:r w:rsidRPr="00BB3034">
        <w:rPr>
          <w:rFonts w:ascii="Arial" w:hAnsi="Arial" w:cs="Arial"/>
        </w:rPr>
        <w:br/>
        <w:t>This simple template helps you map where time and attention are currently going across your organization</w:t>
      </w:r>
      <w:r w:rsidR="00A4482B">
        <w:rPr>
          <w:rFonts w:ascii="Arial" w:hAnsi="Arial" w:cs="Arial"/>
        </w:rPr>
        <w:t>, or</w:t>
      </w:r>
      <w:r w:rsidR="00CB3D14">
        <w:rPr>
          <w:rFonts w:ascii="Arial" w:hAnsi="Arial" w:cs="Arial"/>
        </w:rPr>
        <w:t xml:space="preserve"> in your personal life.</w:t>
      </w:r>
      <w:r w:rsidRPr="00BB3034">
        <w:rPr>
          <w:rFonts w:ascii="Arial" w:hAnsi="Arial" w:cs="Arial"/>
        </w:rPr>
        <w:br/>
      </w:r>
    </w:p>
    <w:p w14:paraId="3A4D4E89" w14:textId="77777777" w:rsidR="00CB3D14" w:rsidRDefault="00000000" w:rsidP="00CB3D14">
      <w:pPr>
        <w:spacing w:after="0" w:line="240" w:lineRule="auto"/>
        <w:rPr>
          <w:rFonts w:ascii="Arial" w:hAnsi="Arial" w:cs="Arial"/>
        </w:rPr>
      </w:pPr>
      <w:r w:rsidRPr="00BB3034">
        <w:rPr>
          <w:rFonts w:ascii="Arial" w:hAnsi="Arial" w:cs="Arial"/>
        </w:rPr>
        <w:t>Use it as a leadership team or individually to identify misalignments, distractions, and blind spots.</w:t>
      </w:r>
      <w:r w:rsidRPr="00BB3034">
        <w:rPr>
          <w:rFonts w:ascii="Arial" w:hAnsi="Arial" w:cs="Arial"/>
        </w:rPr>
        <w:br/>
      </w:r>
    </w:p>
    <w:p w14:paraId="2F0F861C" w14:textId="5759338C" w:rsidR="00CB3D14" w:rsidRDefault="00000000" w:rsidP="00CB3D14">
      <w:pPr>
        <w:spacing w:after="0" w:line="240" w:lineRule="auto"/>
        <w:rPr>
          <w:rFonts w:ascii="Arial" w:hAnsi="Arial" w:cs="Arial"/>
          <w:b/>
          <w:bCs/>
        </w:rPr>
      </w:pPr>
      <w:r w:rsidRPr="00CB3D14">
        <w:rPr>
          <w:rFonts w:ascii="Arial" w:hAnsi="Arial" w:cs="Arial"/>
          <w:b/>
          <w:bCs/>
        </w:rPr>
        <w:t>Step 1: List Focus Areas or Activities</w:t>
      </w:r>
      <w:r w:rsidR="00A4482B">
        <w:rPr>
          <w:rFonts w:ascii="Arial" w:hAnsi="Arial" w:cs="Arial"/>
          <w:b/>
          <w:bCs/>
        </w:rPr>
        <w:t xml:space="preserve"> that take up your time during a week</w:t>
      </w:r>
    </w:p>
    <w:p w14:paraId="1D824791" w14:textId="77777777" w:rsidR="00CB3D14" w:rsidRDefault="00CB3D14" w:rsidP="00CB3D14">
      <w:pPr>
        <w:spacing w:after="0" w:line="240" w:lineRule="auto"/>
        <w:rPr>
          <w:rFonts w:ascii="Arial" w:hAnsi="Arial" w:cs="Arial"/>
          <w:b/>
          <w:bCs/>
        </w:rPr>
      </w:pPr>
    </w:p>
    <w:p w14:paraId="4EB51B4C" w14:textId="4EC61D44" w:rsidR="00261D9F" w:rsidRDefault="00000000" w:rsidP="00CB3D14">
      <w:pPr>
        <w:spacing w:after="0" w:line="240" w:lineRule="auto"/>
        <w:rPr>
          <w:rFonts w:ascii="Arial" w:hAnsi="Arial" w:cs="Arial"/>
        </w:rPr>
      </w:pPr>
      <w:r w:rsidRPr="00BB3034">
        <w:rPr>
          <w:rFonts w:ascii="Arial" w:hAnsi="Arial" w:cs="Arial"/>
        </w:rPr>
        <w:t>Example: Sales meetings, reporting, product development, customer issues, marketing planning, internal admin</w:t>
      </w:r>
      <w:r w:rsidR="00A4482B">
        <w:rPr>
          <w:rFonts w:ascii="Arial" w:hAnsi="Arial" w:cs="Arial"/>
        </w:rPr>
        <w:t xml:space="preserve">, recruitment….  </w:t>
      </w:r>
    </w:p>
    <w:p w14:paraId="66F08F94" w14:textId="77777777" w:rsidR="00CB3D14" w:rsidRPr="00CB3D14" w:rsidRDefault="00CB3D14" w:rsidP="00CB3D14">
      <w:pPr>
        <w:spacing w:after="0" w:line="240" w:lineRule="auto"/>
        <w:rPr>
          <w:rFonts w:ascii="Arial" w:hAnsi="Arial" w:cs="Arial"/>
          <w:b/>
          <w:bCs/>
        </w:rPr>
      </w:pPr>
    </w:p>
    <w:p w14:paraId="4D3AB741" w14:textId="50FD8041" w:rsidR="00674FA2" w:rsidRDefault="00000000" w:rsidP="00CB3D14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BB3034">
        <w:rPr>
          <w:rFonts w:ascii="Arial" w:hAnsi="Arial" w:cs="Arial"/>
          <w:color w:val="auto"/>
          <w:sz w:val="22"/>
          <w:szCs w:val="22"/>
        </w:rPr>
        <w:t>Step 2: Assess Each Area</w:t>
      </w:r>
      <w:r w:rsidR="00D87A49">
        <w:rPr>
          <w:rFonts w:ascii="Arial" w:hAnsi="Arial" w:cs="Arial"/>
          <w:color w:val="auto"/>
          <w:sz w:val="22"/>
          <w:szCs w:val="22"/>
        </w:rPr>
        <w:t xml:space="preserve"> Time vs Growth Impact</w:t>
      </w:r>
      <w:r w:rsidR="00311885">
        <w:rPr>
          <w:rFonts w:ascii="Arial" w:hAnsi="Arial" w:cs="Arial"/>
          <w:color w:val="auto"/>
          <w:sz w:val="22"/>
          <w:szCs w:val="22"/>
        </w:rPr>
        <w:t xml:space="preserve"> – Fill in your own assessment </w:t>
      </w:r>
    </w:p>
    <w:p w14:paraId="082E5913" w14:textId="77777777" w:rsidR="00CB3D14" w:rsidRDefault="00CB3D14" w:rsidP="00CB3D14">
      <w:pPr>
        <w:spacing w:after="0" w:line="240" w:lineRule="auto"/>
      </w:pPr>
    </w:p>
    <w:p w14:paraId="49519B88" w14:textId="132F52E5" w:rsidR="00CB3D14" w:rsidRDefault="00FC0EA6" w:rsidP="00CB3D14">
      <w:pPr>
        <w:spacing w:after="0" w:line="240" w:lineRule="auto"/>
        <w:rPr>
          <w:rFonts w:ascii="Arial" w:hAnsi="Arial" w:cs="Arial"/>
        </w:rPr>
      </w:pPr>
      <w:r w:rsidRPr="00674FA2">
        <w:rPr>
          <w:rFonts w:ascii="Arial" w:hAnsi="Arial" w:cs="Arial"/>
        </w:rPr>
        <w:t>Update values to reflect your team’s real focus and growth impact</w:t>
      </w:r>
      <w:r>
        <w:rPr>
          <w:rFonts w:ascii="Arial" w:hAnsi="Arial" w:cs="Arial"/>
        </w:rPr>
        <w:t xml:space="preserve">. </w:t>
      </w:r>
    </w:p>
    <w:p w14:paraId="19438A0E" w14:textId="77777777" w:rsidR="00FC0EA6" w:rsidRPr="00674FA2" w:rsidRDefault="00FC0EA6" w:rsidP="00CB3D14">
      <w:pPr>
        <w:spacing w:after="0" w:line="240" w:lineRule="auto"/>
        <w:rPr>
          <w:rFonts w:ascii="Arial" w:hAnsi="Arial" w:cs="Arial"/>
        </w:rPr>
      </w:pPr>
    </w:p>
    <w:p w14:paraId="20856F4A" w14:textId="7EEA9281" w:rsidR="00674FA2" w:rsidRPr="00674FA2" w:rsidRDefault="00D87A49" w:rsidP="00CB3D1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3: Create a</w:t>
      </w:r>
      <w:r w:rsidR="00674FA2" w:rsidRPr="00674F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Bar </w:t>
      </w:r>
      <w:r w:rsidR="00674FA2" w:rsidRPr="00674FA2">
        <w:rPr>
          <w:rFonts w:ascii="Arial" w:hAnsi="Arial" w:cs="Arial"/>
          <w:b/>
          <w:bCs/>
        </w:rPr>
        <w:t xml:space="preserve">Chart </w:t>
      </w:r>
      <w:r>
        <w:rPr>
          <w:rFonts w:ascii="Arial" w:hAnsi="Arial" w:cs="Arial"/>
          <w:b/>
          <w:bCs/>
        </w:rPr>
        <w:t xml:space="preserve">to Visualize </w:t>
      </w:r>
    </w:p>
    <w:p w14:paraId="771109D8" w14:textId="77777777" w:rsidR="00A4482B" w:rsidRDefault="00A4482B" w:rsidP="00CB3D14">
      <w:pPr>
        <w:spacing w:after="0" w:line="240" w:lineRule="auto"/>
        <w:rPr>
          <w:rFonts w:ascii="Arial" w:hAnsi="Arial" w:cs="Arial"/>
        </w:rPr>
      </w:pPr>
    </w:p>
    <w:p w14:paraId="3A0B1DBC" w14:textId="1E4BEF04" w:rsidR="00674FA2" w:rsidRPr="00674FA2" w:rsidRDefault="00FC0EA6" w:rsidP="00CB3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can </w:t>
      </w:r>
      <w:r w:rsidRPr="00674FA2">
        <w:rPr>
          <w:rFonts w:ascii="Arial" w:hAnsi="Arial" w:cs="Arial"/>
        </w:rPr>
        <w:t>customize th</w:t>
      </w:r>
      <w:r>
        <w:rPr>
          <w:rFonts w:ascii="Arial" w:hAnsi="Arial" w:cs="Arial"/>
        </w:rPr>
        <w:t>e Bar Chart below</w:t>
      </w:r>
      <w:r w:rsidRPr="00674FA2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activat</w:t>
      </w:r>
      <w:r w:rsidR="00965BE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chart,</w:t>
      </w:r>
      <w:r>
        <w:rPr>
          <w:rFonts w:ascii="Arial" w:hAnsi="Arial" w:cs="Arial"/>
        </w:rPr>
        <w:t xml:space="preserve"> click</w:t>
      </w:r>
      <w:r>
        <w:rPr>
          <w:rFonts w:ascii="Arial" w:hAnsi="Arial" w:cs="Arial"/>
        </w:rPr>
        <w:t xml:space="preserve"> chart design, and edit data, o</w:t>
      </w:r>
      <w:r>
        <w:rPr>
          <w:rFonts w:ascii="Arial" w:hAnsi="Arial" w:cs="Arial"/>
        </w:rPr>
        <w:t>r</w:t>
      </w:r>
      <w:r w:rsidR="00674FA2" w:rsidRPr="00674FA2">
        <w:rPr>
          <w:rFonts w:ascii="Arial" w:hAnsi="Arial" w:cs="Arial"/>
        </w:rPr>
        <w:t xml:space="preserve"> create an</w:t>
      </w:r>
      <w:r w:rsidR="00D87A49">
        <w:rPr>
          <w:rFonts w:ascii="Arial" w:hAnsi="Arial" w:cs="Arial"/>
        </w:rPr>
        <w:t xml:space="preserve"> original</w:t>
      </w:r>
      <w:r w:rsidR="00674FA2" w:rsidRPr="00674FA2">
        <w:rPr>
          <w:rFonts w:ascii="Arial" w:hAnsi="Arial" w:cs="Arial"/>
        </w:rPr>
        <w:t xml:space="preserve"> editable version </w:t>
      </w:r>
      <w:r w:rsidR="00D87A49">
        <w:rPr>
          <w:rFonts w:ascii="Arial" w:hAnsi="Arial" w:cs="Arial"/>
        </w:rPr>
        <w:t>of</w:t>
      </w:r>
      <w:r w:rsidR="00674FA2" w:rsidRPr="00674FA2">
        <w:rPr>
          <w:rFonts w:ascii="Arial" w:hAnsi="Arial" w:cs="Arial"/>
        </w:rPr>
        <w:t xml:space="preserve"> the chart</w:t>
      </w:r>
      <w:r>
        <w:rPr>
          <w:rFonts w:ascii="Arial" w:hAnsi="Arial" w:cs="Arial"/>
        </w:rPr>
        <w:t xml:space="preserve"> by</w:t>
      </w:r>
      <w:r w:rsidR="00674FA2" w:rsidRPr="00674FA2">
        <w:rPr>
          <w:rFonts w:ascii="Arial" w:hAnsi="Arial" w:cs="Arial"/>
        </w:rPr>
        <w:t xml:space="preserve"> follow</w:t>
      </w:r>
      <w:r>
        <w:rPr>
          <w:rFonts w:ascii="Arial" w:hAnsi="Arial" w:cs="Arial"/>
        </w:rPr>
        <w:t>ing</w:t>
      </w:r>
      <w:r w:rsidR="00674FA2" w:rsidRPr="00674FA2">
        <w:rPr>
          <w:rFonts w:ascii="Arial" w:hAnsi="Arial" w:cs="Arial"/>
        </w:rPr>
        <w:t xml:space="preserve"> the steps</w:t>
      </w:r>
      <w:r w:rsidR="00D87A49">
        <w:rPr>
          <w:rFonts w:ascii="Arial" w:hAnsi="Arial" w:cs="Arial"/>
        </w:rPr>
        <w:t xml:space="preserve"> belo</w:t>
      </w:r>
      <w:r>
        <w:rPr>
          <w:rFonts w:ascii="Arial" w:hAnsi="Arial" w:cs="Arial"/>
        </w:rPr>
        <w:t>w:</w:t>
      </w:r>
    </w:p>
    <w:p w14:paraId="57808372" w14:textId="77777777" w:rsidR="00674FA2" w:rsidRPr="00674FA2" w:rsidRDefault="00674FA2" w:rsidP="00CB3D14">
      <w:pPr>
        <w:spacing w:after="0" w:line="240" w:lineRule="auto"/>
        <w:ind w:left="720"/>
        <w:rPr>
          <w:rFonts w:ascii="Arial" w:hAnsi="Arial" w:cs="Arial"/>
        </w:rPr>
      </w:pPr>
      <w:r w:rsidRPr="00674FA2">
        <w:rPr>
          <w:rFonts w:ascii="Arial" w:hAnsi="Arial" w:cs="Arial"/>
        </w:rPr>
        <w:t>1. In Word, go to `Insert &gt; Chart`.</w:t>
      </w:r>
    </w:p>
    <w:p w14:paraId="783F978F" w14:textId="77777777" w:rsidR="00674FA2" w:rsidRPr="00674FA2" w:rsidRDefault="00674FA2" w:rsidP="00CB3D14">
      <w:pPr>
        <w:spacing w:after="0" w:line="240" w:lineRule="auto"/>
        <w:ind w:left="720"/>
        <w:rPr>
          <w:rFonts w:ascii="Arial" w:hAnsi="Arial" w:cs="Arial"/>
        </w:rPr>
      </w:pPr>
      <w:r w:rsidRPr="00674FA2">
        <w:rPr>
          <w:rFonts w:ascii="Arial" w:hAnsi="Arial" w:cs="Arial"/>
        </w:rPr>
        <w:t>2. Choose a bar chart and click OK.</w:t>
      </w:r>
    </w:p>
    <w:p w14:paraId="3AA63F69" w14:textId="77777777" w:rsidR="00674FA2" w:rsidRPr="00674FA2" w:rsidRDefault="00674FA2" w:rsidP="00CB3D14">
      <w:pPr>
        <w:spacing w:after="0" w:line="240" w:lineRule="auto"/>
        <w:ind w:left="720"/>
        <w:rPr>
          <w:rFonts w:ascii="Arial" w:hAnsi="Arial" w:cs="Arial"/>
        </w:rPr>
      </w:pPr>
      <w:r w:rsidRPr="00674FA2">
        <w:rPr>
          <w:rFonts w:ascii="Arial" w:hAnsi="Arial" w:cs="Arial"/>
        </w:rPr>
        <w:t>3. Replace default data with your time vs. growth impact data.</w:t>
      </w:r>
    </w:p>
    <w:p w14:paraId="4155DB11" w14:textId="203A7AB2" w:rsidR="00674FA2" w:rsidRDefault="00674FA2" w:rsidP="00CB3D14">
      <w:pPr>
        <w:spacing w:after="0" w:line="240" w:lineRule="auto"/>
        <w:ind w:left="720"/>
        <w:rPr>
          <w:rFonts w:ascii="Arial" w:hAnsi="Arial" w:cs="Arial"/>
        </w:rPr>
      </w:pPr>
      <w:r w:rsidRPr="00674FA2">
        <w:rPr>
          <w:rFonts w:ascii="Arial" w:hAnsi="Arial" w:cs="Arial"/>
        </w:rPr>
        <w:t>4. Right-click chart &gt; Edit Data to make future updates easily</w:t>
      </w:r>
      <w:r>
        <w:rPr>
          <w:rFonts w:ascii="Arial" w:hAnsi="Arial" w:cs="Arial"/>
        </w:rPr>
        <w:t>.</w:t>
      </w:r>
    </w:p>
    <w:p w14:paraId="0B5A9B58" w14:textId="77777777" w:rsidR="00CB3D14" w:rsidRDefault="00CB3D14" w:rsidP="00CB3D14">
      <w:pPr>
        <w:spacing w:after="0" w:line="240" w:lineRule="auto"/>
        <w:ind w:left="720"/>
        <w:rPr>
          <w:rFonts w:ascii="Arial" w:hAnsi="Arial" w:cs="Arial"/>
        </w:rPr>
      </w:pPr>
    </w:p>
    <w:p w14:paraId="4EE6D4D9" w14:textId="680D598A" w:rsidR="00674FA2" w:rsidRDefault="00A4482B" w:rsidP="00CB3D1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Example table - </w:t>
      </w:r>
      <w:r w:rsidR="00674FA2" w:rsidRPr="00CB3D14">
        <w:rPr>
          <w:rFonts w:ascii="Arial" w:hAnsi="Arial" w:cs="Arial"/>
          <w:b/>
          <w:bCs/>
        </w:rPr>
        <w:t xml:space="preserve">Name: Time &amp; Attention Inventory </w:t>
      </w:r>
      <w:r w:rsidR="00CB3D14">
        <w:rPr>
          <w:rFonts w:ascii="Arial" w:hAnsi="Arial" w:cs="Arial"/>
          <w:b/>
          <w:bCs/>
        </w:rPr>
        <w:t>–</w:t>
      </w:r>
      <w:r w:rsidR="00674FA2" w:rsidRPr="00CB3D14">
        <w:rPr>
          <w:rFonts w:ascii="Arial" w:hAnsi="Arial" w:cs="Arial"/>
          <w:b/>
          <w:bCs/>
        </w:rPr>
        <w:t xml:space="preserve"> </w:t>
      </w:r>
      <w:r w:rsidR="00FB07C6" w:rsidRPr="00CB3D14">
        <w:rPr>
          <w:rFonts w:ascii="Arial" w:hAnsi="Arial" w:cs="Arial"/>
          <w:b/>
          <w:bCs/>
        </w:rPr>
        <w:t>Snapshot</w:t>
      </w:r>
    </w:p>
    <w:p w14:paraId="3D0C8522" w14:textId="77777777" w:rsidR="00CB3D14" w:rsidRPr="00CB3D14" w:rsidRDefault="00CB3D14" w:rsidP="00CB3D14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1910"/>
        <w:gridCol w:w="2158"/>
        <w:gridCol w:w="2594"/>
      </w:tblGrid>
      <w:tr w:rsidR="00261D9F" w:rsidRPr="00BB3034" w14:paraId="7C5F9CF4" w14:textId="77777777" w:rsidTr="00FB07C6">
        <w:tc>
          <w:tcPr>
            <w:tcW w:w="2405" w:type="dxa"/>
          </w:tcPr>
          <w:p w14:paraId="357F8265" w14:textId="77777777" w:rsidR="00261D9F" w:rsidRPr="00FB07C6" w:rsidRDefault="00000000" w:rsidP="00CB3D14">
            <w:pPr>
              <w:rPr>
                <w:rFonts w:ascii="Arial" w:hAnsi="Arial" w:cs="Arial"/>
                <w:b/>
                <w:bCs/>
              </w:rPr>
            </w:pPr>
            <w:r w:rsidRPr="00FB07C6">
              <w:rPr>
                <w:rFonts w:ascii="Arial" w:hAnsi="Arial" w:cs="Arial"/>
                <w:b/>
                <w:bCs/>
              </w:rPr>
              <w:t>Focus Area</w:t>
            </w:r>
          </w:p>
        </w:tc>
        <w:tc>
          <w:tcPr>
            <w:tcW w:w="1910" w:type="dxa"/>
          </w:tcPr>
          <w:p w14:paraId="77BA2525" w14:textId="77777777" w:rsidR="00261D9F" w:rsidRPr="00FB07C6" w:rsidRDefault="00000000" w:rsidP="00CB3D14">
            <w:pPr>
              <w:rPr>
                <w:rFonts w:ascii="Arial" w:hAnsi="Arial" w:cs="Arial"/>
                <w:b/>
                <w:bCs/>
              </w:rPr>
            </w:pPr>
            <w:r w:rsidRPr="00FB07C6">
              <w:rPr>
                <w:rFonts w:ascii="Arial" w:hAnsi="Arial" w:cs="Arial"/>
                <w:b/>
                <w:bCs/>
              </w:rPr>
              <w:t>Time Spent (hrs/week)</w:t>
            </w:r>
          </w:p>
        </w:tc>
        <w:tc>
          <w:tcPr>
            <w:tcW w:w="2158" w:type="dxa"/>
          </w:tcPr>
          <w:p w14:paraId="3B2FEF15" w14:textId="77777777" w:rsidR="00261D9F" w:rsidRPr="00FB07C6" w:rsidRDefault="00000000" w:rsidP="00CB3D14">
            <w:pPr>
              <w:rPr>
                <w:rFonts w:ascii="Arial" w:hAnsi="Arial" w:cs="Arial"/>
                <w:b/>
                <w:bCs/>
              </w:rPr>
            </w:pPr>
            <w:r w:rsidRPr="00FB07C6">
              <w:rPr>
                <w:rFonts w:ascii="Arial" w:hAnsi="Arial" w:cs="Arial"/>
                <w:b/>
                <w:bCs/>
              </w:rPr>
              <w:t>Perceived Impact on Growth</w:t>
            </w:r>
          </w:p>
        </w:tc>
        <w:tc>
          <w:tcPr>
            <w:tcW w:w="2594" w:type="dxa"/>
          </w:tcPr>
          <w:p w14:paraId="38F3CF2C" w14:textId="77777777" w:rsidR="00261D9F" w:rsidRPr="00FB07C6" w:rsidRDefault="00000000" w:rsidP="00CB3D14">
            <w:pPr>
              <w:rPr>
                <w:rFonts w:ascii="Arial" w:hAnsi="Arial" w:cs="Arial"/>
                <w:b/>
                <w:bCs/>
              </w:rPr>
            </w:pPr>
            <w:r w:rsidRPr="00FB07C6">
              <w:rPr>
                <w:rFonts w:ascii="Arial" w:hAnsi="Arial" w:cs="Arial"/>
                <w:b/>
                <w:bCs/>
              </w:rPr>
              <w:t>Too Much / Too Little / About Right?</w:t>
            </w:r>
          </w:p>
        </w:tc>
      </w:tr>
      <w:tr w:rsidR="00311885" w:rsidRPr="00BB3034" w14:paraId="7D176C06" w14:textId="77777777" w:rsidTr="00FB07C6">
        <w:tc>
          <w:tcPr>
            <w:tcW w:w="2405" w:type="dxa"/>
          </w:tcPr>
          <w:p w14:paraId="4A4258C9" w14:textId="7478BFC4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Alignment</w:t>
            </w:r>
          </w:p>
        </w:tc>
        <w:tc>
          <w:tcPr>
            <w:tcW w:w="1910" w:type="dxa"/>
          </w:tcPr>
          <w:p w14:paraId="6E54FB59" w14:textId="1DF1426B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158" w:type="dxa"/>
          </w:tcPr>
          <w:p w14:paraId="4D3B677D" w14:textId="030DA127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2594" w:type="dxa"/>
          </w:tcPr>
          <w:p w14:paraId="7AFDFE73" w14:textId="5E1EBD59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</w:t>
            </w:r>
          </w:p>
        </w:tc>
      </w:tr>
      <w:tr w:rsidR="00311885" w:rsidRPr="00BB3034" w14:paraId="1E074576" w14:textId="77777777" w:rsidTr="00FB07C6">
        <w:tc>
          <w:tcPr>
            <w:tcW w:w="2405" w:type="dxa"/>
          </w:tcPr>
          <w:p w14:paraId="36B109BB" w14:textId="521AACA6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Strategic planning </w:t>
            </w:r>
          </w:p>
        </w:tc>
        <w:tc>
          <w:tcPr>
            <w:tcW w:w="1910" w:type="dxa"/>
          </w:tcPr>
          <w:p w14:paraId="40CF19AF" w14:textId="6F02CD3A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8" w:type="dxa"/>
          </w:tcPr>
          <w:p w14:paraId="641924BD" w14:textId="35709675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2594" w:type="dxa"/>
          </w:tcPr>
          <w:p w14:paraId="33A36285" w14:textId="66173E70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</w:tr>
      <w:tr w:rsidR="00311885" w:rsidRPr="00BB3034" w14:paraId="51E21820" w14:textId="77777777" w:rsidTr="00FB07C6">
        <w:tc>
          <w:tcPr>
            <w:tcW w:w="2405" w:type="dxa"/>
          </w:tcPr>
          <w:p w14:paraId="24791ADF" w14:textId="015A5356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Firefighting issues</w:t>
            </w:r>
          </w:p>
        </w:tc>
        <w:tc>
          <w:tcPr>
            <w:tcW w:w="1910" w:type="dxa"/>
          </w:tcPr>
          <w:p w14:paraId="5508A2FE" w14:textId="55DC276B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58" w:type="dxa"/>
          </w:tcPr>
          <w:p w14:paraId="4761DD23" w14:textId="10171269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2594" w:type="dxa"/>
          </w:tcPr>
          <w:p w14:paraId="106D7304" w14:textId="2A4D8E96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</w:t>
            </w:r>
          </w:p>
        </w:tc>
      </w:tr>
      <w:tr w:rsidR="00674FA2" w:rsidRPr="00BB3034" w14:paraId="2E4CC11C" w14:textId="77777777" w:rsidTr="00FB07C6">
        <w:tc>
          <w:tcPr>
            <w:tcW w:w="2405" w:type="dxa"/>
          </w:tcPr>
          <w:p w14:paraId="19C18253" w14:textId="7939A65F" w:rsidR="00674FA2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 development</w:t>
            </w:r>
          </w:p>
        </w:tc>
        <w:tc>
          <w:tcPr>
            <w:tcW w:w="1910" w:type="dxa"/>
          </w:tcPr>
          <w:p w14:paraId="2FB16CEA" w14:textId="79E12682" w:rsidR="00674FA2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58" w:type="dxa"/>
          </w:tcPr>
          <w:p w14:paraId="44AC20C7" w14:textId="206260E3" w:rsidR="00674FA2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2594" w:type="dxa"/>
          </w:tcPr>
          <w:p w14:paraId="1A724EFB" w14:textId="52591614" w:rsidR="00674FA2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</w:tr>
      <w:tr w:rsidR="00311885" w:rsidRPr="00BB3034" w14:paraId="0C9892CF" w14:textId="77777777" w:rsidTr="00FB07C6">
        <w:tc>
          <w:tcPr>
            <w:tcW w:w="2405" w:type="dxa"/>
          </w:tcPr>
          <w:p w14:paraId="026DD31B" w14:textId="7AE587FA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Internal reporting </w:t>
            </w:r>
          </w:p>
        </w:tc>
        <w:tc>
          <w:tcPr>
            <w:tcW w:w="1910" w:type="dxa"/>
          </w:tcPr>
          <w:p w14:paraId="4A486323" w14:textId="0C7C98A9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58" w:type="dxa"/>
          </w:tcPr>
          <w:p w14:paraId="561015A0" w14:textId="5C8B90E9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2594" w:type="dxa"/>
          </w:tcPr>
          <w:p w14:paraId="421A78C9" w14:textId="6C9A00E4" w:rsidR="00311885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</w:t>
            </w:r>
          </w:p>
        </w:tc>
      </w:tr>
      <w:tr w:rsidR="00674FA2" w:rsidRPr="00BB3034" w14:paraId="5EB411ED" w14:textId="77777777" w:rsidTr="00FB07C6">
        <w:tc>
          <w:tcPr>
            <w:tcW w:w="2405" w:type="dxa"/>
          </w:tcPr>
          <w:p w14:paraId="470BB9F8" w14:textId="7C090B2B" w:rsidR="00674FA2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work/ sales</w:t>
            </w:r>
          </w:p>
        </w:tc>
        <w:tc>
          <w:tcPr>
            <w:tcW w:w="1910" w:type="dxa"/>
          </w:tcPr>
          <w:p w14:paraId="27EA455F" w14:textId="22F94325" w:rsidR="00674FA2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58" w:type="dxa"/>
          </w:tcPr>
          <w:p w14:paraId="61742507" w14:textId="39D1AC82" w:rsidR="00674FA2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</w:t>
            </w:r>
          </w:p>
        </w:tc>
        <w:tc>
          <w:tcPr>
            <w:tcW w:w="2594" w:type="dxa"/>
          </w:tcPr>
          <w:p w14:paraId="3FBD5D60" w14:textId="7B6177A0" w:rsidR="00674FA2" w:rsidRPr="00BB3034" w:rsidRDefault="00674FA2" w:rsidP="00CB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</w:t>
            </w:r>
          </w:p>
        </w:tc>
      </w:tr>
    </w:tbl>
    <w:p w14:paraId="6E884ED3" w14:textId="77777777" w:rsidR="00E77834" w:rsidRDefault="00E77834" w:rsidP="00CB3D14">
      <w:pPr>
        <w:spacing w:after="0" w:line="240" w:lineRule="auto"/>
        <w:rPr>
          <w:rFonts w:ascii="Arial" w:hAnsi="Arial" w:cs="Arial"/>
        </w:rPr>
      </w:pPr>
    </w:p>
    <w:p w14:paraId="7B1531E6" w14:textId="74229A59" w:rsidR="00261D9F" w:rsidRDefault="00000000" w:rsidP="00CB3D14">
      <w:pPr>
        <w:spacing w:after="0" w:line="240" w:lineRule="auto"/>
        <w:rPr>
          <w:rFonts w:ascii="Arial" w:hAnsi="Arial" w:cs="Arial"/>
        </w:rPr>
      </w:pPr>
      <w:r w:rsidRPr="00BB3034">
        <w:rPr>
          <w:rFonts w:ascii="Arial" w:hAnsi="Arial" w:cs="Arial"/>
        </w:rPr>
        <w:t>Add more rows as needed. Be honest</w:t>
      </w:r>
      <w:r w:rsidR="00BB3034">
        <w:rPr>
          <w:rFonts w:ascii="Arial" w:hAnsi="Arial" w:cs="Arial"/>
        </w:rPr>
        <w:t xml:space="preserve">, </w:t>
      </w:r>
      <w:r w:rsidRPr="00BB3034">
        <w:rPr>
          <w:rFonts w:ascii="Arial" w:hAnsi="Arial" w:cs="Arial"/>
        </w:rPr>
        <w:t>this is a snapshot, not a judgment.</w:t>
      </w:r>
    </w:p>
    <w:p w14:paraId="5A512C89" w14:textId="77777777" w:rsidR="00A4482B" w:rsidRDefault="00A4482B" w:rsidP="00CB3D14">
      <w:pPr>
        <w:spacing w:after="0" w:line="240" w:lineRule="auto"/>
        <w:rPr>
          <w:rFonts w:ascii="Arial" w:hAnsi="Arial" w:cs="Arial"/>
        </w:rPr>
      </w:pPr>
    </w:p>
    <w:p w14:paraId="66992D93" w14:textId="7686A864" w:rsidR="00D87A49" w:rsidRDefault="00D87A49" w:rsidP="00D87A49">
      <w:pPr>
        <w:spacing w:after="0" w:line="240" w:lineRule="auto"/>
        <w:rPr>
          <w:rFonts w:ascii="Arial" w:hAnsi="Arial" w:cs="Arial"/>
        </w:rPr>
      </w:pPr>
    </w:p>
    <w:p w14:paraId="54980232" w14:textId="77777777" w:rsidR="00D87A49" w:rsidRDefault="00D87A49" w:rsidP="00CB3D14">
      <w:pPr>
        <w:spacing w:after="0" w:line="240" w:lineRule="auto"/>
        <w:rPr>
          <w:rFonts w:ascii="Arial" w:hAnsi="Arial" w:cs="Arial"/>
        </w:rPr>
      </w:pPr>
    </w:p>
    <w:p w14:paraId="1A37896D" w14:textId="262A1580" w:rsidR="00A4482B" w:rsidRDefault="00A4482B" w:rsidP="00CB3D14">
      <w:pPr>
        <w:spacing w:after="0" w:line="240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78792DD" wp14:editId="07B6EAE1">
            <wp:extent cx="5905500" cy="3514725"/>
            <wp:effectExtent l="0" t="0" r="0" b="9525"/>
            <wp:docPr id="20238168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A1AEC9-F6BC-C56B-B394-5AFE5EFA92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CC2D1D" w14:textId="77777777" w:rsidR="00CB3D14" w:rsidRDefault="00CB3D14" w:rsidP="00CB3D14">
      <w:pPr>
        <w:spacing w:after="0" w:line="240" w:lineRule="auto"/>
        <w:rPr>
          <w:rFonts w:ascii="Arial" w:hAnsi="Arial" w:cs="Arial"/>
        </w:rPr>
      </w:pPr>
    </w:p>
    <w:p w14:paraId="6E7E1B41" w14:textId="2F6F072B" w:rsidR="00FC0EA6" w:rsidRDefault="00FC0EA6" w:rsidP="00CB3D14">
      <w:pPr>
        <w:spacing w:after="0" w:line="240" w:lineRule="auto"/>
        <w:rPr>
          <w:rFonts w:ascii="Arial" w:hAnsi="Arial" w:cs="Arial"/>
        </w:rPr>
      </w:pPr>
      <w:r w:rsidRPr="00311885">
        <w:rPr>
          <w:rFonts w:ascii="Arial" w:hAnsi="Arial" w:cs="Arial"/>
        </w:rPr>
        <w:t>Use th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chart</w:t>
      </w:r>
      <w:r w:rsidRPr="00311885">
        <w:rPr>
          <w:rFonts w:ascii="Arial" w:hAnsi="Arial" w:cs="Arial"/>
        </w:rPr>
        <w:t xml:space="preserve"> to visually assess whether your team's time investment aligns with areas that truly drive growth.</w:t>
      </w:r>
      <w:r>
        <w:rPr>
          <w:rFonts w:ascii="Arial" w:hAnsi="Arial" w:cs="Arial"/>
        </w:rPr>
        <w:t xml:space="preserve"> Feel </w:t>
      </w:r>
      <w:proofErr w:type="spellStart"/>
      <w:proofErr w:type="gramStart"/>
      <w:r>
        <w:rPr>
          <w:rFonts w:ascii="Arial" w:hAnsi="Arial" w:cs="Arial"/>
        </w:rPr>
        <w:t>fee</w:t>
      </w:r>
      <w:proofErr w:type="spellEnd"/>
      <w:proofErr w:type="gramEnd"/>
      <w:r>
        <w:rPr>
          <w:rFonts w:ascii="Arial" w:hAnsi="Arial" w:cs="Arial"/>
        </w:rPr>
        <w:t xml:space="preserve"> to edit the content to fit your purposes.</w:t>
      </w:r>
    </w:p>
    <w:p w14:paraId="0BFFD429" w14:textId="77777777" w:rsidR="00A4482B" w:rsidRDefault="00A4482B" w:rsidP="00D87A49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262D1F9E" w14:textId="0162E8C7" w:rsidR="00D87A49" w:rsidRDefault="00000000" w:rsidP="00D87A49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BB3034">
        <w:rPr>
          <w:rFonts w:ascii="Arial" w:hAnsi="Arial" w:cs="Arial"/>
          <w:color w:val="auto"/>
          <w:sz w:val="22"/>
          <w:szCs w:val="22"/>
        </w:rPr>
        <w:t xml:space="preserve">Step </w:t>
      </w:r>
      <w:r w:rsidR="00FC0EA6">
        <w:rPr>
          <w:rFonts w:ascii="Arial" w:hAnsi="Arial" w:cs="Arial"/>
          <w:color w:val="auto"/>
          <w:sz w:val="22"/>
          <w:szCs w:val="22"/>
        </w:rPr>
        <w:t>4</w:t>
      </w:r>
      <w:r w:rsidRPr="00BB3034">
        <w:rPr>
          <w:rFonts w:ascii="Arial" w:hAnsi="Arial" w:cs="Arial"/>
          <w:color w:val="auto"/>
          <w:sz w:val="22"/>
          <w:szCs w:val="22"/>
        </w:rPr>
        <w:t>: Reflect</w:t>
      </w:r>
      <w:r w:rsidR="00FC0EA6">
        <w:rPr>
          <w:rFonts w:ascii="Arial" w:hAnsi="Arial" w:cs="Arial"/>
          <w:color w:val="auto"/>
          <w:sz w:val="22"/>
          <w:szCs w:val="22"/>
        </w:rPr>
        <w:t xml:space="preserve"> together as a team or individually</w:t>
      </w:r>
    </w:p>
    <w:p w14:paraId="5B456EFD" w14:textId="77777777" w:rsidR="00D87A49" w:rsidRPr="00D87A49" w:rsidRDefault="00D87A49" w:rsidP="00D87A49">
      <w:pPr>
        <w:spacing w:after="0" w:line="240" w:lineRule="auto"/>
      </w:pPr>
    </w:p>
    <w:p w14:paraId="34B118EF" w14:textId="77777777" w:rsidR="00311885" w:rsidRDefault="00000000" w:rsidP="00D87A4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11885">
        <w:rPr>
          <w:rFonts w:ascii="Arial" w:hAnsi="Arial" w:cs="Arial"/>
        </w:rPr>
        <w:t xml:space="preserve">What activities consume </w:t>
      </w:r>
      <w:proofErr w:type="gramStart"/>
      <w:r w:rsidRPr="00311885">
        <w:rPr>
          <w:rFonts w:ascii="Arial" w:hAnsi="Arial" w:cs="Arial"/>
        </w:rPr>
        <w:t>the</w:t>
      </w:r>
      <w:proofErr w:type="gramEnd"/>
      <w:r w:rsidRPr="00311885">
        <w:rPr>
          <w:rFonts w:ascii="Arial" w:hAnsi="Arial" w:cs="Arial"/>
        </w:rPr>
        <w:t xml:space="preserve"> </w:t>
      </w:r>
      <w:proofErr w:type="gramStart"/>
      <w:r w:rsidRPr="00311885">
        <w:rPr>
          <w:rFonts w:ascii="Arial" w:hAnsi="Arial" w:cs="Arial"/>
        </w:rPr>
        <w:t>most</w:t>
      </w:r>
      <w:proofErr w:type="gramEnd"/>
      <w:r w:rsidRPr="00311885">
        <w:rPr>
          <w:rFonts w:ascii="Arial" w:hAnsi="Arial" w:cs="Arial"/>
        </w:rPr>
        <w:t xml:space="preserve"> time with low impact?</w:t>
      </w:r>
    </w:p>
    <w:p w14:paraId="3BD9FD30" w14:textId="77777777" w:rsidR="00311885" w:rsidRDefault="00000000" w:rsidP="00D87A4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11885">
        <w:rPr>
          <w:rFonts w:ascii="Arial" w:hAnsi="Arial" w:cs="Arial"/>
        </w:rPr>
        <w:t>What areas are underinvested despite high potential</w:t>
      </w:r>
      <w:r w:rsidR="00311885">
        <w:rPr>
          <w:rFonts w:ascii="Arial" w:hAnsi="Arial" w:cs="Arial"/>
        </w:rPr>
        <w:t>?</w:t>
      </w:r>
    </w:p>
    <w:p w14:paraId="606F4660" w14:textId="2AF23301" w:rsidR="00261D9F" w:rsidRPr="00311885" w:rsidRDefault="00000000" w:rsidP="00D87A4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11885">
        <w:rPr>
          <w:rFonts w:ascii="Arial" w:hAnsi="Arial" w:cs="Arial"/>
        </w:rPr>
        <w:t>Where is leadership</w:t>
      </w:r>
      <w:r w:rsidR="00FC0EA6">
        <w:rPr>
          <w:rFonts w:ascii="Arial" w:hAnsi="Arial" w:cs="Arial"/>
        </w:rPr>
        <w:t>/team/individual</w:t>
      </w:r>
      <w:r w:rsidRPr="00311885">
        <w:rPr>
          <w:rFonts w:ascii="Arial" w:hAnsi="Arial" w:cs="Arial"/>
        </w:rPr>
        <w:t xml:space="preserve"> attention being spent — and what’s being ignored?</w:t>
      </w:r>
      <w:r w:rsidRPr="00311885">
        <w:rPr>
          <w:rFonts w:ascii="Arial" w:hAnsi="Arial" w:cs="Arial"/>
        </w:rPr>
        <w:br/>
      </w:r>
    </w:p>
    <w:p w14:paraId="27EBB80E" w14:textId="155DE4C7" w:rsidR="00261D9F" w:rsidRDefault="00000000" w:rsidP="00D87A49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BB3034">
        <w:rPr>
          <w:rFonts w:ascii="Arial" w:hAnsi="Arial" w:cs="Arial"/>
          <w:color w:val="auto"/>
          <w:sz w:val="22"/>
          <w:szCs w:val="22"/>
        </w:rPr>
        <w:t>Step</w:t>
      </w:r>
      <w:r w:rsidR="00FC0EA6">
        <w:rPr>
          <w:rFonts w:ascii="Arial" w:hAnsi="Arial" w:cs="Arial"/>
          <w:color w:val="auto"/>
          <w:sz w:val="22"/>
          <w:szCs w:val="22"/>
        </w:rPr>
        <w:t xml:space="preserve"> 5: No more attention leaks, take charge of your time</w:t>
      </w:r>
    </w:p>
    <w:p w14:paraId="035CCB64" w14:textId="77777777" w:rsidR="00D87A49" w:rsidRPr="00D87A49" w:rsidRDefault="00D87A49" w:rsidP="00D87A49">
      <w:pPr>
        <w:spacing w:after="0" w:line="240" w:lineRule="auto"/>
      </w:pPr>
    </w:p>
    <w:p w14:paraId="21962D1B" w14:textId="21B1874F" w:rsidR="00CB3D14" w:rsidRDefault="00000000" w:rsidP="00D87A49">
      <w:pPr>
        <w:spacing w:after="0" w:line="240" w:lineRule="auto"/>
        <w:rPr>
          <w:rFonts w:ascii="Arial" w:hAnsi="Arial" w:cs="Arial"/>
        </w:rPr>
      </w:pPr>
      <w:r w:rsidRPr="00BB3034">
        <w:rPr>
          <w:rFonts w:ascii="Arial" w:hAnsi="Arial" w:cs="Arial"/>
        </w:rPr>
        <w:t>Identify 1–3 adjustments to refocus your time and team. Small shifts can unlock big results.</w:t>
      </w:r>
    </w:p>
    <w:p w14:paraId="2E9FB5BF" w14:textId="77777777" w:rsidR="00CB3D14" w:rsidRPr="00311885" w:rsidRDefault="00CB3D14" w:rsidP="00D87A49">
      <w:pPr>
        <w:spacing w:after="0" w:line="240" w:lineRule="auto"/>
        <w:rPr>
          <w:rFonts w:ascii="Arial" w:hAnsi="Arial" w:cs="Arial"/>
          <w:b/>
          <w:bCs/>
        </w:rPr>
      </w:pPr>
    </w:p>
    <w:p w14:paraId="3BECF603" w14:textId="7799E297" w:rsidR="00311885" w:rsidRPr="00FC0EA6" w:rsidRDefault="00FC0EA6" w:rsidP="00CB3D14">
      <w:pPr>
        <w:spacing w:after="0" w:line="240" w:lineRule="auto"/>
        <w:rPr>
          <w:rFonts w:ascii="Arial" w:hAnsi="Arial" w:cs="Arial"/>
          <w:b/>
          <w:bCs/>
        </w:rPr>
      </w:pPr>
      <w:r w:rsidRPr="00FC0EA6">
        <w:rPr>
          <w:rFonts w:ascii="Arial" w:hAnsi="Arial" w:cs="Arial"/>
          <w:b/>
          <w:bCs/>
        </w:rPr>
        <w:t>Step 6: Repeat in a few months’ time</w:t>
      </w:r>
      <w:r>
        <w:rPr>
          <w:rFonts w:ascii="Arial" w:hAnsi="Arial" w:cs="Arial"/>
          <w:b/>
          <w:bCs/>
        </w:rPr>
        <w:t xml:space="preserve"> if the desired outcome is achieved</w:t>
      </w:r>
    </w:p>
    <w:p w14:paraId="3956DCE2" w14:textId="77777777" w:rsidR="00F10D24" w:rsidRPr="00FC0EA6" w:rsidRDefault="00F10D24" w:rsidP="00CB3D14">
      <w:pPr>
        <w:spacing w:after="0" w:line="240" w:lineRule="auto"/>
        <w:rPr>
          <w:rFonts w:ascii="Arial" w:hAnsi="Arial" w:cs="Arial"/>
          <w:b/>
          <w:bCs/>
        </w:rPr>
      </w:pPr>
    </w:p>
    <w:p w14:paraId="3182624A" w14:textId="77777777" w:rsidR="00F10D24" w:rsidRDefault="00F10D24" w:rsidP="00CB3D14">
      <w:pPr>
        <w:spacing w:after="0" w:line="240" w:lineRule="auto"/>
        <w:rPr>
          <w:rFonts w:ascii="Arial" w:hAnsi="Arial" w:cs="Arial"/>
        </w:rPr>
      </w:pPr>
    </w:p>
    <w:p w14:paraId="0A81BFCF" w14:textId="33080B38" w:rsidR="00D52769" w:rsidRDefault="00965BE5" w:rsidP="00CB3D14">
      <w:pPr>
        <w:spacing w:after="0" w:line="240" w:lineRule="auto"/>
        <w:rPr>
          <w:rFonts w:ascii="Arial" w:hAnsi="Arial" w:cs="Arial"/>
          <w:b/>
          <w:bCs/>
        </w:rPr>
      </w:pPr>
      <w:r w:rsidRPr="00965BE5">
        <w:rPr>
          <w:rFonts w:ascii="Arial" w:hAnsi="Arial" w:cs="Arial"/>
          <w:b/>
          <w:bCs/>
        </w:rPr>
        <w:t>Enjoy!!!</w:t>
      </w:r>
    </w:p>
    <w:p w14:paraId="120D9D09" w14:textId="03E936A3" w:rsidR="00965BE5" w:rsidRPr="00965BE5" w:rsidRDefault="00965BE5" w:rsidP="00CB3D14">
      <w:pPr>
        <w:spacing w:after="0" w:line="240" w:lineRule="auto"/>
        <w:rPr>
          <w:rFonts w:ascii="Arial" w:hAnsi="Arial" w:cs="Arial"/>
          <w:b/>
          <w:bCs/>
        </w:rPr>
      </w:pPr>
    </w:p>
    <w:sectPr w:rsidR="00965BE5" w:rsidRPr="00965BE5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CA50" w14:textId="77777777" w:rsidR="00AC6074" w:rsidRDefault="00AC6074" w:rsidP="009F57D8">
      <w:pPr>
        <w:spacing w:after="0" w:line="240" w:lineRule="auto"/>
      </w:pPr>
      <w:r>
        <w:separator/>
      </w:r>
    </w:p>
  </w:endnote>
  <w:endnote w:type="continuationSeparator" w:id="0">
    <w:p w14:paraId="5407AA90" w14:textId="77777777" w:rsidR="00AC6074" w:rsidRDefault="00AC6074" w:rsidP="009F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CB3F" w14:textId="2F48D24F" w:rsidR="009F57D8" w:rsidRPr="009F57D8" w:rsidRDefault="009F57D8">
    <w:pPr>
      <w:pStyle w:val="Footer"/>
      <w:rPr>
        <w:lang w:val="fi-FI"/>
      </w:rPr>
    </w:pPr>
    <w:r>
      <w:rPr>
        <w:noProof/>
        <w:lang w:val="fi-FI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051BAFD" wp14:editId="6A7F5A64">
          <wp:extent cx="1358265" cy="504825"/>
          <wp:effectExtent l="0" t="0" r="0" b="9525"/>
          <wp:docPr id="1639944611" name="Picture 4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44611" name="Picture 4" descr="A black text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5749" cy="52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834">
      <w:rPr>
        <w:noProof/>
        <w:lang w:val="fi-FI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F71CD" w14:textId="77777777" w:rsidR="00AC6074" w:rsidRDefault="00AC6074" w:rsidP="009F57D8">
      <w:pPr>
        <w:spacing w:after="0" w:line="240" w:lineRule="auto"/>
      </w:pPr>
      <w:r>
        <w:separator/>
      </w:r>
    </w:p>
  </w:footnote>
  <w:footnote w:type="continuationSeparator" w:id="0">
    <w:p w14:paraId="18D13AE8" w14:textId="77777777" w:rsidR="00AC6074" w:rsidRDefault="00AC6074" w:rsidP="009F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804B3"/>
    <w:multiLevelType w:val="hybridMultilevel"/>
    <w:tmpl w:val="D6203A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E87D7B"/>
    <w:multiLevelType w:val="hybridMultilevel"/>
    <w:tmpl w:val="502E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6E37"/>
    <w:multiLevelType w:val="hybridMultilevel"/>
    <w:tmpl w:val="2BE8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2262">
    <w:abstractNumId w:val="8"/>
  </w:num>
  <w:num w:numId="2" w16cid:durableId="1029067695">
    <w:abstractNumId w:val="6"/>
  </w:num>
  <w:num w:numId="3" w16cid:durableId="673608423">
    <w:abstractNumId w:val="5"/>
  </w:num>
  <w:num w:numId="4" w16cid:durableId="2014645351">
    <w:abstractNumId w:val="4"/>
  </w:num>
  <w:num w:numId="5" w16cid:durableId="455878514">
    <w:abstractNumId w:val="7"/>
  </w:num>
  <w:num w:numId="6" w16cid:durableId="445387664">
    <w:abstractNumId w:val="3"/>
  </w:num>
  <w:num w:numId="7" w16cid:durableId="634335023">
    <w:abstractNumId w:val="2"/>
  </w:num>
  <w:num w:numId="8" w16cid:durableId="1188562223">
    <w:abstractNumId w:val="1"/>
  </w:num>
  <w:num w:numId="9" w16cid:durableId="1591159348">
    <w:abstractNumId w:val="0"/>
  </w:num>
  <w:num w:numId="10" w16cid:durableId="275716727">
    <w:abstractNumId w:val="11"/>
  </w:num>
  <w:num w:numId="11" w16cid:durableId="739904459">
    <w:abstractNumId w:val="10"/>
  </w:num>
  <w:num w:numId="12" w16cid:durableId="322590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7511"/>
    <w:rsid w:val="00034616"/>
    <w:rsid w:val="0006063C"/>
    <w:rsid w:val="0015074B"/>
    <w:rsid w:val="00261D9F"/>
    <w:rsid w:val="0029639D"/>
    <w:rsid w:val="00311885"/>
    <w:rsid w:val="00326F90"/>
    <w:rsid w:val="005B044F"/>
    <w:rsid w:val="00674FA2"/>
    <w:rsid w:val="00965BE5"/>
    <w:rsid w:val="009F57D8"/>
    <w:rsid w:val="00A4482B"/>
    <w:rsid w:val="00AA1D8D"/>
    <w:rsid w:val="00AC436E"/>
    <w:rsid w:val="00AC6074"/>
    <w:rsid w:val="00B130C5"/>
    <w:rsid w:val="00B47730"/>
    <w:rsid w:val="00BB3034"/>
    <w:rsid w:val="00CB0664"/>
    <w:rsid w:val="00CB3D14"/>
    <w:rsid w:val="00D52769"/>
    <w:rsid w:val="00D87A49"/>
    <w:rsid w:val="00E77834"/>
    <w:rsid w:val="00F10D24"/>
    <w:rsid w:val="00FB07C6"/>
    <w:rsid w:val="00FC0E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00EC7"/>
  <w14:defaultImageDpi w14:val="300"/>
  <w15:docId w15:val="{044CB4A6-AD14-49FC-B0FA-B5AE3A7B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en-GB"/>
              <a:t>Time &amp; Attention Inventory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933923884514433"/>
          <c:y val="0.19326407115777194"/>
          <c:w val="0.59953587051618551"/>
          <c:h val="0.582863444152814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Time Spent (hrs/week)</c:v>
                </c:pt>
              </c:strCache>
            </c:strRef>
          </c:tx>
          <c:spPr>
            <a:solidFill>
              <a:schemeClr val="accent1"/>
            </a:solidFill>
            <a:ln w="0"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 w="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722-4AD4-ACC3-16F09D2ADBA3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722-4AD4-ACC3-16F09D2ADBA3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 w="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722-4AD4-ACC3-16F09D2ADBA3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 w="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722-4AD4-ACC3-16F09D2ADBA3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 w="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722-4AD4-ACC3-16F09D2ADBA3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 w="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722-4AD4-ACC3-16F09D2ADB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Impact:</a:t>
                    </a:r>
                    <a:r>
                      <a:rPr lang="en-US" baseline="0"/>
                      <a:t> Medium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22-4AD4-ACC3-16F09D2ADB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Impact: High</a:t>
                    </a:r>
                    <a:r>
                      <a:rPr lang="en-US" baseline="0"/>
                      <a:t> </a:t>
                    </a:r>
                    <a:r>
                      <a:rPr lang="en-US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22-4AD4-ACC3-16F09D2ADB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Impact:</a:t>
                    </a:r>
                    <a:r>
                      <a:rPr lang="en-US" baseline="0"/>
                      <a:t> Medium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722-4AD4-ACC3-16F09D2ADBA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Impact:</a:t>
                    </a:r>
                    <a:r>
                      <a:rPr lang="en-US" baseline="0"/>
                      <a:t> High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722-4AD4-ACC3-16F09D2ADBA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Impact</a:t>
                    </a:r>
                    <a:r>
                      <a:rPr lang="en-US" baseline="0"/>
                      <a:t>: Low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9722-4AD4-ACC3-16F09D2ADBA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Impact:</a:t>
                    </a:r>
                    <a:r>
                      <a:rPr lang="en-US" baseline="0"/>
                      <a:t> High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9722-4AD4-ACC3-16F09D2ADB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Team Alignment</c:v>
                </c:pt>
                <c:pt idx="1">
                  <c:v>Strategic Planning</c:v>
                </c:pt>
                <c:pt idx="2">
                  <c:v>Firefighting Issues</c:v>
                </c:pt>
                <c:pt idx="3">
                  <c:v>Product Development</c:v>
                </c:pt>
                <c:pt idx="4">
                  <c:v>Internal Reporting</c:v>
                </c:pt>
                <c:pt idx="5">
                  <c:v>Customer Work / Sales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2.5</c:v>
                </c:pt>
                <c:pt idx="1">
                  <c:v>1</c:v>
                </c:pt>
                <c:pt idx="2">
                  <c:v>12</c:v>
                </c:pt>
                <c:pt idx="3">
                  <c:v>6</c:v>
                </c:pt>
                <c:pt idx="4">
                  <c:v>10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722-4AD4-ACC3-16F09D2ADBA3}"/>
            </c:ext>
          </c:extLst>
        </c:ser>
        <c:ser>
          <c:idx val="1"/>
          <c:order val="1"/>
          <c:tx>
            <c:strRef>
              <c:f>Sheet1!$A$12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Team Alignment</c:v>
                </c:pt>
                <c:pt idx="1">
                  <c:v>Strategic Planning</c:v>
                </c:pt>
                <c:pt idx="2">
                  <c:v>Firefighting Issues</c:v>
                </c:pt>
                <c:pt idx="3">
                  <c:v>Product Development</c:v>
                </c:pt>
                <c:pt idx="4">
                  <c:v>Internal Reporting</c:v>
                </c:pt>
                <c:pt idx="5">
                  <c:v>Customer Work / Sales</c:v>
                </c:pt>
              </c:strCache>
            </c:strRef>
          </c:cat>
          <c:val>
            <c:numRef>
              <c:f>Sheet1!$A$13:$A$18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9722-4AD4-ACC3-16F09D2ADB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80"/>
        <c:axId val="1084162239"/>
        <c:axId val="1084170399"/>
      </c:barChart>
      <c:catAx>
        <c:axId val="108416223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r>
                  <a:rPr lang="en-GB"/>
                  <a:t>Focus</a:t>
                </a:r>
                <a:r>
                  <a:rPr lang="en-GB" baseline="0"/>
                  <a:t> Areas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2.5212691608815167E-2"/>
              <c:y val="0.353810819414163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Black" panose="020B0A04020102020204" pitchFamily="34" charset="0"/>
                  <a:ea typeface="+mn-ea"/>
                  <a:cs typeface="+mn-cs"/>
                </a:defRPr>
              </a:pPr>
              <a:endParaRPr lang="en-GB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effectLst>
                  <a:outerShdw blurRad="50800" dist="50800" dir="5400000" sx="1000" sy="1000" algn="ctr" rotWithShape="0">
                    <a:srgbClr val="000000">
                      <a:alpha val="43137"/>
                    </a:srgbClr>
                  </a:outerShdw>
                </a:effectLst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  <c:crossAx val="1084170399"/>
        <c:crosses val="autoZero"/>
        <c:auto val="1"/>
        <c:lblAlgn val="l"/>
        <c:lblOffset val="100"/>
        <c:noMultiLvlLbl val="0"/>
      </c:catAx>
      <c:valAx>
        <c:axId val="108417039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r>
                  <a:rPr lang="en-GB"/>
                  <a:t>Time Spent (hrs/week)</a:t>
                </a:r>
              </a:p>
            </c:rich>
          </c:tx>
          <c:layout>
            <c:manualLayout>
              <c:xMode val="edge"/>
              <c:yMode val="edge"/>
              <c:x val="0.33909223625153367"/>
              <c:y val="0.885336792855126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Black" panose="020B0A04020102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  <c:crossAx val="1084162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Arial Black" panose="020B0A040201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Murros Marketing Advisory Oy</dc:creator>
  <cp:keywords/>
  <dc:description>generated by python-docx</dc:description>
  <cp:lastModifiedBy>Anna Hiltunen</cp:lastModifiedBy>
  <cp:revision>2</cp:revision>
  <dcterms:created xsi:type="dcterms:W3CDTF">2025-05-08T11:35:00Z</dcterms:created>
  <dcterms:modified xsi:type="dcterms:W3CDTF">2025-05-08T11:35:00Z</dcterms:modified>
  <cp:category/>
</cp:coreProperties>
</file>