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AB03" w14:textId="566EEBED" w:rsidR="00831721" w:rsidRDefault="00831721" w:rsidP="00831721">
      <w:pPr>
        <w:spacing w:before="120" w:after="0"/>
      </w:pPr>
      <w:r w:rsidRPr="0041428F">
        <w:rPr>
          <w:noProof/>
          <w:lang w:bidi="en-GB"/>
        </w:rPr>
        <mc:AlternateContent>
          <mc:Choice Requires="wpg">
            <w:drawing>
              <wp:anchor distT="0" distB="0" distL="114300" distR="114300" simplePos="0" relativeHeight="251659264" behindDoc="1" locked="1" layoutInCell="1" allowOverlap="1" wp14:anchorId="58C22049" wp14:editId="785DB8AA">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2F556" id="Graphic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10466"/>
      </w:tblGrid>
      <w:tr w:rsidR="00A66B18" w:rsidRPr="0041428F" w14:paraId="41D6C93C" w14:textId="77777777" w:rsidTr="00A6783B">
        <w:trPr>
          <w:trHeight w:val="270"/>
          <w:jc w:val="center"/>
        </w:trPr>
        <w:tc>
          <w:tcPr>
            <w:tcW w:w="10800" w:type="dxa"/>
          </w:tcPr>
          <w:p w14:paraId="0D0988EE" w14:textId="77777777" w:rsidR="00A66B18" w:rsidRPr="0041428F" w:rsidRDefault="00A66B18" w:rsidP="00A66B18">
            <w:pPr>
              <w:pStyle w:val="ContactInfo"/>
              <w:rPr>
                <w:color w:val="000000" w:themeColor="text1"/>
              </w:rPr>
            </w:pPr>
            <w:r w:rsidRPr="0041428F">
              <w:rPr>
                <w:noProof/>
                <w:color w:val="000000" w:themeColor="text1"/>
                <w:lang w:bidi="en-GB"/>
              </w:rPr>
              <mc:AlternateContent>
                <mc:Choice Requires="wps">
                  <w:drawing>
                    <wp:inline distT="0" distB="0" distL="0" distR="0" wp14:anchorId="5D9513C8" wp14:editId="3B24C33D">
                      <wp:extent cx="3030071" cy="407670"/>
                      <wp:effectExtent l="19050" t="19050" r="18415" b="26035"/>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030071" cy="407670"/>
                              </a:xfrm>
                              <a:prstGeom prst="rect">
                                <a:avLst/>
                              </a:prstGeom>
                              <a:ln w="38100">
                                <a:solidFill>
                                  <a:schemeClr val="bg1"/>
                                </a:solidFill>
                                <a:miter lim="400000"/>
                              </a:ln>
                              <a:extLst>
                                <a:ext uri="{C572A759-6A51-4108-AA02-DFA0A04FC94B}">
                                  <ma14:wrappingTextBoxFlag xmlns:lc="http://schemas.openxmlformats.org/drawingml/2006/lockedCanvas" xmlns="" xmlns:p="http://schemas.openxmlformats.org/presentationml/2006/main"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6C7EB07" w14:textId="198DB9FD" w:rsidR="00A66B18" w:rsidRPr="00AA089B" w:rsidRDefault="00951678" w:rsidP="00AA089B">
                                  <w:pPr>
                                    <w:pStyle w:val="Logo"/>
                                  </w:pPr>
                                  <w:r>
                                    <w:rPr>
                                      <w:lang w:bidi="en-GB"/>
                                    </w:rPr>
                                    <w:t>EPIC Year 2</w:t>
                                  </w:r>
                                </w:p>
                              </w:txbxContent>
                            </wps:txbx>
                            <wps:bodyPr wrap="square" lIns="19050" tIns="19050" rIns="19050" bIns="19050" anchor="ctr">
                              <a:spAutoFit/>
                            </wps:bodyPr>
                          </wps:wsp>
                        </a:graphicData>
                      </a:graphic>
                    </wp:inline>
                  </w:drawing>
                </mc:Choice>
                <mc:Fallback>
                  <w:pict>
                    <v:rect w14:anchorId="5D9513C8" id="Shape 61" o:spid="_x0000_s1026" style="width:238.6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" filled="f" strokecolor="white [3212]" strokeweight="3pt">
                      <v:stroke miterlimit="4"/>
                      <v:textbox style="mso-fit-shape-to-text:t" inset="1.5pt,1.5pt,1.5pt,1.5pt">
                        <w:txbxContent>
                          <w:p w14:paraId="36C7EB07" w14:textId="198DB9FD" w:rsidR="00A66B18" w:rsidRPr="00AA089B" w:rsidRDefault="00951678" w:rsidP="00AA089B">
                            <w:pPr>
                              <w:pStyle w:val="Logo"/>
                            </w:pPr>
                            <w:r>
                              <w:rPr>
                                <w:lang w:bidi="en-GB"/>
                              </w:rPr>
                              <w:t>EPIC Year 2</w:t>
                            </w:r>
                          </w:p>
                        </w:txbxContent>
                      </v:textbox>
                      <w10:anchorlock/>
                    </v:rect>
                  </w:pict>
                </mc:Fallback>
              </mc:AlternateContent>
            </w:r>
          </w:p>
        </w:tc>
      </w:tr>
      <w:tr w:rsidR="00615018" w:rsidRPr="0041428F" w14:paraId="57E0637A" w14:textId="77777777" w:rsidTr="00A6783B">
        <w:trPr>
          <w:trHeight w:val="2691"/>
          <w:jc w:val="center"/>
        </w:trPr>
        <w:tc>
          <w:tcPr>
            <w:tcW w:w="10800" w:type="dxa"/>
            <w:vAlign w:val="bottom"/>
          </w:tcPr>
          <w:p w14:paraId="7540F413" w14:textId="116B469E" w:rsidR="003E24DF" w:rsidRPr="0041428F" w:rsidRDefault="003E24DF" w:rsidP="00A66B18">
            <w:pPr>
              <w:pStyle w:val="ContactInfo"/>
              <w:rPr>
                <w:color w:val="000000" w:themeColor="text1"/>
              </w:rPr>
            </w:pPr>
          </w:p>
        </w:tc>
      </w:tr>
    </w:tbl>
    <w:p w14:paraId="565532C9" w14:textId="77777777" w:rsidR="00A66B18" w:rsidRDefault="00A66B18"/>
    <w:p w14:paraId="02875A0D" w14:textId="23E9911A" w:rsidR="00951678" w:rsidRPr="00951678" w:rsidRDefault="00951678" w:rsidP="00951678">
      <w:pPr>
        <w:spacing w:line="276" w:lineRule="auto"/>
        <w:jc w:val="both"/>
        <w:rPr>
          <w:rFonts w:ascii="Calibri" w:hAnsi="Calibri" w:cs="Calibri"/>
          <w:szCs w:val="24"/>
        </w:rPr>
      </w:pPr>
      <w:r w:rsidRPr="00951678">
        <w:rPr>
          <w:rFonts w:ascii="Calibri" w:hAnsi="Calibri" w:cs="Calibri"/>
          <w:szCs w:val="24"/>
        </w:rPr>
        <w:t>As EPIC’s second year ends, project manager Charlotte Withers reflects on our journey and achievements.</w:t>
      </w:r>
    </w:p>
    <w:p w14:paraId="1D9649F7" w14:textId="0ABD65F1" w:rsidR="00951678" w:rsidRPr="00951678" w:rsidRDefault="00951678" w:rsidP="00951678">
      <w:pPr>
        <w:spacing w:line="276" w:lineRule="auto"/>
        <w:rPr>
          <w:rFonts w:ascii="Calibri" w:hAnsi="Calibri" w:cs="Calibri"/>
          <w:szCs w:val="24"/>
        </w:rPr>
      </w:pPr>
      <w:r w:rsidRPr="00951678">
        <w:rPr>
          <w:rFonts w:ascii="Calibri" w:hAnsi="Calibri" w:cs="Calibri"/>
          <w:szCs w:val="24"/>
        </w:rPr>
        <w:t>EPIC seeks to catalyse positive change in how epistemic injustice (EI) is understood and addressed within healthcare. The project tackles four key challenges: the understudied forms of EI in healthcare; the need for detailed empirical study of EI cases in healthcare and for empirical testing and validation of the concept; the lack of research on how EI could be ameliorated; and the need to integrate the conceptual resources of EI into wider discourses about healthcare.</w:t>
      </w:r>
      <w:r w:rsidRPr="00951678">
        <w:rPr>
          <w:rFonts w:ascii="Calibri" w:hAnsi="Calibri" w:cs="Calibri"/>
          <w:szCs w:val="24"/>
        </w:rPr>
        <w:br/>
      </w:r>
      <w:r w:rsidRPr="00951678">
        <w:rPr>
          <w:rFonts w:ascii="Calibri" w:hAnsi="Calibri" w:cs="Calibri"/>
          <w:szCs w:val="24"/>
        </w:rPr>
        <w:br/>
      </w:r>
      <w:r w:rsidR="009A6A40">
        <w:rPr>
          <w:rFonts w:ascii="Calibri" w:hAnsi="Calibri" w:cs="Calibri"/>
          <w:b/>
          <w:bCs/>
          <w:szCs w:val="24"/>
        </w:rPr>
        <w:t>Second Year Highlights</w:t>
      </w:r>
      <w:r w:rsidRPr="00951678">
        <w:rPr>
          <w:rFonts w:ascii="Calibri" w:hAnsi="Calibri" w:cs="Calibri"/>
          <w:szCs w:val="24"/>
        </w:rPr>
        <w:br/>
        <w:t xml:space="preserve">- Intensive work on our seven </w:t>
      </w:r>
      <w:hyperlink r:id="rId10">
        <w:r w:rsidRPr="00951678">
          <w:rPr>
            <w:rStyle w:val="Hyperlink"/>
            <w:rFonts w:ascii="Calibri" w:hAnsi="Calibri" w:cs="Calibri"/>
            <w:szCs w:val="24"/>
          </w:rPr>
          <w:t>case studies</w:t>
        </w:r>
      </w:hyperlink>
      <w:r w:rsidRPr="00951678">
        <w:rPr>
          <w:rFonts w:ascii="Calibri" w:hAnsi="Calibri" w:cs="Calibri"/>
          <w:szCs w:val="24"/>
        </w:rPr>
        <w:t xml:space="preserve">, including research on silence in bipolar disorder, epistemic injustice in dementia care, selective immunisation policy, young people with psychosis, people with paranoia, loneliness in historical context and disease in later life. Individual case study details are available on our </w:t>
      </w:r>
      <w:hyperlink r:id="rId11" w:history="1">
        <w:r w:rsidRPr="00951678">
          <w:rPr>
            <w:rStyle w:val="Hyperlink"/>
            <w:rFonts w:ascii="Calibri" w:hAnsi="Calibri" w:cs="Calibri"/>
            <w:szCs w:val="24"/>
          </w:rPr>
          <w:t>website</w:t>
        </w:r>
      </w:hyperlink>
      <w:r w:rsidRPr="00951678">
        <w:rPr>
          <w:rFonts w:ascii="Calibri" w:hAnsi="Calibri" w:cs="Calibri"/>
          <w:szCs w:val="24"/>
        </w:rPr>
        <w:t xml:space="preserve"> and results from the studies are beginning to emerge and be shared.</w:t>
      </w:r>
      <w:r w:rsidRPr="00951678">
        <w:rPr>
          <w:rFonts w:ascii="Calibri" w:hAnsi="Calibri" w:cs="Calibri"/>
          <w:szCs w:val="24"/>
        </w:rPr>
        <w:br/>
        <w:t>- Advancing project goals internationally across institutions and disciplines, with a focus on collaborations and sharing EPIC research. The EPIC team works closely with Italian partners in the Universities of Bologna and Ferrara, where focus is on age-related case studies. These cases allow EPIC to examine epistemic injustice not only in acute care or psychiatric settings, but also in chronic, degenerative, age-related conditions - broadening the project’s scope.</w:t>
      </w:r>
    </w:p>
    <w:p w14:paraId="29A046C6" w14:textId="77777777" w:rsidR="00951678" w:rsidRPr="00951678" w:rsidRDefault="00951678" w:rsidP="00951678">
      <w:pPr>
        <w:spacing w:after="0" w:line="276" w:lineRule="auto"/>
        <w:rPr>
          <w:rFonts w:ascii="Calibri" w:hAnsi="Calibri" w:cs="Calibri"/>
          <w:szCs w:val="24"/>
        </w:rPr>
      </w:pPr>
      <w:r w:rsidRPr="00951678">
        <w:rPr>
          <w:rFonts w:ascii="Calibri" w:hAnsi="Calibri" w:cs="Calibri"/>
          <w:szCs w:val="24"/>
        </w:rPr>
        <w:t xml:space="preserve">- </w:t>
      </w:r>
      <w:hyperlink r:id="rId12" w:history="1">
        <w:r w:rsidRPr="00951678">
          <w:rPr>
            <w:rStyle w:val="Hyperlink"/>
            <w:rFonts w:ascii="Calibri" w:hAnsi="Calibri" w:cs="Calibri"/>
            <w:szCs w:val="24"/>
          </w:rPr>
          <w:t>Key publications</w:t>
        </w:r>
      </w:hyperlink>
      <w:r w:rsidRPr="00951678">
        <w:rPr>
          <w:rFonts w:ascii="Calibri" w:hAnsi="Calibri" w:cs="Calibri"/>
          <w:szCs w:val="24"/>
        </w:rPr>
        <w:t xml:space="preserve"> in </w:t>
      </w:r>
      <w:r w:rsidRPr="00951678">
        <w:rPr>
          <w:rFonts w:ascii="Calibri" w:hAnsi="Calibri" w:cs="Calibri"/>
          <w:i/>
          <w:iCs/>
          <w:szCs w:val="24"/>
        </w:rPr>
        <w:t>The Lancet</w:t>
      </w:r>
      <w:r w:rsidRPr="00951678">
        <w:rPr>
          <w:rFonts w:ascii="Calibri" w:hAnsi="Calibri" w:cs="Calibri"/>
          <w:szCs w:val="24"/>
        </w:rPr>
        <w:t xml:space="preserve">. </w:t>
      </w:r>
      <w:r w:rsidRPr="00951678">
        <w:rPr>
          <w:rFonts w:ascii="Calibri" w:hAnsi="Calibri" w:cs="Calibri"/>
          <w:i/>
          <w:iCs/>
          <w:szCs w:val="24"/>
        </w:rPr>
        <w:t>Philosophy of Medicine</w:t>
      </w:r>
      <w:r w:rsidRPr="00951678">
        <w:rPr>
          <w:rFonts w:ascii="Calibri" w:hAnsi="Calibri" w:cs="Calibri"/>
          <w:szCs w:val="24"/>
        </w:rPr>
        <w:t xml:space="preserve">, </w:t>
      </w:r>
      <w:r w:rsidRPr="00951678">
        <w:rPr>
          <w:rFonts w:ascii="Calibri" w:hAnsi="Calibri" w:cs="Calibri"/>
          <w:i/>
          <w:iCs/>
          <w:szCs w:val="24"/>
        </w:rPr>
        <w:t>Philosophical Psychology</w:t>
      </w:r>
      <w:r w:rsidRPr="00951678">
        <w:rPr>
          <w:rFonts w:ascii="Calibri" w:hAnsi="Calibri" w:cs="Calibri"/>
          <w:szCs w:val="24"/>
        </w:rPr>
        <w:t xml:space="preserve">, and </w:t>
      </w:r>
      <w:r w:rsidRPr="00951678">
        <w:rPr>
          <w:rFonts w:ascii="Calibri" w:hAnsi="Calibri" w:cs="Calibri"/>
          <w:i/>
          <w:iCs/>
          <w:szCs w:val="24"/>
        </w:rPr>
        <w:t>World Psychiatry</w:t>
      </w:r>
      <w:r w:rsidRPr="00951678">
        <w:rPr>
          <w:rFonts w:ascii="Calibri" w:hAnsi="Calibri" w:cs="Calibri"/>
          <w:szCs w:val="24"/>
        </w:rPr>
        <w:t>.</w:t>
      </w:r>
      <w:r w:rsidRPr="00951678">
        <w:rPr>
          <w:rFonts w:ascii="Calibri" w:hAnsi="Calibri" w:cs="Calibri"/>
          <w:szCs w:val="24"/>
        </w:rPr>
        <w:br/>
        <w:t xml:space="preserve">- Further developing an engaged and inclusive community of scholars, professionals, and stakeholders. </w:t>
      </w:r>
      <w:proofErr w:type="gramStart"/>
      <w:r w:rsidRPr="00951678">
        <w:rPr>
          <w:rFonts w:ascii="Calibri" w:hAnsi="Calibri" w:cs="Calibri"/>
          <w:szCs w:val="24"/>
        </w:rPr>
        <w:t>In particular, nourishing</w:t>
      </w:r>
      <w:proofErr w:type="gramEnd"/>
      <w:r w:rsidRPr="00951678">
        <w:rPr>
          <w:rFonts w:ascii="Calibri" w:hAnsi="Calibri" w:cs="Calibri"/>
          <w:szCs w:val="24"/>
        </w:rPr>
        <w:t xml:space="preserve"> relationships with the Patient Association, the CQC, the WHO, and international researchers. </w:t>
      </w:r>
      <w:r w:rsidRPr="00951678">
        <w:rPr>
          <w:rFonts w:ascii="Calibri" w:hAnsi="Calibri" w:cs="Calibri"/>
          <w:szCs w:val="24"/>
        </w:rPr>
        <w:br/>
        <w:t xml:space="preserve">- Increasing our reach via a strong online presence to share research and resources widely. The </w:t>
      </w:r>
      <w:hyperlink r:id="rId13">
        <w:r w:rsidRPr="00951678">
          <w:rPr>
            <w:rStyle w:val="Hyperlink"/>
            <w:rFonts w:ascii="Calibri" w:hAnsi="Calibri" w:cs="Calibri"/>
            <w:szCs w:val="24"/>
          </w:rPr>
          <w:t>EPIC blog</w:t>
        </w:r>
      </w:hyperlink>
      <w:r w:rsidRPr="00951678">
        <w:rPr>
          <w:rFonts w:ascii="Calibri" w:hAnsi="Calibri" w:cs="Calibri"/>
          <w:szCs w:val="24"/>
        </w:rPr>
        <w:t xml:space="preserve"> has had over 90,000 unique views and the </w:t>
      </w:r>
      <w:hyperlink r:id="rId14">
        <w:r w:rsidRPr="00951678">
          <w:rPr>
            <w:rStyle w:val="Hyperlink"/>
            <w:rFonts w:ascii="Calibri" w:hAnsi="Calibri" w:cs="Calibri"/>
            <w:szCs w:val="24"/>
          </w:rPr>
          <w:t>website</w:t>
        </w:r>
      </w:hyperlink>
      <w:r w:rsidRPr="00951678">
        <w:rPr>
          <w:rFonts w:ascii="Calibri" w:hAnsi="Calibri" w:cs="Calibri"/>
          <w:szCs w:val="24"/>
        </w:rPr>
        <w:t xml:space="preserve"> holds a range of public engagement outputs including </w:t>
      </w:r>
      <w:hyperlink r:id="rId15" w:history="1">
        <w:r w:rsidRPr="00951678">
          <w:rPr>
            <w:rStyle w:val="Hyperlink"/>
            <w:rFonts w:ascii="Calibri" w:hAnsi="Calibri" w:cs="Calibri"/>
            <w:szCs w:val="24"/>
          </w:rPr>
          <w:t>animated explainers</w:t>
        </w:r>
      </w:hyperlink>
      <w:r w:rsidRPr="00951678">
        <w:rPr>
          <w:rFonts w:ascii="Calibri" w:hAnsi="Calibri" w:cs="Calibri"/>
          <w:szCs w:val="24"/>
        </w:rPr>
        <w:t xml:space="preserve"> produced with partners such as the Voice Collective.</w:t>
      </w:r>
    </w:p>
    <w:p w14:paraId="05DCBE5F" w14:textId="3E20489E" w:rsidR="00951678" w:rsidRPr="00951678" w:rsidRDefault="00951678" w:rsidP="00951678">
      <w:pPr>
        <w:spacing w:after="0" w:line="276" w:lineRule="auto"/>
        <w:rPr>
          <w:rFonts w:ascii="Calibri" w:hAnsi="Calibri" w:cs="Calibri"/>
          <w:szCs w:val="24"/>
        </w:rPr>
      </w:pPr>
      <w:r w:rsidRPr="00951678">
        <w:rPr>
          <w:rFonts w:ascii="Calibri" w:hAnsi="Calibri" w:cs="Calibri"/>
          <w:szCs w:val="24"/>
        </w:rPr>
        <w:t>Here are our central activities in more detail:</w:t>
      </w:r>
    </w:p>
    <w:p w14:paraId="007FF9AA" w14:textId="77777777" w:rsidR="00951678" w:rsidRPr="00951678" w:rsidRDefault="00951678" w:rsidP="00951678">
      <w:pPr>
        <w:pStyle w:val="Heading2"/>
        <w:rPr>
          <w:rFonts w:ascii="Calibri" w:hAnsi="Calibri" w:cs="Calibri"/>
          <w:b/>
          <w:bCs/>
          <w:sz w:val="24"/>
          <w:szCs w:val="24"/>
          <w:u w:val="single"/>
        </w:rPr>
      </w:pPr>
      <w:hyperlink r:id="rId16" w:history="1">
        <w:r w:rsidRPr="00951678">
          <w:rPr>
            <w:rStyle w:val="Hyperlink"/>
            <w:rFonts w:ascii="Calibri" w:hAnsi="Calibri" w:cs="Calibri"/>
            <w:b/>
            <w:bCs/>
            <w:sz w:val="24"/>
            <w:szCs w:val="24"/>
          </w:rPr>
          <w:t>Recent Publications</w:t>
        </w:r>
      </w:hyperlink>
    </w:p>
    <w:p w14:paraId="4899963F" w14:textId="09813661" w:rsidR="00951678" w:rsidRPr="00951678" w:rsidRDefault="00951678" w:rsidP="00951678">
      <w:pPr>
        <w:pStyle w:val="ListParagraph"/>
        <w:numPr>
          <w:ilvl w:val="0"/>
          <w:numId w:val="1"/>
        </w:numPr>
        <w:spacing w:line="276" w:lineRule="auto"/>
        <w:rPr>
          <w:rFonts w:ascii="Calibri" w:hAnsi="Calibri" w:cs="Calibri"/>
          <w:szCs w:val="24"/>
        </w:rPr>
      </w:pPr>
      <w:r w:rsidRPr="00951678">
        <w:rPr>
          <w:rFonts w:ascii="Calibri" w:hAnsi="Calibri" w:cs="Calibri"/>
          <w:szCs w:val="24"/>
        </w:rPr>
        <w:t xml:space="preserve">Bortolotti, Agential Epistemic Injustice in Clinical Interactions Is Bad for Medicine, </w:t>
      </w:r>
      <w:r w:rsidRPr="00951678">
        <w:rPr>
          <w:rFonts w:ascii="Calibri" w:hAnsi="Calibri" w:cs="Calibri"/>
          <w:i/>
          <w:iCs/>
          <w:szCs w:val="24"/>
        </w:rPr>
        <w:t>Philosophy of Medicine</w:t>
      </w:r>
      <w:r w:rsidRPr="00951678">
        <w:rPr>
          <w:rFonts w:ascii="Calibri" w:hAnsi="Calibri" w:cs="Calibri"/>
          <w:szCs w:val="24"/>
        </w:rPr>
        <w:t xml:space="preserve"> (2025).</w:t>
      </w:r>
    </w:p>
    <w:p w14:paraId="4725BE29" w14:textId="77777777" w:rsidR="00951678" w:rsidRPr="00951678" w:rsidRDefault="00951678" w:rsidP="00951678">
      <w:pPr>
        <w:pStyle w:val="ListParagraph"/>
        <w:numPr>
          <w:ilvl w:val="0"/>
          <w:numId w:val="1"/>
        </w:numPr>
        <w:spacing w:line="276" w:lineRule="auto"/>
        <w:rPr>
          <w:rFonts w:ascii="Calibri" w:hAnsi="Calibri" w:cs="Calibri"/>
          <w:szCs w:val="24"/>
        </w:rPr>
      </w:pPr>
      <w:r w:rsidRPr="00951678">
        <w:rPr>
          <w:rFonts w:ascii="Calibri" w:hAnsi="Calibri" w:cs="Calibri"/>
          <w:szCs w:val="24"/>
        </w:rPr>
        <w:t xml:space="preserve">Broome, Carel &amp; Kidd, Phenomenology, Delusions and Justice, </w:t>
      </w:r>
      <w:r w:rsidRPr="00951678">
        <w:rPr>
          <w:rFonts w:ascii="Calibri" w:hAnsi="Calibri" w:cs="Calibri"/>
          <w:i/>
          <w:iCs/>
          <w:szCs w:val="24"/>
        </w:rPr>
        <w:t>World Psychiatry</w:t>
      </w:r>
      <w:r w:rsidRPr="00951678">
        <w:rPr>
          <w:rFonts w:ascii="Calibri" w:hAnsi="Calibri" w:cs="Calibri"/>
          <w:szCs w:val="24"/>
        </w:rPr>
        <w:t xml:space="preserve"> (2024).</w:t>
      </w:r>
    </w:p>
    <w:p w14:paraId="0DFD16F2" w14:textId="77777777" w:rsidR="00951678" w:rsidRPr="00951678" w:rsidRDefault="00951678" w:rsidP="00951678">
      <w:pPr>
        <w:pStyle w:val="ListParagraph"/>
        <w:numPr>
          <w:ilvl w:val="0"/>
          <w:numId w:val="1"/>
        </w:numPr>
        <w:spacing w:line="276" w:lineRule="auto"/>
        <w:rPr>
          <w:rFonts w:ascii="Calibri" w:hAnsi="Calibri" w:cs="Calibri"/>
          <w:szCs w:val="24"/>
        </w:rPr>
      </w:pPr>
      <w:r w:rsidRPr="00951678">
        <w:rPr>
          <w:rFonts w:ascii="Calibri" w:hAnsi="Calibri" w:cs="Calibri"/>
          <w:szCs w:val="24"/>
        </w:rPr>
        <w:t xml:space="preserve">Carel, H., “A Taste of Your Own Medicine: The Experience of a Transplant,” </w:t>
      </w:r>
      <w:r w:rsidRPr="00951678">
        <w:rPr>
          <w:rFonts w:ascii="Calibri" w:hAnsi="Calibri" w:cs="Calibri"/>
          <w:i/>
          <w:iCs/>
          <w:szCs w:val="24"/>
        </w:rPr>
        <w:t>The Lancet</w:t>
      </w:r>
      <w:r w:rsidRPr="00951678">
        <w:rPr>
          <w:rFonts w:ascii="Calibri" w:hAnsi="Calibri" w:cs="Calibri"/>
          <w:szCs w:val="24"/>
        </w:rPr>
        <w:t xml:space="preserve"> (2025).</w:t>
      </w:r>
    </w:p>
    <w:p w14:paraId="4165F28B" w14:textId="77777777" w:rsidR="00951678" w:rsidRPr="00951678" w:rsidRDefault="00951678" w:rsidP="00951678">
      <w:pPr>
        <w:pStyle w:val="ListParagraph"/>
        <w:numPr>
          <w:ilvl w:val="0"/>
          <w:numId w:val="1"/>
        </w:numPr>
        <w:spacing w:line="276" w:lineRule="auto"/>
        <w:rPr>
          <w:rFonts w:ascii="Calibri" w:hAnsi="Calibri" w:cs="Calibri"/>
          <w:szCs w:val="24"/>
        </w:rPr>
      </w:pPr>
      <w:r w:rsidRPr="00951678">
        <w:rPr>
          <w:rFonts w:ascii="Calibri" w:hAnsi="Calibri" w:cs="Calibri"/>
          <w:szCs w:val="24"/>
        </w:rPr>
        <w:t xml:space="preserve">Degerman, Silence as Epistemic Agency in Mania, </w:t>
      </w:r>
      <w:r w:rsidRPr="00951678">
        <w:rPr>
          <w:rFonts w:ascii="Calibri" w:hAnsi="Calibri" w:cs="Calibri"/>
          <w:i/>
          <w:iCs/>
          <w:szCs w:val="24"/>
        </w:rPr>
        <w:t>Medicine, Health Care and Philosophy</w:t>
      </w:r>
      <w:r w:rsidRPr="00951678">
        <w:rPr>
          <w:rFonts w:ascii="Calibri" w:hAnsi="Calibri" w:cs="Calibri"/>
          <w:szCs w:val="24"/>
        </w:rPr>
        <w:t xml:space="preserve"> (2025).</w:t>
      </w:r>
    </w:p>
    <w:p w14:paraId="7F1693E9" w14:textId="77777777" w:rsidR="00951678" w:rsidRPr="00951678" w:rsidRDefault="00951678" w:rsidP="00951678">
      <w:pPr>
        <w:pStyle w:val="ListParagraph"/>
        <w:numPr>
          <w:ilvl w:val="0"/>
          <w:numId w:val="1"/>
        </w:numPr>
        <w:spacing w:line="276" w:lineRule="auto"/>
        <w:rPr>
          <w:rFonts w:ascii="Calibri" w:hAnsi="Calibri" w:cs="Calibri"/>
          <w:szCs w:val="24"/>
        </w:rPr>
      </w:pPr>
      <w:r w:rsidRPr="00951678">
        <w:rPr>
          <w:rFonts w:ascii="Calibri" w:hAnsi="Calibri" w:cs="Calibri"/>
          <w:szCs w:val="24"/>
        </w:rPr>
        <w:t xml:space="preserve">Russell, Prescriptive Selves and Self-Illness Ambiguity, </w:t>
      </w:r>
      <w:proofErr w:type="spellStart"/>
      <w:r w:rsidRPr="00951678">
        <w:rPr>
          <w:rFonts w:ascii="Calibri" w:hAnsi="Calibri" w:cs="Calibri"/>
          <w:i/>
          <w:iCs/>
          <w:szCs w:val="24"/>
        </w:rPr>
        <w:t>Synthese</w:t>
      </w:r>
      <w:proofErr w:type="spellEnd"/>
      <w:r w:rsidRPr="00951678">
        <w:rPr>
          <w:rFonts w:ascii="Calibri" w:hAnsi="Calibri" w:cs="Calibri"/>
          <w:szCs w:val="24"/>
        </w:rPr>
        <w:t xml:space="preserve"> (2025).</w:t>
      </w:r>
    </w:p>
    <w:p w14:paraId="420C0536" w14:textId="693685D8" w:rsidR="00951678" w:rsidRPr="00951678" w:rsidRDefault="00951678" w:rsidP="00951678">
      <w:pPr>
        <w:pStyle w:val="ListParagraph"/>
        <w:numPr>
          <w:ilvl w:val="0"/>
          <w:numId w:val="1"/>
        </w:numPr>
        <w:spacing w:line="276" w:lineRule="auto"/>
        <w:rPr>
          <w:rFonts w:ascii="Calibri" w:hAnsi="Calibri" w:cs="Calibri"/>
          <w:szCs w:val="24"/>
        </w:rPr>
      </w:pPr>
      <w:r w:rsidRPr="00951678">
        <w:rPr>
          <w:rFonts w:ascii="Calibri" w:hAnsi="Calibri" w:cs="Calibri"/>
          <w:szCs w:val="24"/>
        </w:rPr>
        <w:t xml:space="preserve">General readership outputs include articles in </w:t>
      </w:r>
      <w:r w:rsidRPr="00951678">
        <w:rPr>
          <w:rFonts w:ascii="Calibri" w:hAnsi="Calibri" w:cs="Calibri"/>
          <w:i/>
          <w:iCs/>
          <w:szCs w:val="24"/>
        </w:rPr>
        <w:t>Psychology Today</w:t>
      </w:r>
      <w:r w:rsidRPr="00951678">
        <w:rPr>
          <w:rFonts w:ascii="Calibri" w:hAnsi="Calibri" w:cs="Calibri"/>
          <w:szCs w:val="24"/>
        </w:rPr>
        <w:t xml:space="preserve">, </w:t>
      </w:r>
      <w:r w:rsidRPr="00951678">
        <w:rPr>
          <w:rFonts w:ascii="Calibri" w:hAnsi="Calibri" w:cs="Calibri"/>
          <w:i/>
          <w:iCs/>
          <w:szCs w:val="24"/>
        </w:rPr>
        <w:t>The Conversation</w:t>
      </w:r>
      <w:r w:rsidRPr="00951678">
        <w:rPr>
          <w:rFonts w:ascii="Calibri" w:hAnsi="Calibri" w:cs="Calibri"/>
          <w:szCs w:val="24"/>
        </w:rPr>
        <w:t xml:space="preserve">, and a range of blogs and </w:t>
      </w:r>
      <w:hyperlink r:id="rId17" w:history="1">
        <w:r w:rsidRPr="00951678">
          <w:rPr>
            <w:rStyle w:val="Hyperlink"/>
            <w:rFonts w:ascii="Calibri" w:hAnsi="Calibri" w:cs="Calibri"/>
            <w:szCs w:val="24"/>
          </w:rPr>
          <w:t>podcasts</w:t>
        </w:r>
      </w:hyperlink>
      <w:r w:rsidRPr="00951678">
        <w:rPr>
          <w:rFonts w:ascii="Calibri" w:hAnsi="Calibri" w:cs="Calibri"/>
          <w:szCs w:val="24"/>
        </w:rPr>
        <w:t xml:space="preserve">. </w:t>
      </w:r>
    </w:p>
    <w:p w14:paraId="148ADB99" w14:textId="77777777" w:rsidR="00951678" w:rsidRPr="00951678" w:rsidRDefault="00951678" w:rsidP="00951678">
      <w:pPr>
        <w:pStyle w:val="ListParagraph"/>
        <w:spacing w:line="276" w:lineRule="auto"/>
        <w:ind w:left="1080"/>
        <w:rPr>
          <w:rFonts w:ascii="Calibri" w:hAnsi="Calibri" w:cs="Calibri"/>
          <w:szCs w:val="24"/>
        </w:rPr>
      </w:pPr>
    </w:p>
    <w:p w14:paraId="4CEFC930" w14:textId="77777777" w:rsidR="00951678" w:rsidRPr="00951678" w:rsidRDefault="00951678" w:rsidP="00951678">
      <w:pPr>
        <w:spacing w:before="0" w:after="0"/>
        <w:rPr>
          <w:rStyle w:val="Hyperlink"/>
          <w:rFonts w:ascii="Calibri" w:hAnsi="Calibri" w:cs="Calibri"/>
          <w:szCs w:val="24"/>
        </w:rPr>
      </w:pPr>
      <w:r w:rsidRPr="00951678">
        <w:rPr>
          <w:rFonts w:ascii="Calibri" w:eastAsiaTheme="majorEastAsia" w:hAnsi="Calibri" w:cs="Calibri"/>
          <w:b/>
          <w:bCs/>
          <w:color w:val="17406D" w:themeColor="accent1"/>
          <w:szCs w:val="24"/>
        </w:rPr>
        <w:fldChar w:fldCharType="begin"/>
      </w:r>
      <w:r w:rsidRPr="00951678">
        <w:rPr>
          <w:rFonts w:ascii="Calibri" w:eastAsiaTheme="majorEastAsia" w:hAnsi="Calibri" w:cs="Calibri"/>
          <w:b/>
          <w:bCs/>
          <w:color w:val="17406D" w:themeColor="accent1"/>
          <w:szCs w:val="24"/>
        </w:rPr>
        <w:instrText>HYPERLINK "https://epistemicinjusticeinhealthcare.org/policy-documents"</w:instrText>
      </w:r>
      <w:r w:rsidRPr="00951678">
        <w:rPr>
          <w:rFonts w:ascii="Calibri" w:eastAsiaTheme="majorEastAsia" w:hAnsi="Calibri" w:cs="Calibri"/>
          <w:b/>
          <w:bCs/>
          <w:color w:val="17406D" w:themeColor="accent1"/>
          <w:szCs w:val="24"/>
        </w:rPr>
      </w:r>
      <w:r w:rsidRPr="00951678">
        <w:rPr>
          <w:rFonts w:ascii="Calibri" w:eastAsiaTheme="majorEastAsia" w:hAnsi="Calibri" w:cs="Calibri"/>
          <w:b/>
          <w:bCs/>
          <w:color w:val="17406D" w:themeColor="accent1"/>
          <w:szCs w:val="24"/>
        </w:rPr>
        <w:fldChar w:fldCharType="separate"/>
      </w:r>
      <w:r w:rsidRPr="00951678">
        <w:rPr>
          <w:rStyle w:val="Hyperlink"/>
          <w:rFonts w:ascii="Calibri" w:eastAsiaTheme="majorEastAsia" w:hAnsi="Calibri" w:cs="Calibri"/>
          <w:b/>
          <w:bCs/>
          <w:szCs w:val="24"/>
        </w:rPr>
        <w:t>Policy outputs</w:t>
      </w:r>
    </w:p>
    <w:p w14:paraId="26060E08" w14:textId="77777777" w:rsidR="00951678" w:rsidRPr="00951678" w:rsidRDefault="00951678" w:rsidP="00951678">
      <w:pPr>
        <w:spacing w:before="0" w:after="0" w:line="276" w:lineRule="auto"/>
        <w:rPr>
          <w:rFonts w:ascii="Calibri" w:hAnsi="Calibri" w:cs="Calibri"/>
          <w:szCs w:val="24"/>
        </w:rPr>
      </w:pPr>
      <w:r w:rsidRPr="00951678">
        <w:rPr>
          <w:rFonts w:ascii="Calibri" w:eastAsiaTheme="majorEastAsia" w:hAnsi="Calibri" w:cs="Calibri"/>
          <w:b/>
          <w:bCs/>
          <w:color w:val="17406D" w:themeColor="accent1"/>
          <w:szCs w:val="24"/>
        </w:rPr>
        <w:fldChar w:fldCharType="end"/>
      </w:r>
      <w:r w:rsidRPr="00951678">
        <w:rPr>
          <w:rFonts w:ascii="Calibri" w:hAnsi="Calibri" w:cs="Calibri"/>
          <w:szCs w:val="24"/>
        </w:rPr>
        <w:t xml:space="preserve">- Policy Briefing 171 ‘Raise Awareness of Epistemic Injustice to Improve Healthcare in England’ (Mar 2025) </w:t>
      </w:r>
    </w:p>
    <w:p w14:paraId="51550958"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xml:space="preserve">- Written evidence to the Community Mental Health Services Inquiry (Feb 2025). </w:t>
      </w:r>
    </w:p>
    <w:p w14:paraId="2C969EE8" w14:textId="6230D0C4"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‘The Epistemic Determinants of Health’ for the WHO’s regional office for Europe’s behavioural and cultural insights hub (October 2025).</w:t>
      </w:r>
    </w:p>
    <w:p w14:paraId="12819CDB" w14:textId="77777777" w:rsidR="00951678" w:rsidRPr="00951678" w:rsidRDefault="00951678" w:rsidP="00951678">
      <w:pPr>
        <w:rPr>
          <w:rFonts w:ascii="Calibri" w:hAnsi="Calibri" w:cs="Calibri"/>
          <w:szCs w:val="24"/>
        </w:rPr>
      </w:pPr>
    </w:p>
    <w:p w14:paraId="295AEC98" w14:textId="1A2E6699" w:rsidR="00951678" w:rsidRPr="00951678" w:rsidRDefault="00951678" w:rsidP="00951678">
      <w:pPr>
        <w:pStyle w:val="Heading2"/>
        <w:ind w:left="0"/>
        <w:rPr>
          <w:rFonts w:ascii="Calibri" w:hAnsi="Calibri" w:cs="Calibri"/>
          <w:b/>
          <w:bCs/>
          <w:sz w:val="24"/>
          <w:szCs w:val="24"/>
        </w:rPr>
      </w:pPr>
      <w:r w:rsidRPr="00951678">
        <w:rPr>
          <w:rFonts w:ascii="Calibri" w:hAnsi="Calibri" w:cs="Calibri"/>
          <w:b/>
          <w:bCs/>
          <w:sz w:val="24"/>
          <w:szCs w:val="24"/>
        </w:rPr>
        <w:t xml:space="preserve">           </w:t>
      </w:r>
      <w:r w:rsidRPr="00951678">
        <w:rPr>
          <w:rFonts w:ascii="Calibri" w:hAnsi="Calibri" w:cs="Calibri"/>
          <w:b/>
          <w:bCs/>
          <w:sz w:val="24"/>
          <w:szCs w:val="24"/>
        </w:rPr>
        <w:t>Fostering Collaborations</w:t>
      </w:r>
    </w:p>
    <w:p w14:paraId="6C18CA8B" w14:textId="7C501CE8" w:rsidR="00951678" w:rsidRPr="00951678" w:rsidRDefault="00951678" w:rsidP="00951678">
      <w:pPr>
        <w:spacing w:before="0" w:after="0"/>
        <w:rPr>
          <w:rFonts w:ascii="Calibri" w:hAnsi="Calibri" w:cs="Calibri"/>
          <w:szCs w:val="24"/>
        </w:rPr>
      </w:pPr>
      <w:r w:rsidRPr="00951678">
        <w:rPr>
          <w:rFonts w:ascii="Calibri" w:hAnsi="Calibri" w:cs="Calibri"/>
          <w:szCs w:val="24"/>
        </w:rPr>
        <w:t xml:space="preserve">- International Partnerships: Work with the Universities of Ferrara and Bologna has expanded during work on the case studies; Bristol hosted visiting researcher Elisabeth Langmann; Michael Bresalier undertook a research visit to Canada; and members of the team delivered talks across Europe, Japan, and the US. </w:t>
      </w:r>
    </w:p>
    <w:p w14:paraId="4215BACA" w14:textId="77777777" w:rsidR="00951678" w:rsidRPr="00951678" w:rsidRDefault="00951678" w:rsidP="00951678">
      <w:pPr>
        <w:spacing w:before="0" w:after="0"/>
        <w:rPr>
          <w:rFonts w:ascii="Calibri" w:hAnsi="Calibri" w:cs="Calibri"/>
          <w:szCs w:val="24"/>
        </w:rPr>
      </w:pPr>
    </w:p>
    <w:p w14:paraId="1635ECCD" w14:textId="77777777" w:rsidR="00951678" w:rsidRPr="00951678" w:rsidRDefault="00951678" w:rsidP="00951678">
      <w:pPr>
        <w:spacing w:before="0" w:after="0"/>
        <w:rPr>
          <w:rFonts w:ascii="Calibri" w:hAnsi="Calibri" w:cs="Calibri"/>
          <w:szCs w:val="24"/>
        </w:rPr>
      </w:pPr>
    </w:p>
    <w:p w14:paraId="0E1F288A" w14:textId="77777777" w:rsidR="00951678" w:rsidRPr="00951678" w:rsidRDefault="00951678" w:rsidP="00951678">
      <w:pPr>
        <w:pStyle w:val="Heading2"/>
        <w:spacing w:before="0"/>
        <w:rPr>
          <w:rFonts w:ascii="Calibri" w:hAnsi="Calibri" w:cs="Calibri"/>
          <w:b/>
          <w:bCs/>
          <w:sz w:val="24"/>
          <w:szCs w:val="24"/>
        </w:rPr>
      </w:pPr>
      <w:r w:rsidRPr="00951678">
        <w:rPr>
          <w:rFonts w:ascii="Calibri" w:hAnsi="Calibri" w:cs="Calibri"/>
          <w:b/>
          <w:bCs/>
          <w:sz w:val="24"/>
          <w:szCs w:val="24"/>
        </w:rPr>
        <w:t>Building Community</w:t>
      </w:r>
    </w:p>
    <w:p w14:paraId="5C62FB4A" w14:textId="77777777" w:rsidR="00951678" w:rsidRPr="00951678" w:rsidRDefault="00951678" w:rsidP="00951678">
      <w:pPr>
        <w:spacing w:before="0" w:after="0"/>
        <w:rPr>
          <w:rFonts w:ascii="Calibri" w:hAnsi="Calibri" w:cs="Calibri"/>
          <w:szCs w:val="24"/>
        </w:rPr>
      </w:pPr>
      <w:r w:rsidRPr="00951678">
        <w:rPr>
          <w:rFonts w:ascii="Calibri" w:hAnsi="Calibri" w:cs="Calibri"/>
          <w:szCs w:val="24"/>
        </w:rPr>
        <w:t>Creating a thriving community has been central to EPIC’s success.</w:t>
      </w:r>
    </w:p>
    <w:p w14:paraId="5C4F38D2" w14:textId="77777777" w:rsidR="00951678" w:rsidRPr="00951678" w:rsidRDefault="00951678" w:rsidP="00951678">
      <w:pPr>
        <w:spacing w:before="0" w:after="0"/>
        <w:rPr>
          <w:rFonts w:ascii="Calibri" w:hAnsi="Calibri" w:cs="Calibri"/>
          <w:szCs w:val="24"/>
        </w:rPr>
      </w:pPr>
      <w:r w:rsidRPr="00951678">
        <w:rPr>
          <w:rFonts w:ascii="Calibri" w:hAnsi="Calibri" w:cs="Calibri"/>
          <w:szCs w:val="24"/>
        </w:rPr>
        <w:t xml:space="preserve">- </w:t>
      </w:r>
      <w:hyperlink r:id="rId18">
        <w:r w:rsidRPr="00951678">
          <w:rPr>
            <w:rStyle w:val="Hyperlink"/>
            <w:rFonts w:ascii="Calibri" w:hAnsi="Calibri" w:cs="Calibri"/>
            <w:szCs w:val="24"/>
          </w:rPr>
          <w:t>Seminar Series</w:t>
        </w:r>
      </w:hyperlink>
      <w:r w:rsidRPr="00951678">
        <w:rPr>
          <w:rFonts w:ascii="Calibri" w:hAnsi="Calibri" w:cs="Calibri"/>
          <w:szCs w:val="24"/>
        </w:rPr>
        <w:t>: EPIC’s monthly online seminars featured contributions from leading external scholars.</w:t>
      </w:r>
    </w:p>
    <w:p w14:paraId="6643C28D" w14:textId="77777777" w:rsidR="00951678" w:rsidRPr="00951678" w:rsidRDefault="00951678" w:rsidP="00951678">
      <w:pPr>
        <w:spacing w:before="0" w:after="0"/>
        <w:rPr>
          <w:rFonts w:ascii="Calibri" w:hAnsi="Calibri" w:cs="Calibri"/>
          <w:szCs w:val="24"/>
        </w:rPr>
      </w:pPr>
      <w:r w:rsidRPr="00951678">
        <w:rPr>
          <w:rFonts w:ascii="Calibri" w:hAnsi="Calibri" w:cs="Calibri"/>
          <w:szCs w:val="24"/>
        </w:rPr>
        <w:t>- Online Engagement: New website sections, regular blog posts, and newsletters expanded our reach; website traffic and blog readership have continued to grow.</w:t>
      </w:r>
    </w:p>
    <w:p w14:paraId="508B9B80" w14:textId="77777777" w:rsidR="00951678" w:rsidRPr="00951678" w:rsidRDefault="00951678" w:rsidP="00951678">
      <w:pPr>
        <w:spacing w:before="0" w:after="0"/>
        <w:rPr>
          <w:rFonts w:ascii="Calibri" w:hAnsi="Calibri" w:cs="Calibri"/>
          <w:szCs w:val="24"/>
        </w:rPr>
      </w:pPr>
      <w:r w:rsidRPr="00951678">
        <w:rPr>
          <w:rFonts w:ascii="Calibri" w:hAnsi="Calibri" w:cs="Calibri"/>
          <w:szCs w:val="24"/>
        </w:rPr>
        <w:t xml:space="preserve">- </w:t>
      </w:r>
      <w:hyperlink r:id="rId19">
        <w:r w:rsidRPr="00951678">
          <w:rPr>
            <w:rStyle w:val="Hyperlink"/>
            <w:rFonts w:ascii="Calibri" w:hAnsi="Calibri" w:cs="Calibri"/>
            <w:szCs w:val="24"/>
          </w:rPr>
          <w:t>Videos</w:t>
        </w:r>
      </w:hyperlink>
      <w:r w:rsidRPr="00951678">
        <w:rPr>
          <w:rFonts w:ascii="Calibri" w:hAnsi="Calibri" w:cs="Calibri"/>
          <w:szCs w:val="24"/>
        </w:rPr>
        <w:t xml:space="preserve">: Accessible resources included Unusual Experiences and Beliefs (Webinar, 2025), and animated explainers such as </w:t>
      </w:r>
      <w:r w:rsidRPr="00951678">
        <w:rPr>
          <w:rFonts w:ascii="Calibri" w:hAnsi="Calibri" w:cs="Calibri"/>
          <w:i/>
          <w:iCs/>
          <w:szCs w:val="24"/>
        </w:rPr>
        <w:t xml:space="preserve">The Fawn and the Mountain Lion </w:t>
      </w:r>
      <w:r w:rsidRPr="00951678">
        <w:rPr>
          <w:rFonts w:ascii="Calibri" w:hAnsi="Calibri" w:cs="Calibri"/>
          <w:szCs w:val="24"/>
        </w:rPr>
        <w:t xml:space="preserve">and </w:t>
      </w:r>
      <w:r w:rsidRPr="00951678">
        <w:rPr>
          <w:rFonts w:ascii="Calibri" w:hAnsi="Calibri" w:cs="Calibri"/>
          <w:i/>
          <w:iCs/>
          <w:szCs w:val="24"/>
        </w:rPr>
        <w:t>The Wolf, the Snake and the Butterfly</w:t>
      </w:r>
      <w:r w:rsidRPr="00951678">
        <w:rPr>
          <w:rFonts w:ascii="Calibri" w:hAnsi="Calibri" w:cs="Calibri"/>
          <w:szCs w:val="24"/>
        </w:rPr>
        <w:t>.</w:t>
      </w:r>
    </w:p>
    <w:p w14:paraId="16D95625" w14:textId="77777777" w:rsidR="00951678" w:rsidRPr="00951678" w:rsidRDefault="00951678" w:rsidP="00951678">
      <w:pPr>
        <w:spacing w:before="0" w:after="0"/>
        <w:rPr>
          <w:rFonts w:ascii="Calibri" w:hAnsi="Calibri" w:cs="Calibri"/>
          <w:szCs w:val="24"/>
        </w:rPr>
      </w:pPr>
      <w:r w:rsidRPr="00951678">
        <w:rPr>
          <w:rFonts w:ascii="Calibri" w:hAnsi="Calibri" w:cs="Calibri"/>
          <w:szCs w:val="24"/>
        </w:rPr>
        <w:t xml:space="preserve">- </w:t>
      </w:r>
      <w:hyperlink r:id="rId20" w:history="1">
        <w:r w:rsidRPr="00951678">
          <w:rPr>
            <w:rStyle w:val="Hyperlink"/>
            <w:rFonts w:ascii="Calibri" w:hAnsi="Calibri" w:cs="Calibri"/>
            <w:szCs w:val="24"/>
          </w:rPr>
          <w:t>Social Media Presence</w:t>
        </w:r>
      </w:hyperlink>
      <w:r w:rsidRPr="00951678">
        <w:rPr>
          <w:rFonts w:ascii="Calibri" w:hAnsi="Calibri" w:cs="Calibri"/>
          <w:b/>
          <w:bCs/>
          <w:szCs w:val="24"/>
        </w:rPr>
        <w:t>:</w:t>
      </w:r>
      <w:r w:rsidRPr="00951678">
        <w:rPr>
          <w:rFonts w:ascii="Calibri" w:hAnsi="Calibri" w:cs="Calibri"/>
          <w:szCs w:val="24"/>
        </w:rPr>
        <w:t xml:space="preserve"> Active campaigns included World Mental Health Day and Women in Philosophy. An </w:t>
      </w:r>
      <w:hyperlink r:id="rId21" w:history="1">
        <w:r w:rsidRPr="00951678">
          <w:rPr>
            <w:rStyle w:val="Hyperlink"/>
            <w:rFonts w:ascii="Calibri" w:hAnsi="Calibri" w:cs="Calibri"/>
            <w:szCs w:val="24"/>
          </w:rPr>
          <w:t>International Women’s Day blog</w:t>
        </w:r>
      </w:hyperlink>
      <w:r w:rsidRPr="00951678">
        <w:rPr>
          <w:rFonts w:ascii="Calibri" w:hAnsi="Calibri" w:cs="Calibri"/>
          <w:szCs w:val="24"/>
        </w:rPr>
        <w:t xml:space="preserve"> featured reflections from EPIC’s women members on credibility deficits and their contributions, while the Women in Philosophy post showed how women’s perspectives challenge stereotypes and expand the discipline’s scope.</w:t>
      </w:r>
    </w:p>
    <w:p w14:paraId="2ACA7859" w14:textId="77777777" w:rsidR="00951678" w:rsidRPr="00951678" w:rsidRDefault="00951678" w:rsidP="00951678">
      <w:pPr>
        <w:pStyle w:val="Heading2"/>
        <w:spacing w:before="0"/>
        <w:rPr>
          <w:rFonts w:ascii="Calibri" w:hAnsi="Calibri" w:cs="Calibri"/>
          <w:b/>
          <w:bCs/>
          <w:sz w:val="24"/>
          <w:szCs w:val="24"/>
        </w:rPr>
      </w:pPr>
    </w:p>
    <w:p w14:paraId="2D7143CB" w14:textId="77777777" w:rsidR="00951678" w:rsidRPr="00951678" w:rsidRDefault="00951678" w:rsidP="00951678">
      <w:pPr>
        <w:spacing w:before="0" w:after="0"/>
        <w:rPr>
          <w:rFonts w:ascii="Calibri" w:hAnsi="Calibri" w:cs="Calibri"/>
          <w:szCs w:val="24"/>
        </w:rPr>
      </w:pPr>
    </w:p>
    <w:p w14:paraId="3477BCEF" w14:textId="77777777" w:rsidR="00951678" w:rsidRPr="00951678" w:rsidRDefault="00951678" w:rsidP="00951678">
      <w:pPr>
        <w:pStyle w:val="Heading2"/>
        <w:spacing w:before="0"/>
        <w:rPr>
          <w:rFonts w:ascii="Calibri" w:hAnsi="Calibri" w:cs="Calibri"/>
          <w:b/>
          <w:bCs/>
          <w:sz w:val="24"/>
          <w:szCs w:val="24"/>
        </w:rPr>
      </w:pPr>
      <w:r w:rsidRPr="00951678">
        <w:rPr>
          <w:rFonts w:ascii="Calibri" w:hAnsi="Calibri" w:cs="Calibri"/>
          <w:b/>
          <w:bCs/>
          <w:sz w:val="24"/>
          <w:szCs w:val="24"/>
        </w:rPr>
        <w:t>Academic Presentations and Outreach</w:t>
      </w:r>
    </w:p>
    <w:p w14:paraId="7097E50D"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EPIC members have presented their work internationally at major conferences and invited lectures. Highlights include:</w:t>
      </w:r>
    </w:p>
    <w:p w14:paraId="0E3B27D3"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Lisa Bortolotti: Keynotes at Agency, Mental Health and Responsibility (Uppsala, Jan 2025) and Mind and Cognition (Milan, Mar 2025).</w:t>
      </w:r>
    </w:p>
    <w:p w14:paraId="0E73861F"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lastRenderedPageBreak/>
        <w:t>- Havi Carel: keynotes at Transatlantic Ethics Workshop (Montreal, May 2025), Royal College of Physicians of Edinburgh (Edinburgh, Jan 2025), Merleau-Ponty Circle (Maine, Sep 2025).</w:t>
      </w:r>
    </w:p>
    <w:p w14:paraId="00ED1D25"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Sheelagh McGuinness: Law’s Role in Shaping and Responding to Disability and Motherhood (Reading, Mar 2025).</w:t>
      </w:r>
    </w:p>
    <w:p w14:paraId="2383CBAA"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Fred Cooper: Shame, Loneliness, and Epistemic Injustice (Shame and Medicine Seminar, Exeter Nov 2024).</w:t>
      </w:r>
    </w:p>
    <w:p w14:paraId="12290D95"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Ian James Kidd: Workshops on medical silencing (Ghent, Jun 2025) and experiential knowledge in mental health care (Radboud, Jun 2025).</w:t>
      </w:r>
    </w:p>
    <w:p w14:paraId="4BFABD6B"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Ellie Byrne &amp; Alice Monypenny: Decolonisation, Reflexivity &amp; Epistemic Injustice in Mental Health &amp; Therapeutic Arts (Derby, Jun 2025).</w:t>
      </w:r>
    </w:p>
    <w:p w14:paraId="09DCA130" w14:textId="5F5CB55D" w:rsidR="00951678" w:rsidRDefault="00951678" w:rsidP="000A41A0">
      <w:pPr>
        <w:spacing w:before="0" w:after="0"/>
        <w:rPr>
          <w:rFonts w:ascii="Calibri" w:hAnsi="Calibri" w:cs="Calibri"/>
          <w:szCs w:val="24"/>
        </w:rPr>
      </w:pPr>
      <w:r w:rsidRPr="00951678">
        <w:rPr>
          <w:rFonts w:ascii="Calibri" w:hAnsi="Calibri" w:cs="Calibri"/>
          <w:szCs w:val="24"/>
        </w:rPr>
        <w:t xml:space="preserve">Outreach included workshops with the </w:t>
      </w:r>
      <w:r w:rsidRPr="00951678">
        <w:rPr>
          <w:rFonts w:ascii="Calibri" w:hAnsi="Calibri" w:cs="Calibri"/>
          <w:i/>
          <w:iCs/>
          <w:szCs w:val="24"/>
        </w:rPr>
        <w:t>Voice Collective</w:t>
      </w:r>
      <w:r w:rsidRPr="00951678">
        <w:rPr>
          <w:rFonts w:ascii="Calibri" w:hAnsi="Calibri" w:cs="Calibri"/>
          <w:szCs w:val="24"/>
        </w:rPr>
        <w:t>, co-produced resources, and collaboration with the Patients Association and the WHO Behavioural and Cultural Insights Hub.</w:t>
      </w:r>
    </w:p>
    <w:p w14:paraId="7A5E7AF1" w14:textId="77777777" w:rsidR="000A41A0" w:rsidRDefault="000A41A0" w:rsidP="000A41A0">
      <w:pPr>
        <w:spacing w:before="0" w:after="0"/>
        <w:rPr>
          <w:rFonts w:ascii="Calibri" w:hAnsi="Calibri" w:cs="Calibri"/>
          <w:szCs w:val="24"/>
        </w:rPr>
      </w:pPr>
    </w:p>
    <w:p w14:paraId="20F68C35" w14:textId="77777777" w:rsidR="000A41A0" w:rsidRPr="00951678" w:rsidRDefault="000A41A0" w:rsidP="000A41A0">
      <w:pPr>
        <w:spacing w:before="0" w:after="0"/>
        <w:rPr>
          <w:rFonts w:ascii="Calibri" w:hAnsi="Calibri" w:cs="Calibri"/>
          <w:szCs w:val="24"/>
        </w:rPr>
      </w:pPr>
    </w:p>
    <w:p w14:paraId="70205639" w14:textId="77777777" w:rsidR="00951678" w:rsidRPr="00951678" w:rsidRDefault="00951678" w:rsidP="000A41A0">
      <w:pPr>
        <w:pStyle w:val="Heading2"/>
        <w:spacing w:before="0"/>
        <w:rPr>
          <w:rFonts w:ascii="Calibri" w:hAnsi="Calibri" w:cs="Calibri"/>
          <w:b/>
          <w:bCs/>
          <w:sz w:val="24"/>
          <w:szCs w:val="24"/>
        </w:rPr>
      </w:pPr>
      <w:r w:rsidRPr="00951678">
        <w:rPr>
          <w:rFonts w:ascii="Calibri" w:hAnsi="Calibri" w:cs="Calibri"/>
          <w:b/>
          <w:bCs/>
          <w:sz w:val="24"/>
          <w:szCs w:val="24"/>
        </w:rPr>
        <w:t>EPIC Events</w:t>
      </w:r>
    </w:p>
    <w:p w14:paraId="2398B3DB" w14:textId="77777777" w:rsidR="00951678" w:rsidRPr="00951678" w:rsidRDefault="00951678" w:rsidP="000A41A0">
      <w:pPr>
        <w:spacing w:before="0" w:after="0" w:line="276" w:lineRule="auto"/>
        <w:rPr>
          <w:rFonts w:ascii="Calibri" w:hAnsi="Calibri" w:cs="Calibri"/>
          <w:szCs w:val="24"/>
        </w:rPr>
      </w:pPr>
      <w:r w:rsidRPr="00951678">
        <w:rPr>
          <w:rFonts w:ascii="Calibri" w:hAnsi="Calibri" w:cs="Calibri"/>
          <w:szCs w:val="24"/>
        </w:rPr>
        <w:t xml:space="preserve">EPIC’s second year featured several </w:t>
      </w:r>
      <w:hyperlink r:id="rId22" w:history="1">
        <w:r w:rsidRPr="00951678">
          <w:rPr>
            <w:rStyle w:val="Hyperlink"/>
            <w:rFonts w:ascii="Calibri" w:hAnsi="Calibri" w:cs="Calibri"/>
            <w:szCs w:val="24"/>
          </w:rPr>
          <w:t>events</w:t>
        </w:r>
      </w:hyperlink>
      <w:r w:rsidRPr="00951678">
        <w:rPr>
          <w:rFonts w:ascii="Calibri" w:hAnsi="Calibri" w:cs="Calibri"/>
          <w:szCs w:val="24"/>
        </w:rPr>
        <w:t>:</w:t>
      </w:r>
    </w:p>
    <w:p w14:paraId="3438A8CF" w14:textId="77777777" w:rsidR="00951678" w:rsidRPr="00951678" w:rsidRDefault="00951678" w:rsidP="000A41A0">
      <w:pPr>
        <w:spacing w:before="0" w:after="0" w:line="276" w:lineRule="auto"/>
        <w:rPr>
          <w:rFonts w:ascii="Calibri" w:hAnsi="Calibri" w:cs="Calibri"/>
          <w:szCs w:val="24"/>
        </w:rPr>
      </w:pPr>
      <w:r w:rsidRPr="00951678">
        <w:rPr>
          <w:rFonts w:ascii="Calibri" w:hAnsi="Calibri" w:cs="Calibri"/>
          <w:szCs w:val="24"/>
        </w:rPr>
        <w:t>- Understanding Oneself Through Others: EI in Healthcare × Distributed Cognition (Birmingham, Sept 2024).</w:t>
      </w:r>
    </w:p>
    <w:p w14:paraId="7CB0D547"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Philosophy and Mental Health Webinar (Mar 2025).</w:t>
      </w:r>
    </w:p>
    <w:p w14:paraId="26F2FAF5"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Mental Health, Methodology and Hermeneutical Injustice Seminar (Nottingham, Apr 2025).</w:t>
      </w:r>
    </w:p>
    <w:p w14:paraId="52924DB6" w14:textId="77777777" w:rsidR="00951678" w:rsidRPr="00951678" w:rsidRDefault="00951678" w:rsidP="000A41A0">
      <w:pPr>
        <w:spacing w:before="0" w:after="0" w:line="276" w:lineRule="auto"/>
        <w:rPr>
          <w:rFonts w:ascii="Calibri" w:hAnsi="Calibri" w:cs="Calibri"/>
          <w:szCs w:val="24"/>
        </w:rPr>
      </w:pPr>
      <w:r w:rsidRPr="00951678">
        <w:rPr>
          <w:rFonts w:ascii="Calibri" w:hAnsi="Calibri" w:cs="Calibri"/>
          <w:szCs w:val="24"/>
        </w:rPr>
        <w:t>- Early Career Women in Philosophy on Epistemic Injustice Symposium (Birmingham, Jul 2025).</w:t>
      </w:r>
    </w:p>
    <w:p w14:paraId="51BC2E9C" w14:textId="77777777" w:rsidR="00951678" w:rsidRDefault="00951678" w:rsidP="000A41A0">
      <w:pPr>
        <w:spacing w:before="0" w:after="0"/>
        <w:rPr>
          <w:rFonts w:ascii="Calibri" w:hAnsi="Calibri" w:cs="Calibri"/>
          <w:szCs w:val="24"/>
        </w:rPr>
      </w:pPr>
    </w:p>
    <w:p w14:paraId="56F54CCD" w14:textId="77777777" w:rsidR="000A41A0" w:rsidRPr="00951678" w:rsidRDefault="000A41A0" w:rsidP="000A41A0">
      <w:pPr>
        <w:spacing w:before="0" w:after="0"/>
        <w:rPr>
          <w:rFonts w:ascii="Calibri" w:hAnsi="Calibri" w:cs="Calibri"/>
          <w:szCs w:val="24"/>
        </w:rPr>
      </w:pPr>
    </w:p>
    <w:p w14:paraId="3B54FB4D" w14:textId="77777777" w:rsidR="00951678" w:rsidRPr="00951678" w:rsidRDefault="00951678" w:rsidP="000A41A0">
      <w:pPr>
        <w:pStyle w:val="Heading2"/>
        <w:spacing w:before="0"/>
        <w:rPr>
          <w:rFonts w:ascii="Calibri" w:hAnsi="Calibri" w:cs="Calibri"/>
          <w:b/>
          <w:bCs/>
          <w:sz w:val="24"/>
          <w:szCs w:val="24"/>
        </w:rPr>
      </w:pPr>
      <w:r w:rsidRPr="00951678">
        <w:rPr>
          <w:rFonts w:ascii="Calibri" w:hAnsi="Calibri" w:cs="Calibri"/>
          <w:b/>
          <w:bCs/>
          <w:sz w:val="24"/>
          <w:szCs w:val="24"/>
        </w:rPr>
        <w:t>Looking Ahead</w:t>
      </w:r>
    </w:p>
    <w:p w14:paraId="463990A4" w14:textId="77777777" w:rsidR="00951678" w:rsidRPr="00951678" w:rsidRDefault="00951678" w:rsidP="000A41A0">
      <w:pPr>
        <w:spacing w:before="0" w:after="0" w:line="276" w:lineRule="auto"/>
        <w:rPr>
          <w:rFonts w:ascii="Calibri" w:hAnsi="Calibri" w:cs="Calibri"/>
          <w:szCs w:val="24"/>
        </w:rPr>
      </w:pPr>
      <w:r w:rsidRPr="00951678">
        <w:rPr>
          <w:rFonts w:ascii="Calibri" w:hAnsi="Calibri" w:cs="Calibri"/>
          <w:szCs w:val="24"/>
        </w:rPr>
        <w:t>Looking ahead to 2025/26, we are excited to:</w:t>
      </w:r>
    </w:p>
    <w:p w14:paraId="296EAAFD"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xml:space="preserve">- Hold the </w:t>
      </w:r>
      <w:hyperlink r:id="rId23" w:history="1">
        <w:r w:rsidRPr="00951678">
          <w:rPr>
            <w:rStyle w:val="Hyperlink"/>
            <w:rFonts w:ascii="Calibri" w:hAnsi="Calibri" w:cs="Calibri"/>
            <w:szCs w:val="24"/>
          </w:rPr>
          <w:t>EPIC Summer School</w:t>
        </w:r>
      </w:hyperlink>
      <w:r w:rsidRPr="00951678">
        <w:rPr>
          <w:rFonts w:ascii="Calibri" w:hAnsi="Calibri" w:cs="Calibri"/>
          <w:szCs w:val="24"/>
        </w:rPr>
        <w:t xml:space="preserve"> for early-career researchers and practitioners.</w:t>
      </w:r>
    </w:p>
    <w:p w14:paraId="15A2635C"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xml:space="preserve">- Host events such as the </w:t>
      </w:r>
      <w:hyperlink r:id="rId24">
        <w:r w:rsidRPr="00951678">
          <w:rPr>
            <w:rStyle w:val="Hyperlink"/>
            <w:rFonts w:ascii="Calibri" w:hAnsi="Calibri" w:cs="Calibri"/>
            <w:szCs w:val="24"/>
          </w:rPr>
          <w:t>Likeability Conference</w:t>
        </w:r>
      </w:hyperlink>
      <w:r w:rsidRPr="00951678">
        <w:rPr>
          <w:rFonts w:ascii="Calibri" w:hAnsi="Calibri" w:cs="Calibri"/>
          <w:szCs w:val="24"/>
        </w:rPr>
        <w:t xml:space="preserve"> and a Silence event in collaboration with St George’s Bristol.</w:t>
      </w:r>
    </w:p>
    <w:p w14:paraId="11CA83C9" w14:textId="77777777" w:rsidR="00951678" w:rsidRPr="00951678" w:rsidRDefault="00951678" w:rsidP="00951678">
      <w:pPr>
        <w:spacing w:before="0" w:after="0" w:line="276" w:lineRule="auto"/>
        <w:rPr>
          <w:rFonts w:ascii="Calibri" w:hAnsi="Calibri" w:cs="Calibri"/>
          <w:szCs w:val="24"/>
        </w:rPr>
      </w:pPr>
      <w:r w:rsidRPr="00951678">
        <w:rPr>
          <w:rFonts w:ascii="Calibri" w:hAnsi="Calibri" w:cs="Calibri"/>
          <w:szCs w:val="24"/>
        </w:rPr>
        <w:t xml:space="preserve">- Welcome international visitors including Dr Anna Luise </w:t>
      </w:r>
      <w:proofErr w:type="spellStart"/>
      <w:r w:rsidRPr="00951678">
        <w:rPr>
          <w:rFonts w:ascii="Calibri" w:hAnsi="Calibri" w:cs="Calibri"/>
          <w:szCs w:val="24"/>
        </w:rPr>
        <w:t>Kirkengen</w:t>
      </w:r>
      <w:proofErr w:type="spellEnd"/>
      <w:r w:rsidRPr="00951678">
        <w:rPr>
          <w:rFonts w:ascii="Calibri" w:hAnsi="Calibri" w:cs="Calibri"/>
          <w:szCs w:val="24"/>
        </w:rPr>
        <w:t xml:space="preserve"> (June 2026) and Dr Rageshri Dhairyawan (Feb 2026).</w:t>
      </w:r>
    </w:p>
    <w:p w14:paraId="49262E11" w14:textId="0AD9DDEE" w:rsidR="00A66B18" w:rsidRPr="00951678" w:rsidRDefault="00A66B18" w:rsidP="00A6783B">
      <w:pPr>
        <w:pStyle w:val="Signature"/>
        <w:rPr>
          <w:rFonts w:ascii="Calibri" w:hAnsi="Calibri" w:cs="Calibri"/>
          <w:color w:val="000000" w:themeColor="text1"/>
          <w:szCs w:val="24"/>
        </w:rPr>
      </w:pPr>
    </w:p>
    <w:sectPr w:rsidR="00A66B18" w:rsidRPr="00951678" w:rsidSect="002229F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E9BA" w14:textId="77777777" w:rsidR="00951678" w:rsidRDefault="00951678" w:rsidP="00A66B18">
      <w:pPr>
        <w:spacing w:before="0" w:after="0"/>
      </w:pPr>
      <w:r>
        <w:separator/>
      </w:r>
    </w:p>
  </w:endnote>
  <w:endnote w:type="continuationSeparator" w:id="0">
    <w:p w14:paraId="59FA4703" w14:textId="77777777" w:rsidR="00951678" w:rsidRDefault="00951678"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BA60" w14:textId="77777777" w:rsidR="00951678" w:rsidRDefault="00951678" w:rsidP="00A66B18">
      <w:pPr>
        <w:spacing w:before="0" w:after="0"/>
      </w:pPr>
      <w:r>
        <w:separator/>
      </w:r>
    </w:p>
  </w:footnote>
  <w:footnote w:type="continuationSeparator" w:id="0">
    <w:p w14:paraId="64FF3659" w14:textId="77777777" w:rsidR="00951678" w:rsidRDefault="00951678"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F2374"/>
    <w:multiLevelType w:val="hybridMultilevel"/>
    <w:tmpl w:val="EB5CBA4E"/>
    <w:lvl w:ilvl="0" w:tplc="C0760786">
      <w:numFmt w:val="bullet"/>
      <w:lvlText w:val="-"/>
      <w:lvlJc w:val="left"/>
      <w:pPr>
        <w:ind w:left="1080" w:hanging="360"/>
      </w:pPr>
      <w:rPr>
        <w:rFonts w:ascii="Franklin Gothic Book" w:eastAsiaTheme="minorHAnsi" w:hAnsi="Franklin Gothic Book"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199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78"/>
    <w:rsid w:val="00030C2F"/>
    <w:rsid w:val="00083BAA"/>
    <w:rsid w:val="000A41A0"/>
    <w:rsid w:val="0010680C"/>
    <w:rsid w:val="00152B0B"/>
    <w:rsid w:val="001766D6"/>
    <w:rsid w:val="00192419"/>
    <w:rsid w:val="001C270D"/>
    <w:rsid w:val="001E2320"/>
    <w:rsid w:val="00214E28"/>
    <w:rsid w:val="002229F0"/>
    <w:rsid w:val="00330F55"/>
    <w:rsid w:val="00352B81"/>
    <w:rsid w:val="00394757"/>
    <w:rsid w:val="003A0150"/>
    <w:rsid w:val="003E24DF"/>
    <w:rsid w:val="0041428F"/>
    <w:rsid w:val="004536B8"/>
    <w:rsid w:val="004A2B0D"/>
    <w:rsid w:val="005C2210"/>
    <w:rsid w:val="00615018"/>
    <w:rsid w:val="0062123A"/>
    <w:rsid w:val="00646E75"/>
    <w:rsid w:val="006F6F10"/>
    <w:rsid w:val="00783E79"/>
    <w:rsid w:val="007B5AE8"/>
    <w:rsid w:val="007F5192"/>
    <w:rsid w:val="00831721"/>
    <w:rsid w:val="00862A06"/>
    <w:rsid w:val="00951678"/>
    <w:rsid w:val="00994D07"/>
    <w:rsid w:val="009A6A40"/>
    <w:rsid w:val="00A26FE7"/>
    <w:rsid w:val="00A66B18"/>
    <w:rsid w:val="00A6783B"/>
    <w:rsid w:val="00A96CF8"/>
    <w:rsid w:val="00AA089B"/>
    <w:rsid w:val="00AE1388"/>
    <w:rsid w:val="00AF3982"/>
    <w:rsid w:val="00B50294"/>
    <w:rsid w:val="00B57D6E"/>
    <w:rsid w:val="00B93312"/>
    <w:rsid w:val="00C701F7"/>
    <w:rsid w:val="00C70786"/>
    <w:rsid w:val="00D10958"/>
    <w:rsid w:val="00D66593"/>
    <w:rsid w:val="00D84BB7"/>
    <w:rsid w:val="00DE6DA2"/>
    <w:rsid w:val="00DF2D30"/>
    <w:rsid w:val="00E4786A"/>
    <w:rsid w:val="00E55D74"/>
    <w:rsid w:val="00E6540C"/>
    <w:rsid w:val="00E81E2A"/>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471D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951678"/>
    <w:rPr>
      <w:color w:val="F49100" w:themeColor="hyperlink"/>
      <w:u w:val="single"/>
    </w:rPr>
  </w:style>
  <w:style w:type="paragraph" w:styleId="ListParagraph">
    <w:name w:val="List Paragraph"/>
    <w:basedOn w:val="Normal"/>
    <w:uiPriority w:val="34"/>
    <w:semiHidden/>
    <w:rsid w:val="0095167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istemicinjusticeinhealthcare.org/blog" TargetMode="External"/><Relationship Id="rId18" Type="http://schemas.openxmlformats.org/officeDocument/2006/relationships/hyperlink" Target="https://epistemicinjusticeinhealthcare.org/epic-seminar-ser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pistemicinjusticeinhealthcareproject.blogspot.com/search?q=women+in+philosophy" TargetMode="External"/><Relationship Id="rId7" Type="http://schemas.openxmlformats.org/officeDocument/2006/relationships/webSettings" Target="webSettings.xml"/><Relationship Id="rId12" Type="http://schemas.openxmlformats.org/officeDocument/2006/relationships/hyperlink" Target="https://epistemicinjusticeinhealthcare.org/academic-publications" TargetMode="External"/><Relationship Id="rId17" Type="http://schemas.openxmlformats.org/officeDocument/2006/relationships/hyperlink" Target="https://epistemicinjusticeinhealthcare.org/podcas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pistemicinjusticeinhealthcare.org/academic-publications" TargetMode="External"/><Relationship Id="rId20" Type="http://schemas.openxmlformats.org/officeDocument/2006/relationships/hyperlink" Target="https://www.facebook.com/EPICproje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istemicinjusticeinhealthcare.org" TargetMode="External"/><Relationship Id="rId24" Type="http://schemas.openxmlformats.org/officeDocument/2006/relationships/hyperlink" Target="https://websites.godaddy.com/en-GB/editor/3f018c58-2d2d-4b94-88b1-7457604e4274/fd98117e-c5d5-4ff0-b82d-80411123a16a/edit" TargetMode="External"/><Relationship Id="rId5" Type="http://schemas.openxmlformats.org/officeDocument/2006/relationships/styles" Target="styles.xml"/><Relationship Id="rId15" Type="http://schemas.openxmlformats.org/officeDocument/2006/relationships/hyperlink" Target="https://epistemicinjusticeinhealthcare.org/videos" TargetMode="External"/><Relationship Id="rId23" Type="http://schemas.openxmlformats.org/officeDocument/2006/relationships/hyperlink" Target="https://websites.godaddy.com/en-GB/editor/3f018c58-2d2d-4b94-88b1-7457604e4274/fd98117e-c5d5-4ff0-b82d-80411123a16a/edit" TargetMode="External"/><Relationship Id="rId10" Type="http://schemas.openxmlformats.org/officeDocument/2006/relationships/hyperlink" Target="https://epistemicinjusticeinhealthcare.org/case-studies" TargetMode="External"/><Relationship Id="rId19" Type="http://schemas.openxmlformats.org/officeDocument/2006/relationships/hyperlink" Target="https://epistemicinjusticeinhealthcare.org/vide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istemicinjusticeinhealthcare.org/blog" TargetMode="External"/><Relationship Id="rId22" Type="http://schemas.openxmlformats.org/officeDocument/2006/relationships/hyperlink" Target="https://websites.godaddy.com/en-GB/editor/3f018c58-2d2d-4b94-88b1-7457604e4274/fd98117e-c5d5-4ff0-b82d-80411123a16a/e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1658\AppData\Local\Microsoft\Office\16.0\DTS\en-GB%7b085CE5AD-7B2B-4439-81DD-8A726F4DBCC9%7d\%7bCF31F57F-E0C8-4BCD-A4DA-E3648E5578BF%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{CF31F57F-E0C8-4BCD-A4DA-E3648E5578BF}tf56348247_win32</Template>
  <TotalTime>0</TotalTime>
  <Pages>3</Pages>
  <Words>922</Words>
  <Characters>6660</Characters>
  <Application>Microsoft Office Word</Application>
  <DocSecurity>0</DocSecurity>
  <Lines>832</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2025-10-21T12:07:00Z</dcterms:created>
  <dcterms:modified xsi:type="dcterms:W3CDTF">2025-10-21T15:40:00Z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